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682A1">
      <w:pPr>
        <w:pStyle w:val="14"/>
        <w:adjustRightInd w:val="0"/>
        <w:snapToGrid w:val="0"/>
        <w:spacing w:line="800" w:lineRule="exact"/>
        <w:ind w:firstLine="1687"/>
        <w:jc w:val="left"/>
        <w:outlineLvl w:val="9"/>
        <w:rPr>
          <w:rFonts w:hint="eastAsia" w:hAnsi="宋体" w:eastAsia="宋体" w:cs="宋体"/>
          <w:b/>
          <w:color w:val="auto"/>
          <w:sz w:val="84"/>
          <w:szCs w:val="84"/>
          <w:highlight w:val="none"/>
        </w:rPr>
      </w:pPr>
    </w:p>
    <w:p w14:paraId="4A8E3AEC">
      <w:pPr>
        <w:pStyle w:val="14"/>
        <w:adjustRightInd w:val="0"/>
        <w:snapToGrid w:val="0"/>
        <w:spacing w:line="800" w:lineRule="exact"/>
        <w:ind w:firstLine="1687"/>
        <w:jc w:val="center"/>
        <w:outlineLvl w:val="9"/>
        <w:rPr>
          <w:rFonts w:hint="eastAsia" w:hAnsi="宋体" w:eastAsia="宋体" w:cs="宋体"/>
          <w:b/>
          <w:color w:val="auto"/>
          <w:sz w:val="84"/>
          <w:szCs w:val="84"/>
          <w:highlight w:val="none"/>
        </w:rPr>
      </w:pPr>
    </w:p>
    <w:p w14:paraId="6A7CA9A9">
      <w:pPr>
        <w:pStyle w:val="14"/>
        <w:adjustRightInd w:val="0"/>
        <w:snapToGrid w:val="0"/>
        <w:spacing w:line="800" w:lineRule="exact"/>
        <w:ind w:firstLine="1687"/>
        <w:jc w:val="center"/>
        <w:outlineLvl w:val="9"/>
        <w:rPr>
          <w:rFonts w:hint="eastAsia" w:hAnsi="宋体" w:eastAsia="宋体" w:cs="宋体"/>
          <w:b/>
          <w:color w:val="auto"/>
          <w:sz w:val="84"/>
          <w:szCs w:val="84"/>
          <w:highlight w:val="none"/>
        </w:rPr>
      </w:pPr>
    </w:p>
    <w:p w14:paraId="4D7740CE">
      <w:pPr>
        <w:pStyle w:val="14"/>
        <w:jc w:val="center"/>
        <w:outlineLvl w:val="9"/>
        <w:rPr>
          <w:rFonts w:hint="eastAsia" w:hAnsi="宋体" w:eastAsia="宋体" w:cs="宋体"/>
          <w:b/>
          <w:bCs/>
          <w:color w:val="auto"/>
          <w:sz w:val="84"/>
          <w:szCs w:val="84"/>
          <w:highlight w:val="none"/>
        </w:rPr>
      </w:pPr>
      <w:r>
        <w:rPr>
          <w:rFonts w:hint="eastAsia" w:hAnsi="宋体" w:eastAsia="宋体" w:cs="宋体"/>
          <w:b/>
          <w:color w:val="auto"/>
          <w:sz w:val="84"/>
          <w:szCs w:val="84"/>
          <w:highlight w:val="none"/>
        </w:rPr>
        <w:t>政府采购</w:t>
      </w:r>
    </w:p>
    <w:p w14:paraId="72FE0D34">
      <w:pPr>
        <w:pStyle w:val="14"/>
        <w:adjustRightInd w:val="0"/>
        <w:snapToGrid w:val="0"/>
        <w:spacing w:line="360" w:lineRule="auto"/>
        <w:jc w:val="center"/>
        <w:outlineLvl w:val="9"/>
        <w:rPr>
          <w:rFonts w:hint="eastAsia" w:hAnsi="宋体" w:eastAsia="宋体" w:cs="宋体"/>
          <w:b/>
          <w:color w:val="auto"/>
          <w:sz w:val="32"/>
          <w:szCs w:val="32"/>
          <w:highlight w:val="none"/>
        </w:rPr>
      </w:pPr>
      <w:r>
        <w:rPr>
          <w:rFonts w:hint="eastAsia" w:hAnsi="宋体" w:eastAsia="宋体" w:cs="宋体"/>
          <w:b/>
          <w:color w:val="auto"/>
          <w:sz w:val="84"/>
          <w:szCs w:val="84"/>
          <w:highlight w:val="none"/>
        </w:rPr>
        <w:t>竞争性磋商文件</w:t>
      </w:r>
    </w:p>
    <w:p w14:paraId="174D7316">
      <w:pPr>
        <w:pStyle w:val="14"/>
        <w:adjustRightInd w:val="0"/>
        <w:snapToGrid w:val="0"/>
        <w:spacing w:line="740" w:lineRule="exact"/>
        <w:ind w:left="2122" w:leftChars="349" w:hanging="1389" w:hangingChars="494"/>
        <w:outlineLvl w:val="9"/>
        <w:rPr>
          <w:rFonts w:hint="eastAsia" w:hAnsi="宋体" w:eastAsia="宋体" w:cs="宋体"/>
          <w:b/>
          <w:color w:val="auto"/>
          <w:sz w:val="28"/>
          <w:szCs w:val="28"/>
          <w:highlight w:val="none"/>
        </w:rPr>
      </w:pPr>
    </w:p>
    <w:p w14:paraId="712E0669">
      <w:pPr>
        <w:pStyle w:val="14"/>
        <w:adjustRightInd w:val="0"/>
        <w:snapToGrid w:val="0"/>
        <w:spacing w:line="480" w:lineRule="auto"/>
        <w:ind w:left="840" w:leftChars="400" w:firstLine="0" w:firstLineChars="0"/>
        <w:outlineLvl w:val="9"/>
        <w:rPr>
          <w:rFonts w:hint="eastAsia" w:hAnsi="宋体"/>
          <w:b/>
          <w:bCs/>
          <w:color w:val="auto"/>
          <w:sz w:val="24"/>
          <w:szCs w:val="24"/>
          <w:highlight w:val="none"/>
          <w:u w:val="single"/>
          <w:lang w:eastAsia="zh-CN"/>
        </w:rPr>
      </w:pPr>
      <w:r>
        <w:rPr>
          <w:rFonts w:hint="eastAsia" w:hAnsi="宋体"/>
          <w:b/>
          <w:bCs/>
          <w:color w:val="auto"/>
          <w:sz w:val="24"/>
          <w:szCs w:val="24"/>
          <w:highlight w:val="none"/>
        </w:rPr>
        <w:t>采购项目名称：</w:t>
      </w:r>
      <w:r>
        <w:rPr>
          <w:rFonts w:hint="eastAsia" w:hAnsi="宋体"/>
          <w:b/>
          <w:bCs/>
          <w:color w:val="auto"/>
          <w:sz w:val="24"/>
          <w:szCs w:val="24"/>
          <w:highlight w:val="none"/>
          <w:u w:val="single"/>
          <w:lang w:eastAsia="zh-CN"/>
        </w:rPr>
        <w:t>溆浦县低庄镇中心小学（下校区）食堂工程（第二次）</w:t>
      </w:r>
    </w:p>
    <w:p w14:paraId="27C88463">
      <w:pPr>
        <w:pStyle w:val="14"/>
        <w:adjustRightInd w:val="0"/>
        <w:snapToGrid w:val="0"/>
        <w:spacing w:line="480" w:lineRule="auto"/>
        <w:ind w:left="840" w:leftChars="400" w:firstLine="0" w:firstLineChars="0"/>
        <w:outlineLvl w:val="9"/>
        <w:rPr>
          <w:rFonts w:hint="eastAsia" w:hAnsi="宋体"/>
          <w:b/>
          <w:bCs/>
          <w:color w:val="auto"/>
          <w:sz w:val="24"/>
          <w:szCs w:val="24"/>
          <w:highlight w:val="none"/>
          <w:u w:val="single"/>
          <w:lang w:eastAsia="zh-CN"/>
        </w:rPr>
      </w:pPr>
      <w:r>
        <w:rPr>
          <w:rFonts w:hint="eastAsia" w:hAnsi="宋体"/>
          <w:b/>
          <w:bCs/>
          <w:color w:val="auto"/>
          <w:sz w:val="24"/>
          <w:szCs w:val="24"/>
          <w:highlight w:val="none"/>
        </w:rPr>
        <w:t>采   购   人：</w:t>
      </w:r>
      <w:r>
        <w:rPr>
          <w:rFonts w:hint="eastAsia" w:hAnsi="宋体"/>
          <w:b/>
          <w:bCs/>
          <w:color w:val="auto"/>
          <w:sz w:val="24"/>
          <w:szCs w:val="24"/>
          <w:highlight w:val="none"/>
          <w:u w:val="single"/>
          <w:lang w:eastAsia="zh-CN"/>
        </w:rPr>
        <w:t>溆浦县低庄镇中心小学</w:t>
      </w:r>
    </w:p>
    <w:p w14:paraId="65030471">
      <w:pPr>
        <w:pStyle w:val="14"/>
        <w:adjustRightInd w:val="0"/>
        <w:snapToGrid w:val="0"/>
        <w:spacing w:line="480" w:lineRule="auto"/>
        <w:ind w:left="840" w:leftChars="400" w:firstLine="0" w:firstLineChars="0"/>
        <w:outlineLvl w:val="9"/>
        <w:rPr>
          <w:rFonts w:hint="eastAsia" w:hAnsi="宋体"/>
          <w:b/>
          <w:bCs/>
          <w:color w:val="FF0000"/>
          <w:sz w:val="24"/>
          <w:szCs w:val="24"/>
          <w:highlight w:val="none"/>
        </w:rPr>
      </w:pPr>
      <w:r>
        <w:rPr>
          <w:rFonts w:hint="eastAsia" w:hAnsi="宋体" w:eastAsiaTheme="minorEastAsia"/>
          <w:b/>
          <w:bCs/>
          <w:snapToGrid w:val="0"/>
          <w:color w:val="auto"/>
          <w:spacing w:val="34"/>
          <w:kern w:val="0"/>
          <w:sz w:val="24"/>
          <w:szCs w:val="24"/>
          <w:highlight w:val="none"/>
        </w:rPr>
        <w:t>计划备案号：</w:t>
      </w:r>
      <w:r>
        <w:rPr>
          <w:rFonts w:hint="eastAsia" w:hAnsi="宋体"/>
          <w:b/>
          <w:bCs/>
          <w:color w:val="auto"/>
          <w:sz w:val="24"/>
          <w:szCs w:val="24"/>
          <w:highlight w:val="none"/>
          <w:u w:val="single"/>
          <w:lang w:eastAsia="zh-CN"/>
        </w:rPr>
        <w:t>(2026)431224000039-1</w:t>
      </w:r>
    </w:p>
    <w:p w14:paraId="4523D588">
      <w:pPr>
        <w:pStyle w:val="14"/>
        <w:adjustRightInd w:val="0"/>
        <w:snapToGrid w:val="0"/>
        <w:spacing w:line="480" w:lineRule="auto"/>
        <w:ind w:left="840" w:leftChars="400" w:firstLine="0" w:firstLineChars="0"/>
        <w:outlineLvl w:val="9"/>
        <w:rPr>
          <w:rFonts w:hint="eastAsia" w:hAnsi="宋体" w:eastAsiaTheme="minorEastAsia"/>
          <w:b/>
          <w:bCs/>
          <w:color w:val="FF0000"/>
          <w:sz w:val="24"/>
          <w:szCs w:val="24"/>
          <w:highlight w:val="none"/>
          <w:u w:val="single"/>
          <w:lang w:eastAsia="zh-CN"/>
        </w:rPr>
      </w:pPr>
      <w:r>
        <w:rPr>
          <w:rFonts w:hint="eastAsia" w:hAnsi="宋体"/>
          <w:b/>
          <w:bCs/>
          <w:color w:val="auto"/>
          <w:sz w:val="24"/>
          <w:szCs w:val="24"/>
          <w:highlight w:val="none"/>
        </w:rPr>
        <w:t>采购计划编号：</w:t>
      </w:r>
      <w:r>
        <w:rPr>
          <w:rFonts w:hint="eastAsia" w:hAnsi="宋体"/>
          <w:b/>
          <w:bCs/>
          <w:color w:val="auto"/>
          <w:sz w:val="24"/>
          <w:szCs w:val="24"/>
          <w:highlight w:val="none"/>
          <w:u w:val="single"/>
          <w:lang w:eastAsia="zh-CN"/>
        </w:rPr>
        <w:t>溆财采计(2026)145</w:t>
      </w:r>
    </w:p>
    <w:p w14:paraId="0AC38B77">
      <w:pPr>
        <w:pStyle w:val="14"/>
        <w:adjustRightInd w:val="0"/>
        <w:snapToGrid w:val="0"/>
        <w:spacing w:line="480" w:lineRule="auto"/>
        <w:ind w:left="840" w:leftChars="400" w:firstLine="0" w:firstLineChars="0"/>
        <w:outlineLvl w:val="9"/>
        <w:rPr>
          <w:rFonts w:hint="eastAsia" w:hAnsi="宋体" w:eastAsiaTheme="minorEastAsia"/>
          <w:b/>
          <w:bCs/>
          <w:color w:val="auto"/>
          <w:sz w:val="24"/>
          <w:szCs w:val="24"/>
          <w:highlight w:val="none"/>
          <w:u w:val="single"/>
          <w:lang w:eastAsia="zh-CN"/>
        </w:rPr>
      </w:pPr>
      <w:r>
        <w:rPr>
          <w:rFonts w:hint="eastAsia" w:hAnsi="宋体"/>
          <w:b/>
          <w:bCs/>
          <w:color w:val="auto"/>
          <w:sz w:val="24"/>
          <w:szCs w:val="24"/>
          <w:highlight w:val="none"/>
        </w:rPr>
        <w:t xml:space="preserve">委托代理编号: </w:t>
      </w:r>
      <w:r>
        <w:rPr>
          <w:rFonts w:hint="eastAsia" w:hAnsi="宋体"/>
          <w:b/>
          <w:bCs/>
          <w:color w:val="auto"/>
          <w:sz w:val="24"/>
          <w:szCs w:val="24"/>
          <w:highlight w:val="none"/>
          <w:u w:val="single"/>
          <w:lang w:eastAsia="zh-CN"/>
        </w:rPr>
        <w:t>2026-DF-ZC-8013</w:t>
      </w:r>
    </w:p>
    <w:p w14:paraId="0ACA0B88">
      <w:pPr>
        <w:pStyle w:val="14"/>
        <w:adjustRightInd w:val="0"/>
        <w:snapToGrid w:val="0"/>
        <w:spacing w:line="480" w:lineRule="auto"/>
        <w:ind w:left="840" w:leftChars="400" w:firstLine="0" w:firstLineChars="0"/>
        <w:outlineLvl w:val="9"/>
        <w:rPr>
          <w:rFonts w:hint="eastAsia" w:hAnsi="宋体" w:eastAsia="宋体" w:cs="宋体"/>
          <w:b/>
          <w:color w:val="auto"/>
          <w:sz w:val="32"/>
          <w:highlight w:val="none"/>
        </w:rPr>
      </w:pPr>
      <w:r>
        <w:rPr>
          <w:rFonts w:hint="eastAsia" w:hAnsi="宋体"/>
          <w:b/>
          <w:bCs/>
          <w:color w:val="auto"/>
          <w:sz w:val="24"/>
          <w:szCs w:val="24"/>
          <w:highlight w:val="none"/>
        </w:rPr>
        <w:t xml:space="preserve">采购代理机构: </w:t>
      </w:r>
      <w:r>
        <w:rPr>
          <w:rFonts w:hint="eastAsia" w:hAnsi="宋体"/>
          <w:b/>
          <w:bCs/>
          <w:color w:val="auto"/>
          <w:sz w:val="24"/>
          <w:szCs w:val="24"/>
          <w:highlight w:val="none"/>
          <w:u w:val="single"/>
        </w:rPr>
        <w:t>湖南登峰项目管理有限公司</w:t>
      </w:r>
      <w:r>
        <w:rPr>
          <w:rFonts w:hint="eastAsia" w:hAnsi="宋体"/>
          <w:b/>
          <w:bCs/>
          <w:color w:val="auto"/>
          <w:sz w:val="32"/>
          <w:szCs w:val="32"/>
          <w:highlight w:val="none"/>
          <w:u w:val="single"/>
        </w:rPr>
        <w:t xml:space="preserve"> </w:t>
      </w:r>
      <w:r>
        <w:rPr>
          <w:rFonts w:hint="eastAsia" w:hAnsi="宋体"/>
          <w:b/>
          <w:bCs/>
          <w:color w:val="auto"/>
          <w:sz w:val="32"/>
          <w:szCs w:val="32"/>
          <w:highlight w:val="none"/>
        </w:rPr>
        <w:t xml:space="preserve">  </w:t>
      </w:r>
    </w:p>
    <w:p w14:paraId="042915D6">
      <w:pPr>
        <w:ind w:firstLine="643"/>
        <w:jc w:val="center"/>
        <w:outlineLvl w:val="9"/>
        <w:rPr>
          <w:rFonts w:hint="eastAsia" w:ascii="宋体" w:hAnsi="宋体" w:eastAsia="宋体" w:cs="宋体"/>
          <w:b/>
          <w:color w:val="auto"/>
          <w:sz w:val="32"/>
          <w:highlight w:val="none"/>
        </w:rPr>
      </w:pPr>
    </w:p>
    <w:p w14:paraId="37375369">
      <w:pPr>
        <w:ind w:firstLine="643"/>
        <w:jc w:val="center"/>
        <w:outlineLvl w:val="9"/>
        <w:rPr>
          <w:rFonts w:hint="eastAsia" w:ascii="宋体" w:hAnsi="宋体" w:eastAsia="宋体" w:cs="宋体"/>
          <w:b/>
          <w:color w:val="auto"/>
          <w:sz w:val="32"/>
          <w:highlight w:val="none"/>
        </w:rPr>
      </w:pPr>
    </w:p>
    <w:p w14:paraId="6087C47A">
      <w:pPr>
        <w:ind w:firstLine="643"/>
        <w:outlineLvl w:val="9"/>
        <w:rPr>
          <w:rFonts w:hint="eastAsia" w:ascii="宋体" w:hAnsi="宋体" w:eastAsia="宋体" w:cs="宋体"/>
          <w:b/>
          <w:color w:val="auto"/>
          <w:sz w:val="32"/>
          <w:highlight w:val="none"/>
        </w:rPr>
      </w:pPr>
    </w:p>
    <w:p w14:paraId="53895449">
      <w:pPr>
        <w:pStyle w:val="2"/>
        <w:ind w:left="0" w:leftChars="0"/>
        <w:outlineLvl w:val="9"/>
        <w:rPr>
          <w:color w:val="auto"/>
          <w:highlight w:val="none"/>
        </w:rPr>
      </w:pPr>
    </w:p>
    <w:p w14:paraId="567357CC">
      <w:pPr>
        <w:jc w:val="center"/>
        <w:outlineLvl w:val="9"/>
        <w:rPr>
          <w:color w:val="auto"/>
          <w:highlight w:val="none"/>
        </w:rPr>
        <w:sectPr>
          <w:pgSz w:w="11906" w:h="16838"/>
          <w:pgMar w:top="1440" w:right="1800" w:bottom="1440" w:left="1800" w:header="851" w:footer="992" w:gutter="0"/>
          <w:pgNumType w:start="1"/>
          <w:cols w:space="720" w:num="1"/>
          <w:docGrid w:type="lines" w:linePitch="312" w:charSpace="0"/>
        </w:sectPr>
      </w:pPr>
      <w:r>
        <w:rPr>
          <w:rFonts w:hint="eastAsia" w:ascii="宋体" w:hAnsi="Times New Roman" w:eastAsia="宋体" w:cs="Times New Roman"/>
          <w:b/>
          <w:color w:val="auto"/>
          <w:sz w:val="32"/>
          <w:szCs w:val="21"/>
          <w:highlight w:val="none"/>
        </w:rPr>
        <w:t>二〇二六年</w:t>
      </w:r>
      <w:r>
        <w:rPr>
          <w:rFonts w:hint="eastAsia" w:ascii="宋体" w:hAnsi="Times New Roman" w:eastAsia="宋体" w:cs="Times New Roman"/>
          <w:b/>
          <w:color w:val="auto"/>
          <w:sz w:val="32"/>
          <w:szCs w:val="21"/>
          <w:highlight w:val="none"/>
          <w:lang w:eastAsia="zh-CN"/>
        </w:rPr>
        <w:t>八</w:t>
      </w:r>
      <w:r>
        <w:rPr>
          <w:rFonts w:hint="eastAsia" w:ascii="宋体" w:hAnsi="Times New Roman" w:eastAsia="宋体" w:cs="Times New Roman"/>
          <w:b/>
          <w:color w:val="auto"/>
          <w:sz w:val="32"/>
          <w:szCs w:val="21"/>
          <w:highlight w:val="none"/>
        </w:rPr>
        <w:t>月</w:t>
      </w:r>
    </w:p>
    <w:p w14:paraId="21FC20CD">
      <w:pPr>
        <w:pStyle w:val="14"/>
        <w:adjustRightInd w:val="0"/>
        <w:snapToGrid w:val="0"/>
        <w:spacing w:line="360" w:lineRule="auto"/>
        <w:ind w:firstLine="1363"/>
        <w:outlineLvl w:val="9"/>
        <w:rPr>
          <w:rFonts w:hint="eastAsia" w:hAnsi="宋体" w:eastAsia="宋体" w:cs="宋体"/>
          <w:b/>
          <w:color w:val="auto"/>
          <w:spacing w:val="160"/>
          <w:sz w:val="36"/>
          <w:szCs w:val="36"/>
          <w:highlight w:val="none"/>
        </w:rPr>
        <w:sectPr>
          <w:footerReference r:id="rId3" w:type="default"/>
          <w:pgSz w:w="11900" w:h="16820"/>
          <w:pgMar w:top="1440" w:right="1800" w:bottom="1440" w:left="1800" w:header="0" w:footer="839" w:gutter="0"/>
          <w:cols w:space="720" w:num="1"/>
        </w:sectPr>
      </w:pPr>
    </w:p>
    <w:p w14:paraId="60831D55">
      <w:pPr>
        <w:pStyle w:val="14"/>
        <w:adjustRightInd w:val="0"/>
        <w:snapToGrid w:val="0"/>
        <w:spacing w:line="360" w:lineRule="auto"/>
        <w:ind w:firstLine="1363"/>
        <w:jc w:val="center"/>
        <w:outlineLvl w:val="9"/>
        <w:rPr>
          <w:rFonts w:hint="eastAsia" w:hAnsi="宋体" w:eastAsia="宋体" w:cs="宋体"/>
          <w:b/>
          <w:color w:val="auto"/>
          <w:sz w:val="24"/>
          <w:szCs w:val="24"/>
          <w:highlight w:val="none"/>
        </w:rPr>
      </w:pPr>
      <w:r>
        <w:rPr>
          <w:rFonts w:hint="eastAsia" w:hAnsi="宋体" w:eastAsia="宋体" w:cs="宋体"/>
          <w:b/>
          <w:color w:val="auto"/>
          <w:spacing w:val="160"/>
          <w:sz w:val="36"/>
          <w:szCs w:val="36"/>
          <w:highlight w:val="none"/>
        </w:rPr>
        <w:t>目录</w:t>
      </w:r>
    </w:p>
    <w:p w14:paraId="594C1932">
      <w:pPr>
        <w:pStyle w:val="20"/>
        <w:keepNext w:val="0"/>
        <w:keepLines w:val="0"/>
        <w:pageBreakBefore w:val="0"/>
        <w:widowControl w:val="0"/>
        <w:tabs>
          <w:tab w:val="right" w:leader="dot" w:pos="8300"/>
        </w:tabs>
        <w:kinsoku/>
        <w:wordWrap w:val="0"/>
        <w:overflowPunct/>
        <w:topLinePunct w:val="0"/>
        <w:autoSpaceDE w:val="0"/>
        <w:autoSpaceDN w:val="0"/>
        <w:bidi w:val="0"/>
        <w:adjustRightInd w:val="0"/>
        <w:snapToGrid w:val="0"/>
        <w:spacing w:after="0" w:line="480" w:lineRule="auto"/>
        <w:ind w:left="0" w:leftChars="0" w:right="0" w:firstLine="0"/>
        <w:jc w:val="left"/>
        <w:textAlignment w:val="auto"/>
        <w:rPr>
          <w:rFonts w:hint="eastAsia" w:ascii="宋体" w:hAnsi="宋体" w:eastAsia="宋体" w:cs="宋体"/>
          <w:b/>
          <w:bCs/>
          <w:kern w:val="0"/>
          <w:sz w:val="30"/>
          <w:szCs w:val="30"/>
        </w:rPr>
      </w:pPr>
      <w:r>
        <w:rPr>
          <w:rFonts w:hint="eastAsia" w:ascii="宋体" w:hAnsi="宋体" w:eastAsia="宋体" w:cs="宋体"/>
          <w:b w:val="0"/>
          <w:bCs w:val="0"/>
          <w:snapToGrid w:val="0"/>
          <w:kern w:val="0"/>
          <w:sz w:val="30"/>
          <w:szCs w:val="30"/>
          <w:highlight w:val="none"/>
        </w:rPr>
        <w:fldChar w:fldCharType="begin"/>
      </w:r>
      <w:r>
        <w:rPr>
          <w:rFonts w:hint="eastAsia" w:ascii="宋体" w:hAnsi="宋体" w:eastAsia="宋体" w:cs="宋体"/>
          <w:b w:val="0"/>
          <w:bCs w:val="0"/>
          <w:snapToGrid w:val="0"/>
          <w:kern w:val="0"/>
          <w:sz w:val="30"/>
          <w:szCs w:val="30"/>
          <w:highlight w:val="none"/>
        </w:rPr>
        <w:instrText xml:space="preserve">TOC \o "1-3" \h \u </w:instrText>
      </w:r>
      <w:r>
        <w:rPr>
          <w:rFonts w:hint="eastAsia" w:ascii="宋体" w:hAnsi="宋体" w:eastAsia="宋体" w:cs="宋体"/>
          <w:b w:val="0"/>
          <w:bCs w:val="0"/>
          <w:snapToGrid w:val="0"/>
          <w:kern w:val="0"/>
          <w:sz w:val="30"/>
          <w:szCs w:val="30"/>
          <w:highlight w:val="none"/>
        </w:rPr>
        <w:fldChar w:fldCharType="separate"/>
      </w:r>
      <w:r>
        <w:rPr>
          <w:rFonts w:hint="eastAsia" w:ascii="宋体" w:hAnsi="宋体" w:eastAsia="宋体" w:cs="宋体"/>
          <w:b/>
          <w:bCs/>
          <w:snapToGrid w:val="0"/>
          <w:kern w:val="0"/>
          <w:sz w:val="30"/>
          <w:szCs w:val="30"/>
          <w:highlight w:val="none"/>
        </w:rPr>
        <w:fldChar w:fldCharType="begin"/>
      </w:r>
      <w:r>
        <w:rPr>
          <w:rFonts w:hint="eastAsia" w:ascii="宋体" w:hAnsi="宋体" w:eastAsia="宋体" w:cs="宋体"/>
          <w:b/>
          <w:bCs/>
          <w:snapToGrid w:val="0"/>
          <w:kern w:val="0"/>
          <w:sz w:val="30"/>
          <w:szCs w:val="30"/>
          <w:highlight w:val="none"/>
        </w:rPr>
        <w:instrText xml:space="preserve"> HYPERLINK \l _Toc2628 </w:instrText>
      </w:r>
      <w:r>
        <w:rPr>
          <w:rFonts w:hint="eastAsia" w:ascii="宋体" w:hAnsi="宋体" w:eastAsia="宋体" w:cs="宋体"/>
          <w:b/>
          <w:bCs/>
          <w:snapToGrid w:val="0"/>
          <w:kern w:val="0"/>
          <w:sz w:val="30"/>
          <w:szCs w:val="30"/>
          <w:highlight w:val="none"/>
        </w:rPr>
        <w:fldChar w:fldCharType="separate"/>
      </w:r>
      <w:r>
        <w:rPr>
          <w:rFonts w:hint="eastAsia" w:ascii="宋体" w:hAnsi="宋体" w:eastAsia="宋体" w:cs="宋体"/>
          <w:b/>
          <w:bCs/>
          <w:kern w:val="0"/>
          <w:sz w:val="30"/>
          <w:szCs w:val="30"/>
          <w:highlight w:val="none"/>
        </w:rPr>
        <w:t>第一章 磋商邀请</w:t>
      </w:r>
      <w:r>
        <w:rPr>
          <w:rFonts w:hint="eastAsia" w:ascii="宋体" w:hAnsi="宋体" w:eastAsia="宋体" w:cs="宋体"/>
          <w:b/>
          <w:bCs/>
          <w:kern w:val="0"/>
          <w:sz w:val="30"/>
          <w:szCs w:val="30"/>
        </w:rPr>
        <w:tab/>
      </w:r>
      <w:r>
        <w:rPr>
          <w:rFonts w:hint="eastAsia" w:ascii="宋体" w:hAnsi="宋体" w:eastAsia="宋体" w:cs="宋体"/>
          <w:b/>
          <w:bCs/>
          <w:kern w:val="0"/>
          <w:sz w:val="30"/>
          <w:szCs w:val="30"/>
        </w:rPr>
        <w:fldChar w:fldCharType="begin"/>
      </w:r>
      <w:r>
        <w:rPr>
          <w:rFonts w:hint="eastAsia" w:ascii="宋体" w:hAnsi="宋体" w:eastAsia="宋体" w:cs="宋体"/>
          <w:b/>
          <w:bCs/>
          <w:kern w:val="0"/>
          <w:sz w:val="30"/>
          <w:szCs w:val="30"/>
        </w:rPr>
        <w:instrText xml:space="preserve"> PAGEREF _Toc2628 \h </w:instrText>
      </w:r>
      <w:r>
        <w:rPr>
          <w:rFonts w:hint="eastAsia" w:ascii="宋体" w:hAnsi="宋体" w:eastAsia="宋体" w:cs="宋体"/>
          <w:b/>
          <w:bCs/>
          <w:kern w:val="0"/>
          <w:sz w:val="30"/>
          <w:szCs w:val="30"/>
        </w:rPr>
        <w:fldChar w:fldCharType="separate"/>
      </w:r>
      <w:r>
        <w:rPr>
          <w:rFonts w:hint="eastAsia" w:ascii="宋体" w:hAnsi="宋体" w:eastAsia="宋体" w:cs="宋体"/>
          <w:b/>
          <w:bCs/>
          <w:kern w:val="0"/>
          <w:sz w:val="30"/>
          <w:szCs w:val="30"/>
        </w:rPr>
        <w:t>1</w:t>
      </w:r>
      <w:r>
        <w:rPr>
          <w:rFonts w:hint="eastAsia" w:ascii="宋体" w:hAnsi="宋体" w:eastAsia="宋体" w:cs="宋体"/>
          <w:b/>
          <w:bCs/>
          <w:kern w:val="0"/>
          <w:sz w:val="30"/>
          <w:szCs w:val="30"/>
        </w:rPr>
        <w:fldChar w:fldCharType="end"/>
      </w:r>
      <w:r>
        <w:rPr>
          <w:rFonts w:hint="eastAsia" w:ascii="宋体" w:hAnsi="宋体" w:eastAsia="宋体" w:cs="宋体"/>
          <w:b/>
          <w:bCs/>
          <w:snapToGrid w:val="0"/>
          <w:kern w:val="0"/>
          <w:sz w:val="30"/>
          <w:szCs w:val="30"/>
          <w:highlight w:val="none"/>
        </w:rPr>
        <w:fldChar w:fldCharType="end"/>
      </w:r>
    </w:p>
    <w:p w14:paraId="69372D01">
      <w:pPr>
        <w:pStyle w:val="20"/>
        <w:keepNext w:val="0"/>
        <w:keepLines w:val="0"/>
        <w:pageBreakBefore w:val="0"/>
        <w:widowControl w:val="0"/>
        <w:tabs>
          <w:tab w:val="right" w:leader="dot" w:pos="8300"/>
        </w:tabs>
        <w:kinsoku/>
        <w:wordWrap w:val="0"/>
        <w:overflowPunct/>
        <w:topLinePunct w:val="0"/>
        <w:autoSpaceDE w:val="0"/>
        <w:autoSpaceDN w:val="0"/>
        <w:bidi w:val="0"/>
        <w:adjustRightInd w:val="0"/>
        <w:snapToGrid w:val="0"/>
        <w:spacing w:after="0" w:line="480" w:lineRule="auto"/>
        <w:ind w:left="0" w:leftChars="0" w:right="0" w:firstLine="0"/>
        <w:jc w:val="left"/>
        <w:textAlignment w:val="auto"/>
        <w:rPr>
          <w:rFonts w:hint="eastAsia" w:ascii="宋体" w:hAnsi="宋体" w:eastAsia="宋体" w:cs="宋体"/>
          <w:b/>
          <w:bCs/>
          <w:kern w:val="0"/>
          <w:sz w:val="30"/>
          <w:szCs w:val="30"/>
        </w:rPr>
      </w:pPr>
      <w:r>
        <w:rPr>
          <w:rFonts w:hint="eastAsia" w:ascii="宋体" w:hAnsi="宋体" w:eastAsia="宋体" w:cs="宋体"/>
          <w:b/>
          <w:bCs/>
          <w:snapToGrid w:val="0"/>
          <w:kern w:val="0"/>
          <w:sz w:val="30"/>
          <w:szCs w:val="30"/>
          <w:highlight w:val="none"/>
        </w:rPr>
        <w:fldChar w:fldCharType="begin"/>
      </w:r>
      <w:r>
        <w:rPr>
          <w:rFonts w:hint="eastAsia" w:ascii="宋体" w:hAnsi="宋体" w:eastAsia="宋体" w:cs="宋体"/>
          <w:b/>
          <w:bCs/>
          <w:snapToGrid w:val="0"/>
          <w:kern w:val="0"/>
          <w:sz w:val="30"/>
          <w:szCs w:val="30"/>
          <w:highlight w:val="none"/>
        </w:rPr>
        <w:instrText xml:space="preserve"> HYPERLINK \l _Toc19085 </w:instrText>
      </w:r>
      <w:r>
        <w:rPr>
          <w:rFonts w:hint="eastAsia" w:ascii="宋体" w:hAnsi="宋体" w:eastAsia="宋体" w:cs="宋体"/>
          <w:b/>
          <w:bCs/>
          <w:snapToGrid w:val="0"/>
          <w:kern w:val="0"/>
          <w:sz w:val="30"/>
          <w:szCs w:val="30"/>
          <w:highlight w:val="none"/>
        </w:rPr>
        <w:fldChar w:fldCharType="separate"/>
      </w:r>
      <w:r>
        <w:rPr>
          <w:rFonts w:hint="eastAsia" w:ascii="宋体" w:hAnsi="宋体" w:eastAsia="宋体" w:cs="宋体"/>
          <w:b/>
          <w:bCs/>
          <w:kern w:val="0"/>
          <w:sz w:val="30"/>
          <w:szCs w:val="30"/>
          <w:highlight w:val="none"/>
        </w:rPr>
        <w:t>第二章 磋商须知</w:t>
      </w:r>
      <w:r>
        <w:rPr>
          <w:rFonts w:hint="eastAsia" w:ascii="宋体" w:hAnsi="宋体" w:eastAsia="宋体" w:cs="宋体"/>
          <w:b/>
          <w:bCs/>
          <w:kern w:val="0"/>
          <w:sz w:val="30"/>
          <w:szCs w:val="30"/>
        </w:rPr>
        <w:tab/>
      </w:r>
      <w:r>
        <w:rPr>
          <w:rFonts w:hint="eastAsia" w:ascii="宋体" w:hAnsi="宋体" w:eastAsia="宋体" w:cs="宋体"/>
          <w:b/>
          <w:bCs/>
          <w:kern w:val="0"/>
          <w:sz w:val="30"/>
          <w:szCs w:val="30"/>
        </w:rPr>
        <w:fldChar w:fldCharType="begin"/>
      </w:r>
      <w:r>
        <w:rPr>
          <w:rFonts w:hint="eastAsia" w:ascii="宋体" w:hAnsi="宋体" w:eastAsia="宋体" w:cs="宋体"/>
          <w:b/>
          <w:bCs/>
          <w:kern w:val="0"/>
          <w:sz w:val="30"/>
          <w:szCs w:val="30"/>
        </w:rPr>
        <w:instrText xml:space="preserve"> PAGEREF _Toc19085 \h </w:instrText>
      </w:r>
      <w:r>
        <w:rPr>
          <w:rFonts w:hint="eastAsia" w:ascii="宋体" w:hAnsi="宋体" w:eastAsia="宋体" w:cs="宋体"/>
          <w:b/>
          <w:bCs/>
          <w:kern w:val="0"/>
          <w:sz w:val="30"/>
          <w:szCs w:val="30"/>
        </w:rPr>
        <w:fldChar w:fldCharType="separate"/>
      </w:r>
      <w:r>
        <w:rPr>
          <w:rFonts w:hint="eastAsia" w:ascii="宋体" w:hAnsi="宋体" w:eastAsia="宋体" w:cs="宋体"/>
          <w:b/>
          <w:bCs/>
          <w:kern w:val="0"/>
          <w:sz w:val="30"/>
          <w:szCs w:val="30"/>
        </w:rPr>
        <w:t>7</w:t>
      </w:r>
      <w:r>
        <w:rPr>
          <w:rFonts w:hint="eastAsia" w:ascii="宋体" w:hAnsi="宋体" w:eastAsia="宋体" w:cs="宋体"/>
          <w:b/>
          <w:bCs/>
          <w:kern w:val="0"/>
          <w:sz w:val="30"/>
          <w:szCs w:val="30"/>
        </w:rPr>
        <w:fldChar w:fldCharType="end"/>
      </w:r>
      <w:r>
        <w:rPr>
          <w:rFonts w:hint="eastAsia" w:ascii="宋体" w:hAnsi="宋体" w:eastAsia="宋体" w:cs="宋体"/>
          <w:b/>
          <w:bCs/>
          <w:snapToGrid w:val="0"/>
          <w:kern w:val="0"/>
          <w:sz w:val="30"/>
          <w:szCs w:val="30"/>
          <w:highlight w:val="none"/>
        </w:rPr>
        <w:fldChar w:fldCharType="end"/>
      </w:r>
    </w:p>
    <w:p w14:paraId="5E4B6766">
      <w:pPr>
        <w:pStyle w:val="22"/>
        <w:keepNext w:val="0"/>
        <w:keepLines w:val="0"/>
        <w:pageBreakBefore w:val="0"/>
        <w:widowControl w:val="0"/>
        <w:tabs>
          <w:tab w:val="right" w:leader="dot" w:pos="8300"/>
        </w:tabs>
        <w:kinsoku/>
        <w:wordWrap w:val="0"/>
        <w:overflowPunct/>
        <w:topLinePunct w:val="0"/>
        <w:autoSpaceDE w:val="0"/>
        <w:autoSpaceDN w:val="0"/>
        <w:bidi w:val="0"/>
        <w:adjustRightInd w:val="0"/>
        <w:snapToGrid w:val="0"/>
        <w:spacing w:before="0" w:after="0" w:line="480" w:lineRule="auto"/>
        <w:ind w:right="0"/>
        <w:jc w:val="left"/>
        <w:textAlignment w:val="auto"/>
        <w:rPr>
          <w:rFonts w:hint="eastAsia" w:ascii="宋体" w:hAnsi="宋体" w:eastAsia="宋体" w:cs="宋体"/>
          <w:b w:val="0"/>
          <w:bCs w:val="0"/>
          <w:kern w:val="0"/>
          <w:sz w:val="30"/>
          <w:szCs w:val="30"/>
        </w:rPr>
      </w:pPr>
      <w:r>
        <w:rPr>
          <w:rFonts w:hint="eastAsia" w:ascii="宋体" w:hAnsi="宋体" w:eastAsia="宋体" w:cs="宋体"/>
          <w:b w:val="0"/>
          <w:bCs w:val="0"/>
          <w:snapToGrid w:val="0"/>
          <w:kern w:val="0"/>
          <w:sz w:val="30"/>
          <w:szCs w:val="30"/>
          <w:highlight w:val="none"/>
        </w:rPr>
        <w:fldChar w:fldCharType="begin"/>
      </w:r>
      <w:r>
        <w:rPr>
          <w:rFonts w:hint="eastAsia" w:ascii="宋体" w:hAnsi="宋体" w:eastAsia="宋体" w:cs="宋体"/>
          <w:b w:val="0"/>
          <w:bCs w:val="0"/>
          <w:snapToGrid w:val="0"/>
          <w:kern w:val="0"/>
          <w:sz w:val="30"/>
          <w:szCs w:val="30"/>
          <w:highlight w:val="none"/>
        </w:rPr>
        <w:instrText xml:space="preserve"> HYPERLINK \l _Toc3958 </w:instrText>
      </w:r>
      <w:r>
        <w:rPr>
          <w:rFonts w:hint="eastAsia" w:ascii="宋体" w:hAnsi="宋体" w:eastAsia="宋体" w:cs="宋体"/>
          <w:b w:val="0"/>
          <w:bCs w:val="0"/>
          <w:snapToGrid w:val="0"/>
          <w:kern w:val="0"/>
          <w:sz w:val="30"/>
          <w:szCs w:val="30"/>
          <w:highlight w:val="none"/>
        </w:rPr>
        <w:fldChar w:fldCharType="separate"/>
      </w:r>
      <w:r>
        <w:rPr>
          <w:rFonts w:hint="eastAsia" w:ascii="宋体" w:hAnsi="宋体" w:eastAsia="宋体" w:cs="宋体"/>
          <w:b w:val="0"/>
          <w:bCs w:val="0"/>
          <w:kern w:val="0"/>
          <w:sz w:val="30"/>
          <w:szCs w:val="30"/>
          <w:highlight w:val="none"/>
        </w:rPr>
        <w:t>第一节  磋商须知前附表</w:t>
      </w:r>
      <w:r>
        <w:rPr>
          <w:rFonts w:hint="eastAsia" w:ascii="宋体" w:hAnsi="宋体" w:eastAsia="宋体" w:cs="宋体"/>
          <w:b w:val="0"/>
          <w:bCs w:val="0"/>
          <w:kern w:val="0"/>
          <w:sz w:val="30"/>
          <w:szCs w:val="30"/>
        </w:rPr>
        <w:tab/>
      </w:r>
      <w:r>
        <w:rPr>
          <w:rFonts w:hint="eastAsia" w:ascii="宋体" w:hAnsi="宋体" w:eastAsia="宋体" w:cs="宋体"/>
          <w:b w:val="0"/>
          <w:bCs w:val="0"/>
          <w:kern w:val="0"/>
          <w:sz w:val="30"/>
          <w:szCs w:val="30"/>
        </w:rPr>
        <w:fldChar w:fldCharType="begin"/>
      </w:r>
      <w:r>
        <w:rPr>
          <w:rFonts w:hint="eastAsia" w:ascii="宋体" w:hAnsi="宋体" w:eastAsia="宋体" w:cs="宋体"/>
          <w:b w:val="0"/>
          <w:bCs w:val="0"/>
          <w:kern w:val="0"/>
          <w:sz w:val="30"/>
          <w:szCs w:val="30"/>
        </w:rPr>
        <w:instrText xml:space="preserve"> PAGEREF _Toc3958 \h </w:instrText>
      </w:r>
      <w:r>
        <w:rPr>
          <w:rFonts w:hint="eastAsia" w:ascii="宋体" w:hAnsi="宋体" w:eastAsia="宋体" w:cs="宋体"/>
          <w:b w:val="0"/>
          <w:bCs w:val="0"/>
          <w:kern w:val="0"/>
          <w:sz w:val="30"/>
          <w:szCs w:val="30"/>
        </w:rPr>
        <w:fldChar w:fldCharType="separate"/>
      </w:r>
      <w:r>
        <w:rPr>
          <w:rFonts w:hint="eastAsia" w:ascii="宋体" w:hAnsi="宋体" w:eastAsia="宋体" w:cs="宋体"/>
          <w:b w:val="0"/>
          <w:bCs w:val="0"/>
          <w:kern w:val="0"/>
          <w:sz w:val="30"/>
          <w:szCs w:val="30"/>
        </w:rPr>
        <w:t>7</w:t>
      </w:r>
      <w:r>
        <w:rPr>
          <w:rFonts w:hint="eastAsia" w:ascii="宋体" w:hAnsi="宋体" w:eastAsia="宋体" w:cs="宋体"/>
          <w:b w:val="0"/>
          <w:bCs w:val="0"/>
          <w:kern w:val="0"/>
          <w:sz w:val="30"/>
          <w:szCs w:val="30"/>
        </w:rPr>
        <w:fldChar w:fldCharType="end"/>
      </w:r>
      <w:r>
        <w:rPr>
          <w:rFonts w:hint="eastAsia" w:ascii="宋体" w:hAnsi="宋体" w:eastAsia="宋体" w:cs="宋体"/>
          <w:b w:val="0"/>
          <w:bCs w:val="0"/>
          <w:snapToGrid w:val="0"/>
          <w:kern w:val="0"/>
          <w:sz w:val="30"/>
          <w:szCs w:val="30"/>
          <w:highlight w:val="none"/>
        </w:rPr>
        <w:fldChar w:fldCharType="end"/>
      </w:r>
    </w:p>
    <w:p w14:paraId="1A4B9109">
      <w:pPr>
        <w:pStyle w:val="22"/>
        <w:keepNext w:val="0"/>
        <w:keepLines w:val="0"/>
        <w:pageBreakBefore w:val="0"/>
        <w:widowControl w:val="0"/>
        <w:tabs>
          <w:tab w:val="right" w:leader="dot" w:pos="8300"/>
        </w:tabs>
        <w:kinsoku/>
        <w:wordWrap w:val="0"/>
        <w:overflowPunct/>
        <w:topLinePunct w:val="0"/>
        <w:autoSpaceDE w:val="0"/>
        <w:autoSpaceDN w:val="0"/>
        <w:bidi w:val="0"/>
        <w:adjustRightInd w:val="0"/>
        <w:snapToGrid w:val="0"/>
        <w:spacing w:before="0" w:after="0" w:line="480" w:lineRule="auto"/>
        <w:ind w:right="0"/>
        <w:jc w:val="left"/>
        <w:textAlignment w:val="auto"/>
        <w:rPr>
          <w:rFonts w:hint="eastAsia" w:ascii="宋体" w:hAnsi="宋体" w:eastAsia="宋体" w:cs="宋体"/>
          <w:b w:val="0"/>
          <w:bCs w:val="0"/>
          <w:kern w:val="0"/>
          <w:sz w:val="30"/>
          <w:szCs w:val="30"/>
        </w:rPr>
      </w:pPr>
      <w:r>
        <w:rPr>
          <w:rFonts w:hint="eastAsia" w:ascii="宋体" w:hAnsi="宋体" w:eastAsia="宋体" w:cs="宋体"/>
          <w:b w:val="0"/>
          <w:bCs w:val="0"/>
          <w:snapToGrid w:val="0"/>
          <w:kern w:val="0"/>
          <w:sz w:val="30"/>
          <w:szCs w:val="30"/>
          <w:highlight w:val="none"/>
        </w:rPr>
        <w:fldChar w:fldCharType="begin"/>
      </w:r>
      <w:r>
        <w:rPr>
          <w:rFonts w:hint="eastAsia" w:ascii="宋体" w:hAnsi="宋体" w:eastAsia="宋体" w:cs="宋体"/>
          <w:b w:val="0"/>
          <w:bCs w:val="0"/>
          <w:snapToGrid w:val="0"/>
          <w:kern w:val="0"/>
          <w:sz w:val="30"/>
          <w:szCs w:val="30"/>
          <w:highlight w:val="none"/>
        </w:rPr>
        <w:instrText xml:space="preserve"> HYPERLINK \l _Toc21597 </w:instrText>
      </w:r>
      <w:r>
        <w:rPr>
          <w:rFonts w:hint="eastAsia" w:ascii="宋体" w:hAnsi="宋体" w:eastAsia="宋体" w:cs="宋体"/>
          <w:b w:val="0"/>
          <w:bCs w:val="0"/>
          <w:snapToGrid w:val="0"/>
          <w:kern w:val="0"/>
          <w:sz w:val="30"/>
          <w:szCs w:val="30"/>
          <w:highlight w:val="none"/>
        </w:rPr>
        <w:fldChar w:fldCharType="separate"/>
      </w:r>
      <w:r>
        <w:rPr>
          <w:rFonts w:hint="eastAsia" w:ascii="宋体" w:hAnsi="宋体" w:eastAsia="宋体" w:cs="宋体"/>
          <w:b w:val="0"/>
          <w:bCs w:val="0"/>
          <w:kern w:val="0"/>
          <w:sz w:val="30"/>
          <w:szCs w:val="30"/>
          <w:highlight w:val="none"/>
        </w:rPr>
        <w:t>第二节  磋商须知</w:t>
      </w:r>
      <w:r>
        <w:rPr>
          <w:rFonts w:hint="eastAsia" w:ascii="宋体" w:hAnsi="宋体" w:eastAsia="宋体" w:cs="宋体"/>
          <w:b w:val="0"/>
          <w:bCs w:val="0"/>
          <w:kern w:val="0"/>
          <w:sz w:val="30"/>
          <w:szCs w:val="30"/>
        </w:rPr>
        <w:tab/>
      </w:r>
      <w:r>
        <w:rPr>
          <w:rFonts w:hint="eastAsia" w:ascii="宋体" w:hAnsi="宋体" w:eastAsia="宋体" w:cs="宋体"/>
          <w:b w:val="0"/>
          <w:bCs w:val="0"/>
          <w:kern w:val="0"/>
          <w:sz w:val="30"/>
          <w:szCs w:val="30"/>
        </w:rPr>
        <w:fldChar w:fldCharType="begin"/>
      </w:r>
      <w:r>
        <w:rPr>
          <w:rFonts w:hint="eastAsia" w:ascii="宋体" w:hAnsi="宋体" w:eastAsia="宋体" w:cs="宋体"/>
          <w:b w:val="0"/>
          <w:bCs w:val="0"/>
          <w:kern w:val="0"/>
          <w:sz w:val="30"/>
          <w:szCs w:val="30"/>
        </w:rPr>
        <w:instrText xml:space="preserve"> PAGEREF _Toc21597 \h </w:instrText>
      </w:r>
      <w:r>
        <w:rPr>
          <w:rFonts w:hint="eastAsia" w:ascii="宋体" w:hAnsi="宋体" w:eastAsia="宋体" w:cs="宋体"/>
          <w:b w:val="0"/>
          <w:bCs w:val="0"/>
          <w:kern w:val="0"/>
          <w:sz w:val="30"/>
          <w:szCs w:val="30"/>
        </w:rPr>
        <w:fldChar w:fldCharType="separate"/>
      </w:r>
      <w:r>
        <w:rPr>
          <w:rFonts w:hint="eastAsia" w:ascii="宋体" w:hAnsi="宋体" w:eastAsia="宋体" w:cs="宋体"/>
          <w:b w:val="0"/>
          <w:bCs w:val="0"/>
          <w:kern w:val="0"/>
          <w:sz w:val="30"/>
          <w:szCs w:val="30"/>
        </w:rPr>
        <w:t>9</w:t>
      </w:r>
      <w:r>
        <w:rPr>
          <w:rFonts w:hint="eastAsia" w:ascii="宋体" w:hAnsi="宋体" w:eastAsia="宋体" w:cs="宋体"/>
          <w:b w:val="0"/>
          <w:bCs w:val="0"/>
          <w:kern w:val="0"/>
          <w:sz w:val="30"/>
          <w:szCs w:val="30"/>
        </w:rPr>
        <w:fldChar w:fldCharType="end"/>
      </w:r>
      <w:r>
        <w:rPr>
          <w:rFonts w:hint="eastAsia" w:ascii="宋体" w:hAnsi="宋体" w:eastAsia="宋体" w:cs="宋体"/>
          <w:b w:val="0"/>
          <w:bCs w:val="0"/>
          <w:snapToGrid w:val="0"/>
          <w:kern w:val="0"/>
          <w:sz w:val="30"/>
          <w:szCs w:val="30"/>
          <w:highlight w:val="none"/>
        </w:rPr>
        <w:fldChar w:fldCharType="end"/>
      </w:r>
    </w:p>
    <w:p w14:paraId="483B49B6">
      <w:pPr>
        <w:pStyle w:val="20"/>
        <w:keepNext w:val="0"/>
        <w:keepLines w:val="0"/>
        <w:pageBreakBefore w:val="0"/>
        <w:widowControl w:val="0"/>
        <w:tabs>
          <w:tab w:val="right" w:leader="dot" w:pos="8300"/>
        </w:tabs>
        <w:kinsoku/>
        <w:wordWrap w:val="0"/>
        <w:overflowPunct/>
        <w:topLinePunct w:val="0"/>
        <w:autoSpaceDE w:val="0"/>
        <w:autoSpaceDN w:val="0"/>
        <w:bidi w:val="0"/>
        <w:adjustRightInd w:val="0"/>
        <w:snapToGrid w:val="0"/>
        <w:spacing w:after="0" w:line="480" w:lineRule="auto"/>
        <w:ind w:left="0" w:leftChars="0" w:right="0" w:firstLine="0"/>
        <w:jc w:val="left"/>
        <w:textAlignment w:val="auto"/>
        <w:rPr>
          <w:rFonts w:hint="eastAsia" w:ascii="宋体" w:hAnsi="宋体" w:eastAsia="宋体" w:cs="宋体"/>
          <w:b/>
          <w:bCs/>
          <w:kern w:val="0"/>
          <w:sz w:val="30"/>
          <w:szCs w:val="30"/>
        </w:rPr>
      </w:pPr>
      <w:r>
        <w:rPr>
          <w:rFonts w:hint="eastAsia" w:ascii="宋体" w:hAnsi="宋体" w:eastAsia="宋体" w:cs="宋体"/>
          <w:b/>
          <w:bCs/>
          <w:snapToGrid w:val="0"/>
          <w:kern w:val="0"/>
          <w:sz w:val="30"/>
          <w:szCs w:val="30"/>
          <w:highlight w:val="none"/>
        </w:rPr>
        <w:fldChar w:fldCharType="begin"/>
      </w:r>
      <w:r>
        <w:rPr>
          <w:rFonts w:hint="eastAsia" w:ascii="宋体" w:hAnsi="宋体" w:eastAsia="宋体" w:cs="宋体"/>
          <w:b/>
          <w:bCs/>
          <w:snapToGrid w:val="0"/>
          <w:kern w:val="0"/>
          <w:sz w:val="30"/>
          <w:szCs w:val="30"/>
          <w:highlight w:val="none"/>
        </w:rPr>
        <w:instrText xml:space="preserve"> HYPERLINK \l _Toc12470 </w:instrText>
      </w:r>
      <w:r>
        <w:rPr>
          <w:rFonts w:hint="eastAsia" w:ascii="宋体" w:hAnsi="宋体" w:eastAsia="宋体" w:cs="宋体"/>
          <w:b/>
          <w:bCs/>
          <w:snapToGrid w:val="0"/>
          <w:kern w:val="0"/>
          <w:sz w:val="30"/>
          <w:szCs w:val="30"/>
          <w:highlight w:val="none"/>
        </w:rPr>
        <w:fldChar w:fldCharType="separate"/>
      </w:r>
      <w:r>
        <w:rPr>
          <w:rFonts w:hint="eastAsia" w:ascii="宋体" w:hAnsi="宋体" w:eastAsia="宋体" w:cs="宋体"/>
          <w:b/>
          <w:bCs/>
          <w:kern w:val="0"/>
          <w:sz w:val="30"/>
          <w:szCs w:val="30"/>
          <w:highlight w:val="none"/>
        </w:rPr>
        <w:t>第三章、采购需求</w:t>
      </w:r>
      <w:r>
        <w:rPr>
          <w:rFonts w:hint="eastAsia" w:ascii="宋体" w:hAnsi="宋体" w:eastAsia="宋体" w:cs="宋体"/>
          <w:b/>
          <w:bCs/>
          <w:kern w:val="0"/>
          <w:sz w:val="30"/>
          <w:szCs w:val="30"/>
        </w:rPr>
        <w:tab/>
      </w:r>
      <w:r>
        <w:rPr>
          <w:rFonts w:hint="eastAsia" w:ascii="宋体" w:hAnsi="宋体" w:eastAsia="宋体" w:cs="宋体"/>
          <w:b/>
          <w:bCs/>
          <w:kern w:val="0"/>
          <w:sz w:val="30"/>
          <w:szCs w:val="30"/>
        </w:rPr>
        <w:fldChar w:fldCharType="begin"/>
      </w:r>
      <w:r>
        <w:rPr>
          <w:rFonts w:hint="eastAsia" w:ascii="宋体" w:hAnsi="宋体" w:eastAsia="宋体" w:cs="宋体"/>
          <w:b/>
          <w:bCs/>
          <w:kern w:val="0"/>
          <w:sz w:val="30"/>
          <w:szCs w:val="30"/>
        </w:rPr>
        <w:instrText xml:space="preserve"> PAGEREF _Toc12470 \h </w:instrText>
      </w:r>
      <w:r>
        <w:rPr>
          <w:rFonts w:hint="eastAsia" w:ascii="宋体" w:hAnsi="宋体" w:eastAsia="宋体" w:cs="宋体"/>
          <w:b/>
          <w:bCs/>
          <w:kern w:val="0"/>
          <w:sz w:val="30"/>
          <w:szCs w:val="30"/>
        </w:rPr>
        <w:fldChar w:fldCharType="separate"/>
      </w:r>
      <w:r>
        <w:rPr>
          <w:rFonts w:hint="eastAsia" w:ascii="宋体" w:hAnsi="宋体" w:eastAsia="宋体" w:cs="宋体"/>
          <w:b/>
          <w:bCs/>
          <w:kern w:val="0"/>
          <w:sz w:val="30"/>
          <w:szCs w:val="30"/>
        </w:rPr>
        <w:t>21</w:t>
      </w:r>
      <w:r>
        <w:rPr>
          <w:rFonts w:hint="eastAsia" w:ascii="宋体" w:hAnsi="宋体" w:eastAsia="宋体" w:cs="宋体"/>
          <w:b/>
          <w:bCs/>
          <w:kern w:val="0"/>
          <w:sz w:val="30"/>
          <w:szCs w:val="30"/>
        </w:rPr>
        <w:fldChar w:fldCharType="end"/>
      </w:r>
      <w:r>
        <w:rPr>
          <w:rFonts w:hint="eastAsia" w:ascii="宋体" w:hAnsi="宋体" w:eastAsia="宋体" w:cs="宋体"/>
          <w:b/>
          <w:bCs/>
          <w:snapToGrid w:val="0"/>
          <w:kern w:val="0"/>
          <w:sz w:val="30"/>
          <w:szCs w:val="30"/>
          <w:highlight w:val="none"/>
        </w:rPr>
        <w:fldChar w:fldCharType="end"/>
      </w:r>
    </w:p>
    <w:p w14:paraId="0EE0C4E2">
      <w:pPr>
        <w:pStyle w:val="20"/>
        <w:keepNext w:val="0"/>
        <w:keepLines w:val="0"/>
        <w:pageBreakBefore w:val="0"/>
        <w:widowControl w:val="0"/>
        <w:tabs>
          <w:tab w:val="right" w:leader="dot" w:pos="8300"/>
        </w:tabs>
        <w:kinsoku/>
        <w:wordWrap w:val="0"/>
        <w:overflowPunct/>
        <w:topLinePunct w:val="0"/>
        <w:autoSpaceDE w:val="0"/>
        <w:autoSpaceDN w:val="0"/>
        <w:bidi w:val="0"/>
        <w:adjustRightInd w:val="0"/>
        <w:snapToGrid w:val="0"/>
        <w:spacing w:after="0" w:line="480" w:lineRule="auto"/>
        <w:ind w:left="0" w:leftChars="0" w:right="0" w:firstLine="0"/>
        <w:jc w:val="left"/>
        <w:textAlignment w:val="auto"/>
        <w:rPr>
          <w:rFonts w:hint="eastAsia" w:ascii="宋体" w:hAnsi="宋体" w:eastAsia="宋体" w:cs="宋体"/>
          <w:b w:val="0"/>
          <w:bCs w:val="0"/>
          <w:kern w:val="0"/>
          <w:sz w:val="30"/>
          <w:szCs w:val="30"/>
        </w:rPr>
      </w:pPr>
      <w:r>
        <w:rPr>
          <w:rFonts w:hint="eastAsia" w:ascii="宋体" w:hAnsi="宋体" w:eastAsia="宋体" w:cs="宋体"/>
          <w:b/>
          <w:bCs/>
          <w:snapToGrid w:val="0"/>
          <w:kern w:val="0"/>
          <w:sz w:val="30"/>
          <w:szCs w:val="30"/>
          <w:highlight w:val="none"/>
        </w:rPr>
        <w:fldChar w:fldCharType="begin"/>
      </w:r>
      <w:r>
        <w:rPr>
          <w:rFonts w:hint="eastAsia" w:ascii="宋体" w:hAnsi="宋体" w:eastAsia="宋体" w:cs="宋体"/>
          <w:b/>
          <w:bCs/>
          <w:snapToGrid w:val="0"/>
          <w:kern w:val="0"/>
          <w:sz w:val="30"/>
          <w:szCs w:val="30"/>
          <w:highlight w:val="none"/>
        </w:rPr>
        <w:instrText xml:space="preserve"> HYPERLINK \l _Toc10417 </w:instrText>
      </w:r>
      <w:r>
        <w:rPr>
          <w:rFonts w:hint="eastAsia" w:ascii="宋体" w:hAnsi="宋体" w:eastAsia="宋体" w:cs="宋体"/>
          <w:b/>
          <w:bCs/>
          <w:snapToGrid w:val="0"/>
          <w:kern w:val="0"/>
          <w:sz w:val="30"/>
          <w:szCs w:val="30"/>
          <w:highlight w:val="none"/>
        </w:rPr>
        <w:fldChar w:fldCharType="separate"/>
      </w:r>
      <w:r>
        <w:rPr>
          <w:rFonts w:hint="eastAsia" w:ascii="宋体" w:hAnsi="宋体" w:eastAsia="宋体" w:cs="宋体"/>
          <w:b/>
          <w:bCs/>
          <w:kern w:val="0"/>
          <w:sz w:val="30"/>
          <w:szCs w:val="30"/>
          <w:highlight w:val="none"/>
        </w:rPr>
        <w:t>第四章  政府采购合同（格式）</w:t>
      </w:r>
      <w:r>
        <w:rPr>
          <w:rFonts w:hint="eastAsia" w:ascii="宋体" w:hAnsi="宋体" w:eastAsia="宋体" w:cs="宋体"/>
          <w:b/>
          <w:bCs/>
          <w:kern w:val="0"/>
          <w:sz w:val="30"/>
          <w:szCs w:val="30"/>
        </w:rPr>
        <w:tab/>
      </w:r>
      <w:r>
        <w:rPr>
          <w:rFonts w:hint="eastAsia" w:ascii="宋体" w:hAnsi="宋体" w:eastAsia="宋体" w:cs="宋体"/>
          <w:b/>
          <w:bCs/>
          <w:kern w:val="0"/>
          <w:sz w:val="30"/>
          <w:szCs w:val="30"/>
        </w:rPr>
        <w:fldChar w:fldCharType="begin"/>
      </w:r>
      <w:r>
        <w:rPr>
          <w:rFonts w:hint="eastAsia" w:ascii="宋体" w:hAnsi="宋体" w:eastAsia="宋体" w:cs="宋体"/>
          <w:b/>
          <w:bCs/>
          <w:kern w:val="0"/>
          <w:sz w:val="30"/>
          <w:szCs w:val="30"/>
        </w:rPr>
        <w:instrText xml:space="preserve"> PAGEREF _Toc10417 \h </w:instrText>
      </w:r>
      <w:r>
        <w:rPr>
          <w:rFonts w:hint="eastAsia" w:ascii="宋体" w:hAnsi="宋体" w:eastAsia="宋体" w:cs="宋体"/>
          <w:b/>
          <w:bCs/>
          <w:kern w:val="0"/>
          <w:sz w:val="30"/>
          <w:szCs w:val="30"/>
        </w:rPr>
        <w:fldChar w:fldCharType="separate"/>
      </w:r>
      <w:r>
        <w:rPr>
          <w:rFonts w:hint="eastAsia" w:ascii="宋体" w:hAnsi="宋体" w:eastAsia="宋体" w:cs="宋体"/>
          <w:b/>
          <w:bCs/>
          <w:kern w:val="0"/>
          <w:sz w:val="30"/>
          <w:szCs w:val="30"/>
        </w:rPr>
        <w:t>24</w:t>
      </w:r>
      <w:r>
        <w:rPr>
          <w:rFonts w:hint="eastAsia" w:ascii="宋体" w:hAnsi="宋体" w:eastAsia="宋体" w:cs="宋体"/>
          <w:b/>
          <w:bCs/>
          <w:kern w:val="0"/>
          <w:sz w:val="30"/>
          <w:szCs w:val="30"/>
        </w:rPr>
        <w:fldChar w:fldCharType="end"/>
      </w:r>
      <w:r>
        <w:rPr>
          <w:rFonts w:hint="eastAsia" w:ascii="宋体" w:hAnsi="宋体" w:eastAsia="宋体" w:cs="宋体"/>
          <w:b/>
          <w:bCs/>
          <w:snapToGrid w:val="0"/>
          <w:kern w:val="0"/>
          <w:sz w:val="30"/>
          <w:szCs w:val="30"/>
          <w:highlight w:val="none"/>
        </w:rPr>
        <w:fldChar w:fldCharType="end"/>
      </w:r>
    </w:p>
    <w:p w14:paraId="5D187E4D">
      <w:pPr>
        <w:pStyle w:val="22"/>
        <w:keepNext w:val="0"/>
        <w:keepLines w:val="0"/>
        <w:pageBreakBefore w:val="0"/>
        <w:widowControl w:val="0"/>
        <w:tabs>
          <w:tab w:val="right" w:leader="dot" w:pos="8300"/>
        </w:tabs>
        <w:kinsoku/>
        <w:wordWrap w:val="0"/>
        <w:overflowPunct/>
        <w:topLinePunct w:val="0"/>
        <w:autoSpaceDE w:val="0"/>
        <w:autoSpaceDN w:val="0"/>
        <w:bidi w:val="0"/>
        <w:adjustRightInd w:val="0"/>
        <w:snapToGrid w:val="0"/>
        <w:spacing w:before="0" w:after="0" w:line="480" w:lineRule="auto"/>
        <w:ind w:left="0" w:leftChars="0" w:right="0" w:firstLine="300" w:firstLineChars="100"/>
        <w:jc w:val="left"/>
        <w:textAlignment w:val="auto"/>
        <w:rPr>
          <w:rFonts w:hint="eastAsia" w:ascii="宋体" w:hAnsi="宋体" w:eastAsia="宋体" w:cs="宋体"/>
          <w:b w:val="0"/>
          <w:bCs w:val="0"/>
          <w:kern w:val="0"/>
          <w:sz w:val="30"/>
          <w:szCs w:val="30"/>
        </w:rPr>
      </w:pPr>
      <w:r>
        <w:rPr>
          <w:rFonts w:hint="eastAsia" w:ascii="宋体" w:hAnsi="宋体" w:eastAsia="宋体" w:cs="宋体"/>
          <w:b w:val="0"/>
          <w:bCs w:val="0"/>
          <w:snapToGrid w:val="0"/>
          <w:kern w:val="0"/>
          <w:sz w:val="30"/>
          <w:szCs w:val="30"/>
          <w:highlight w:val="none"/>
        </w:rPr>
        <w:fldChar w:fldCharType="begin"/>
      </w:r>
      <w:r>
        <w:rPr>
          <w:rFonts w:hint="eastAsia" w:ascii="宋体" w:hAnsi="宋体" w:eastAsia="宋体" w:cs="宋体"/>
          <w:b w:val="0"/>
          <w:bCs w:val="0"/>
          <w:snapToGrid w:val="0"/>
          <w:kern w:val="0"/>
          <w:sz w:val="30"/>
          <w:szCs w:val="30"/>
          <w:highlight w:val="none"/>
        </w:rPr>
        <w:instrText xml:space="preserve"> HYPERLINK \l _Toc12059 </w:instrText>
      </w:r>
      <w:r>
        <w:rPr>
          <w:rFonts w:hint="eastAsia" w:ascii="宋体" w:hAnsi="宋体" w:eastAsia="宋体" w:cs="宋体"/>
          <w:b w:val="0"/>
          <w:bCs w:val="0"/>
          <w:snapToGrid w:val="0"/>
          <w:kern w:val="0"/>
          <w:sz w:val="30"/>
          <w:szCs w:val="30"/>
          <w:highlight w:val="none"/>
        </w:rPr>
        <w:fldChar w:fldCharType="separate"/>
      </w:r>
      <w:r>
        <w:rPr>
          <w:rFonts w:hint="eastAsia" w:ascii="宋体" w:hAnsi="宋体" w:eastAsia="宋体" w:cs="宋体"/>
          <w:b w:val="0"/>
          <w:bCs w:val="0"/>
          <w:kern w:val="0"/>
          <w:sz w:val="30"/>
          <w:szCs w:val="30"/>
          <w:highlight w:val="none"/>
        </w:rPr>
        <w:t>第一节  政府采购合同协议书</w:t>
      </w:r>
      <w:r>
        <w:rPr>
          <w:rFonts w:hint="eastAsia" w:ascii="宋体" w:hAnsi="宋体" w:eastAsia="宋体" w:cs="宋体"/>
          <w:b w:val="0"/>
          <w:bCs w:val="0"/>
          <w:kern w:val="0"/>
          <w:sz w:val="30"/>
          <w:szCs w:val="30"/>
        </w:rPr>
        <w:tab/>
      </w:r>
      <w:r>
        <w:rPr>
          <w:rFonts w:hint="eastAsia" w:ascii="宋体" w:hAnsi="宋体" w:eastAsia="宋体" w:cs="宋体"/>
          <w:b w:val="0"/>
          <w:bCs w:val="0"/>
          <w:kern w:val="0"/>
          <w:sz w:val="30"/>
          <w:szCs w:val="30"/>
        </w:rPr>
        <w:fldChar w:fldCharType="begin"/>
      </w:r>
      <w:r>
        <w:rPr>
          <w:rFonts w:hint="eastAsia" w:ascii="宋体" w:hAnsi="宋体" w:eastAsia="宋体" w:cs="宋体"/>
          <w:b w:val="0"/>
          <w:bCs w:val="0"/>
          <w:kern w:val="0"/>
          <w:sz w:val="30"/>
          <w:szCs w:val="30"/>
        </w:rPr>
        <w:instrText xml:space="preserve"> PAGEREF _Toc12059 \h </w:instrText>
      </w:r>
      <w:r>
        <w:rPr>
          <w:rFonts w:hint="eastAsia" w:ascii="宋体" w:hAnsi="宋体" w:eastAsia="宋体" w:cs="宋体"/>
          <w:b w:val="0"/>
          <w:bCs w:val="0"/>
          <w:kern w:val="0"/>
          <w:sz w:val="30"/>
          <w:szCs w:val="30"/>
        </w:rPr>
        <w:fldChar w:fldCharType="separate"/>
      </w:r>
      <w:r>
        <w:rPr>
          <w:rFonts w:hint="eastAsia" w:ascii="宋体" w:hAnsi="宋体" w:eastAsia="宋体" w:cs="宋体"/>
          <w:b w:val="0"/>
          <w:bCs w:val="0"/>
          <w:kern w:val="0"/>
          <w:sz w:val="30"/>
          <w:szCs w:val="30"/>
        </w:rPr>
        <w:t>24</w:t>
      </w:r>
      <w:r>
        <w:rPr>
          <w:rFonts w:hint="eastAsia" w:ascii="宋体" w:hAnsi="宋体" w:eastAsia="宋体" w:cs="宋体"/>
          <w:b w:val="0"/>
          <w:bCs w:val="0"/>
          <w:kern w:val="0"/>
          <w:sz w:val="30"/>
          <w:szCs w:val="30"/>
        </w:rPr>
        <w:fldChar w:fldCharType="end"/>
      </w:r>
      <w:r>
        <w:rPr>
          <w:rFonts w:hint="eastAsia" w:ascii="宋体" w:hAnsi="宋体" w:eastAsia="宋体" w:cs="宋体"/>
          <w:b w:val="0"/>
          <w:bCs w:val="0"/>
          <w:snapToGrid w:val="0"/>
          <w:kern w:val="0"/>
          <w:sz w:val="30"/>
          <w:szCs w:val="30"/>
          <w:highlight w:val="none"/>
        </w:rPr>
        <w:fldChar w:fldCharType="end"/>
      </w:r>
    </w:p>
    <w:p w14:paraId="06FF0812">
      <w:pPr>
        <w:pStyle w:val="22"/>
        <w:keepNext w:val="0"/>
        <w:keepLines w:val="0"/>
        <w:pageBreakBefore w:val="0"/>
        <w:widowControl w:val="0"/>
        <w:tabs>
          <w:tab w:val="right" w:leader="dot" w:pos="8300"/>
        </w:tabs>
        <w:kinsoku/>
        <w:wordWrap w:val="0"/>
        <w:overflowPunct/>
        <w:topLinePunct w:val="0"/>
        <w:autoSpaceDE w:val="0"/>
        <w:autoSpaceDN w:val="0"/>
        <w:bidi w:val="0"/>
        <w:adjustRightInd w:val="0"/>
        <w:snapToGrid w:val="0"/>
        <w:spacing w:before="0" w:after="0" w:line="480" w:lineRule="auto"/>
        <w:ind w:left="0" w:leftChars="0" w:right="0" w:firstLine="300" w:firstLineChars="100"/>
        <w:jc w:val="left"/>
        <w:textAlignment w:val="auto"/>
        <w:rPr>
          <w:rFonts w:hint="eastAsia" w:ascii="宋体" w:hAnsi="宋体" w:eastAsia="宋体" w:cs="宋体"/>
          <w:b w:val="0"/>
          <w:bCs w:val="0"/>
          <w:kern w:val="0"/>
          <w:sz w:val="30"/>
          <w:szCs w:val="30"/>
        </w:rPr>
      </w:pPr>
      <w:r>
        <w:rPr>
          <w:rFonts w:hint="eastAsia" w:ascii="宋体" w:hAnsi="宋体" w:eastAsia="宋体" w:cs="宋体"/>
          <w:b w:val="0"/>
          <w:bCs w:val="0"/>
          <w:snapToGrid w:val="0"/>
          <w:kern w:val="0"/>
          <w:sz w:val="30"/>
          <w:szCs w:val="30"/>
          <w:highlight w:val="none"/>
        </w:rPr>
        <w:fldChar w:fldCharType="begin"/>
      </w:r>
      <w:r>
        <w:rPr>
          <w:rFonts w:hint="eastAsia" w:ascii="宋体" w:hAnsi="宋体" w:eastAsia="宋体" w:cs="宋体"/>
          <w:b w:val="0"/>
          <w:bCs w:val="0"/>
          <w:snapToGrid w:val="0"/>
          <w:kern w:val="0"/>
          <w:sz w:val="30"/>
          <w:szCs w:val="30"/>
          <w:highlight w:val="none"/>
        </w:rPr>
        <w:instrText xml:space="preserve"> HYPERLINK \l _Toc20603 </w:instrText>
      </w:r>
      <w:r>
        <w:rPr>
          <w:rFonts w:hint="eastAsia" w:ascii="宋体" w:hAnsi="宋体" w:eastAsia="宋体" w:cs="宋体"/>
          <w:b w:val="0"/>
          <w:bCs w:val="0"/>
          <w:snapToGrid w:val="0"/>
          <w:kern w:val="0"/>
          <w:sz w:val="30"/>
          <w:szCs w:val="30"/>
          <w:highlight w:val="none"/>
        </w:rPr>
        <w:fldChar w:fldCharType="separate"/>
      </w:r>
      <w:r>
        <w:rPr>
          <w:rFonts w:hint="eastAsia" w:ascii="宋体" w:hAnsi="宋体" w:eastAsia="宋体" w:cs="宋体"/>
          <w:b w:val="0"/>
          <w:bCs w:val="0"/>
          <w:kern w:val="0"/>
          <w:sz w:val="30"/>
          <w:szCs w:val="30"/>
          <w:highlight w:val="none"/>
        </w:rPr>
        <w:t>第二节  政府采购合同通用条款</w:t>
      </w:r>
      <w:r>
        <w:rPr>
          <w:rFonts w:hint="eastAsia" w:ascii="宋体" w:hAnsi="宋体" w:eastAsia="宋体" w:cs="宋体"/>
          <w:b w:val="0"/>
          <w:bCs w:val="0"/>
          <w:kern w:val="0"/>
          <w:sz w:val="30"/>
          <w:szCs w:val="30"/>
        </w:rPr>
        <w:tab/>
      </w:r>
      <w:r>
        <w:rPr>
          <w:rFonts w:hint="eastAsia" w:ascii="宋体" w:hAnsi="宋体" w:eastAsia="宋体" w:cs="宋体"/>
          <w:b w:val="0"/>
          <w:bCs w:val="0"/>
          <w:kern w:val="0"/>
          <w:sz w:val="30"/>
          <w:szCs w:val="30"/>
        </w:rPr>
        <w:fldChar w:fldCharType="begin"/>
      </w:r>
      <w:r>
        <w:rPr>
          <w:rFonts w:hint="eastAsia" w:ascii="宋体" w:hAnsi="宋体" w:eastAsia="宋体" w:cs="宋体"/>
          <w:b w:val="0"/>
          <w:bCs w:val="0"/>
          <w:kern w:val="0"/>
          <w:sz w:val="30"/>
          <w:szCs w:val="30"/>
        </w:rPr>
        <w:instrText xml:space="preserve"> PAGEREF _Toc20603 \h </w:instrText>
      </w:r>
      <w:r>
        <w:rPr>
          <w:rFonts w:hint="eastAsia" w:ascii="宋体" w:hAnsi="宋体" w:eastAsia="宋体" w:cs="宋体"/>
          <w:b w:val="0"/>
          <w:bCs w:val="0"/>
          <w:kern w:val="0"/>
          <w:sz w:val="30"/>
          <w:szCs w:val="30"/>
        </w:rPr>
        <w:fldChar w:fldCharType="separate"/>
      </w:r>
      <w:r>
        <w:rPr>
          <w:rFonts w:hint="eastAsia" w:ascii="宋体" w:hAnsi="宋体" w:eastAsia="宋体" w:cs="宋体"/>
          <w:b w:val="0"/>
          <w:bCs w:val="0"/>
          <w:kern w:val="0"/>
          <w:sz w:val="30"/>
          <w:szCs w:val="30"/>
        </w:rPr>
        <w:t>26</w:t>
      </w:r>
      <w:r>
        <w:rPr>
          <w:rFonts w:hint="eastAsia" w:ascii="宋体" w:hAnsi="宋体" w:eastAsia="宋体" w:cs="宋体"/>
          <w:b w:val="0"/>
          <w:bCs w:val="0"/>
          <w:kern w:val="0"/>
          <w:sz w:val="30"/>
          <w:szCs w:val="30"/>
        </w:rPr>
        <w:fldChar w:fldCharType="end"/>
      </w:r>
      <w:r>
        <w:rPr>
          <w:rFonts w:hint="eastAsia" w:ascii="宋体" w:hAnsi="宋体" w:eastAsia="宋体" w:cs="宋体"/>
          <w:b w:val="0"/>
          <w:bCs w:val="0"/>
          <w:snapToGrid w:val="0"/>
          <w:kern w:val="0"/>
          <w:sz w:val="30"/>
          <w:szCs w:val="30"/>
          <w:highlight w:val="none"/>
        </w:rPr>
        <w:fldChar w:fldCharType="end"/>
      </w:r>
    </w:p>
    <w:p w14:paraId="227D31BB">
      <w:pPr>
        <w:pStyle w:val="22"/>
        <w:keepNext w:val="0"/>
        <w:keepLines w:val="0"/>
        <w:pageBreakBefore w:val="0"/>
        <w:widowControl w:val="0"/>
        <w:tabs>
          <w:tab w:val="right" w:leader="dot" w:pos="8300"/>
        </w:tabs>
        <w:kinsoku/>
        <w:wordWrap w:val="0"/>
        <w:overflowPunct/>
        <w:topLinePunct w:val="0"/>
        <w:autoSpaceDE w:val="0"/>
        <w:autoSpaceDN w:val="0"/>
        <w:bidi w:val="0"/>
        <w:adjustRightInd w:val="0"/>
        <w:snapToGrid w:val="0"/>
        <w:spacing w:before="0" w:after="0" w:line="480" w:lineRule="auto"/>
        <w:ind w:left="0" w:leftChars="0" w:right="0" w:firstLine="300" w:firstLineChars="100"/>
        <w:jc w:val="left"/>
        <w:textAlignment w:val="auto"/>
        <w:rPr>
          <w:rFonts w:hint="eastAsia" w:ascii="宋体" w:hAnsi="宋体" w:eastAsia="宋体" w:cs="宋体"/>
          <w:b w:val="0"/>
          <w:bCs w:val="0"/>
          <w:kern w:val="0"/>
          <w:sz w:val="30"/>
          <w:szCs w:val="30"/>
        </w:rPr>
      </w:pPr>
      <w:r>
        <w:rPr>
          <w:rFonts w:hint="eastAsia" w:ascii="宋体" w:hAnsi="宋体" w:eastAsia="宋体" w:cs="宋体"/>
          <w:b w:val="0"/>
          <w:bCs w:val="0"/>
          <w:snapToGrid w:val="0"/>
          <w:kern w:val="0"/>
          <w:sz w:val="30"/>
          <w:szCs w:val="30"/>
          <w:highlight w:val="none"/>
        </w:rPr>
        <w:fldChar w:fldCharType="begin"/>
      </w:r>
      <w:r>
        <w:rPr>
          <w:rFonts w:hint="eastAsia" w:ascii="宋体" w:hAnsi="宋体" w:eastAsia="宋体" w:cs="宋体"/>
          <w:b w:val="0"/>
          <w:bCs w:val="0"/>
          <w:snapToGrid w:val="0"/>
          <w:kern w:val="0"/>
          <w:sz w:val="30"/>
          <w:szCs w:val="30"/>
          <w:highlight w:val="none"/>
        </w:rPr>
        <w:instrText xml:space="preserve"> HYPERLINK \l _Toc3960 </w:instrText>
      </w:r>
      <w:r>
        <w:rPr>
          <w:rFonts w:hint="eastAsia" w:ascii="宋体" w:hAnsi="宋体" w:eastAsia="宋体" w:cs="宋体"/>
          <w:b w:val="0"/>
          <w:bCs w:val="0"/>
          <w:snapToGrid w:val="0"/>
          <w:kern w:val="0"/>
          <w:sz w:val="30"/>
          <w:szCs w:val="30"/>
          <w:highlight w:val="none"/>
        </w:rPr>
        <w:fldChar w:fldCharType="separate"/>
      </w:r>
      <w:r>
        <w:rPr>
          <w:rFonts w:hint="eastAsia" w:ascii="宋体" w:hAnsi="宋体" w:eastAsia="宋体" w:cs="宋体"/>
          <w:b w:val="0"/>
          <w:bCs w:val="0"/>
          <w:kern w:val="0"/>
          <w:sz w:val="30"/>
          <w:szCs w:val="30"/>
          <w:highlight w:val="none"/>
        </w:rPr>
        <w:t>第三节  政府采购合同专用条款</w:t>
      </w:r>
      <w:r>
        <w:rPr>
          <w:rFonts w:hint="eastAsia" w:ascii="宋体" w:hAnsi="宋体" w:eastAsia="宋体" w:cs="宋体"/>
          <w:b w:val="0"/>
          <w:bCs w:val="0"/>
          <w:kern w:val="0"/>
          <w:sz w:val="30"/>
          <w:szCs w:val="30"/>
        </w:rPr>
        <w:tab/>
      </w:r>
      <w:r>
        <w:rPr>
          <w:rFonts w:hint="eastAsia" w:ascii="宋体" w:hAnsi="宋体" w:eastAsia="宋体" w:cs="宋体"/>
          <w:b w:val="0"/>
          <w:bCs w:val="0"/>
          <w:kern w:val="0"/>
          <w:sz w:val="30"/>
          <w:szCs w:val="30"/>
        </w:rPr>
        <w:fldChar w:fldCharType="begin"/>
      </w:r>
      <w:r>
        <w:rPr>
          <w:rFonts w:hint="eastAsia" w:ascii="宋体" w:hAnsi="宋体" w:eastAsia="宋体" w:cs="宋体"/>
          <w:b w:val="0"/>
          <w:bCs w:val="0"/>
          <w:kern w:val="0"/>
          <w:sz w:val="30"/>
          <w:szCs w:val="30"/>
        </w:rPr>
        <w:instrText xml:space="preserve"> PAGEREF _Toc3960 \h </w:instrText>
      </w:r>
      <w:r>
        <w:rPr>
          <w:rFonts w:hint="eastAsia" w:ascii="宋体" w:hAnsi="宋体" w:eastAsia="宋体" w:cs="宋体"/>
          <w:b w:val="0"/>
          <w:bCs w:val="0"/>
          <w:kern w:val="0"/>
          <w:sz w:val="30"/>
          <w:szCs w:val="30"/>
        </w:rPr>
        <w:fldChar w:fldCharType="separate"/>
      </w:r>
      <w:r>
        <w:rPr>
          <w:rFonts w:hint="eastAsia" w:ascii="宋体" w:hAnsi="宋体" w:eastAsia="宋体" w:cs="宋体"/>
          <w:b w:val="0"/>
          <w:bCs w:val="0"/>
          <w:kern w:val="0"/>
          <w:sz w:val="30"/>
          <w:szCs w:val="30"/>
        </w:rPr>
        <w:t>27</w:t>
      </w:r>
      <w:r>
        <w:rPr>
          <w:rFonts w:hint="eastAsia" w:ascii="宋体" w:hAnsi="宋体" w:eastAsia="宋体" w:cs="宋体"/>
          <w:b w:val="0"/>
          <w:bCs w:val="0"/>
          <w:kern w:val="0"/>
          <w:sz w:val="30"/>
          <w:szCs w:val="30"/>
        </w:rPr>
        <w:fldChar w:fldCharType="end"/>
      </w:r>
      <w:r>
        <w:rPr>
          <w:rFonts w:hint="eastAsia" w:ascii="宋体" w:hAnsi="宋体" w:eastAsia="宋体" w:cs="宋体"/>
          <w:b w:val="0"/>
          <w:bCs w:val="0"/>
          <w:snapToGrid w:val="0"/>
          <w:kern w:val="0"/>
          <w:sz w:val="30"/>
          <w:szCs w:val="30"/>
          <w:highlight w:val="none"/>
        </w:rPr>
        <w:fldChar w:fldCharType="end"/>
      </w:r>
    </w:p>
    <w:p w14:paraId="367138B3">
      <w:pPr>
        <w:pStyle w:val="20"/>
        <w:keepNext w:val="0"/>
        <w:keepLines w:val="0"/>
        <w:pageBreakBefore w:val="0"/>
        <w:widowControl w:val="0"/>
        <w:tabs>
          <w:tab w:val="right" w:leader="dot" w:pos="8300"/>
        </w:tabs>
        <w:kinsoku/>
        <w:wordWrap w:val="0"/>
        <w:overflowPunct/>
        <w:topLinePunct w:val="0"/>
        <w:autoSpaceDE w:val="0"/>
        <w:autoSpaceDN w:val="0"/>
        <w:bidi w:val="0"/>
        <w:adjustRightInd w:val="0"/>
        <w:snapToGrid w:val="0"/>
        <w:spacing w:after="0" w:line="480" w:lineRule="auto"/>
        <w:ind w:left="0" w:leftChars="0" w:right="0" w:firstLine="0"/>
        <w:jc w:val="left"/>
        <w:textAlignment w:val="auto"/>
        <w:rPr>
          <w:rFonts w:hint="eastAsia" w:ascii="宋体" w:hAnsi="宋体" w:eastAsia="宋体" w:cs="宋体"/>
          <w:b w:val="0"/>
          <w:bCs w:val="0"/>
          <w:kern w:val="0"/>
          <w:sz w:val="30"/>
          <w:szCs w:val="30"/>
        </w:rPr>
      </w:pPr>
      <w:r>
        <w:rPr>
          <w:rFonts w:hint="eastAsia" w:ascii="宋体" w:hAnsi="宋体" w:eastAsia="宋体" w:cs="宋体"/>
          <w:b/>
          <w:bCs/>
          <w:snapToGrid w:val="0"/>
          <w:kern w:val="0"/>
          <w:sz w:val="30"/>
          <w:szCs w:val="30"/>
          <w:highlight w:val="none"/>
        </w:rPr>
        <w:fldChar w:fldCharType="begin"/>
      </w:r>
      <w:r>
        <w:rPr>
          <w:rFonts w:hint="eastAsia" w:ascii="宋体" w:hAnsi="宋体" w:eastAsia="宋体" w:cs="宋体"/>
          <w:b/>
          <w:bCs/>
          <w:snapToGrid w:val="0"/>
          <w:kern w:val="0"/>
          <w:sz w:val="30"/>
          <w:szCs w:val="30"/>
          <w:highlight w:val="none"/>
        </w:rPr>
        <w:instrText xml:space="preserve"> HYPERLINK \l _Toc26200 </w:instrText>
      </w:r>
      <w:r>
        <w:rPr>
          <w:rFonts w:hint="eastAsia" w:ascii="宋体" w:hAnsi="宋体" w:eastAsia="宋体" w:cs="宋体"/>
          <w:b/>
          <w:bCs/>
          <w:snapToGrid w:val="0"/>
          <w:kern w:val="0"/>
          <w:sz w:val="30"/>
          <w:szCs w:val="30"/>
          <w:highlight w:val="none"/>
        </w:rPr>
        <w:fldChar w:fldCharType="separate"/>
      </w:r>
      <w:r>
        <w:rPr>
          <w:rFonts w:hint="eastAsia" w:ascii="宋体" w:hAnsi="宋体" w:eastAsia="宋体" w:cs="宋体"/>
          <w:b/>
          <w:bCs/>
          <w:kern w:val="0"/>
          <w:sz w:val="30"/>
          <w:szCs w:val="30"/>
          <w:highlight w:val="none"/>
        </w:rPr>
        <w:t>第五章 评审方法及标准</w:t>
      </w:r>
      <w:r>
        <w:rPr>
          <w:rFonts w:hint="eastAsia" w:ascii="宋体" w:hAnsi="宋体" w:eastAsia="宋体" w:cs="宋体"/>
          <w:b/>
          <w:bCs/>
          <w:kern w:val="0"/>
          <w:sz w:val="30"/>
          <w:szCs w:val="30"/>
        </w:rPr>
        <w:tab/>
      </w:r>
      <w:r>
        <w:rPr>
          <w:rFonts w:hint="eastAsia" w:ascii="宋体" w:hAnsi="宋体" w:eastAsia="宋体" w:cs="宋体"/>
          <w:b/>
          <w:bCs/>
          <w:kern w:val="0"/>
          <w:sz w:val="30"/>
          <w:szCs w:val="30"/>
        </w:rPr>
        <w:fldChar w:fldCharType="begin"/>
      </w:r>
      <w:r>
        <w:rPr>
          <w:rFonts w:hint="eastAsia" w:ascii="宋体" w:hAnsi="宋体" w:eastAsia="宋体" w:cs="宋体"/>
          <w:b/>
          <w:bCs/>
          <w:kern w:val="0"/>
          <w:sz w:val="30"/>
          <w:szCs w:val="30"/>
        </w:rPr>
        <w:instrText xml:space="preserve"> PAGEREF _Toc26200 \h </w:instrText>
      </w:r>
      <w:r>
        <w:rPr>
          <w:rFonts w:hint="eastAsia" w:ascii="宋体" w:hAnsi="宋体" w:eastAsia="宋体" w:cs="宋体"/>
          <w:b/>
          <w:bCs/>
          <w:kern w:val="0"/>
          <w:sz w:val="30"/>
          <w:szCs w:val="30"/>
        </w:rPr>
        <w:fldChar w:fldCharType="separate"/>
      </w:r>
      <w:r>
        <w:rPr>
          <w:rFonts w:hint="eastAsia" w:ascii="宋体" w:hAnsi="宋体" w:eastAsia="宋体" w:cs="宋体"/>
          <w:b/>
          <w:bCs/>
          <w:kern w:val="0"/>
          <w:sz w:val="30"/>
          <w:szCs w:val="30"/>
        </w:rPr>
        <w:t>28</w:t>
      </w:r>
      <w:r>
        <w:rPr>
          <w:rFonts w:hint="eastAsia" w:ascii="宋体" w:hAnsi="宋体" w:eastAsia="宋体" w:cs="宋体"/>
          <w:b/>
          <w:bCs/>
          <w:kern w:val="0"/>
          <w:sz w:val="30"/>
          <w:szCs w:val="30"/>
        </w:rPr>
        <w:fldChar w:fldCharType="end"/>
      </w:r>
      <w:r>
        <w:rPr>
          <w:rFonts w:hint="eastAsia" w:ascii="宋体" w:hAnsi="宋体" w:eastAsia="宋体" w:cs="宋体"/>
          <w:b/>
          <w:bCs/>
          <w:snapToGrid w:val="0"/>
          <w:kern w:val="0"/>
          <w:sz w:val="30"/>
          <w:szCs w:val="30"/>
          <w:highlight w:val="none"/>
        </w:rPr>
        <w:fldChar w:fldCharType="end"/>
      </w:r>
    </w:p>
    <w:p w14:paraId="0FFDA8DB">
      <w:pPr>
        <w:pStyle w:val="22"/>
        <w:keepNext w:val="0"/>
        <w:keepLines w:val="0"/>
        <w:pageBreakBefore w:val="0"/>
        <w:widowControl w:val="0"/>
        <w:tabs>
          <w:tab w:val="right" w:leader="dot" w:pos="8300"/>
        </w:tabs>
        <w:kinsoku/>
        <w:wordWrap w:val="0"/>
        <w:overflowPunct/>
        <w:topLinePunct w:val="0"/>
        <w:autoSpaceDE w:val="0"/>
        <w:autoSpaceDN w:val="0"/>
        <w:bidi w:val="0"/>
        <w:adjustRightInd w:val="0"/>
        <w:snapToGrid w:val="0"/>
        <w:spacing w:before="0" w:after="0" w:line="480" w:lineRule="auto"/>
        <w:ind w:left="0" w:leftChars="0" w:right="0" w:firstLine="300" w:firstLineChars="100"/>
        <w:jc w:val="left"/>
        <w:textAlignment w:val="auto"/>
        <w:rPr>
          <w:rFonts w:hint="eastAsia" w:ascii="宋体" w:hAnsi="宋体" w:eastAsia="宋体" w:cs="宋体"/>
          <w:b w:val="0"/>
          <w:bCs w:val="0"/>
          <w:kern w:val="0"/>
          <w:sz w:val="30"/>
          <w:szCs w:val="30"/>
        </w:rPr>
      </w:pPr>
      <w:r>
        <w:rPr>
          <w:rFonts w:hint="eastAsia" w:ascii="宋体" w:hAnsi="宋体" w:eastAsia="宋体" w:cs="宋体"/>
          <w:b w:val="0"/>
          <w:bCs w:val="0"/>
          <w:snapToGrid w:val="0"/>
          <w:kern w:val="0"/>
          <w:sz w:val="30"/>
          <w:szCs w:val="30"/>
          <w:highlight w:val="none"/>
        </w:rPr>
        <w:fldChar w:fldCharType="begin"/>
      </w:r>
      <w:r>
        <w:rPr>
          <w:rFonts w:hint="eastAsia" w:ascii="宋体" w:hAnsi="宋体" w:eastAsia="宋体" w:cs="宋体"/>
          <w:b w:val="0"/>
          <w:bCs w:val="0"/>
          <w:snapToGrid w:val="0"/>
          <w:kern w:val="0"/>
          <w:sz w:val="30"/>
          <w:szCs w:val="30"/>
          <w:highlight w:val="none"/>
        </w:rPr>
        <w:instrText xml:space="preserve"> HYPERLINK \l _Toc28321 </w:instrText>
      </w:r>
      <w:r>
        <w:rPr>
          <w:rFonts w:hint="eastAsia" w:ascii="宋体" w:hAnsi="宋体" w:eastAsia="宋体" w:cs="宋体"/>
          <w:b w:val="0"/>
          <w:bCs w:val="0"/>
          <w:snapToGrid w:val="0"/>
          <w:kern w:val="0"/>
          <w:sz w:val="30"/>
          <w:szCs w:val="30"/>
          <w:highlight w:val="none"/>
        </w:rPr>
        <w:fldChar w:fldCharType="separate"/>
      </w:r>
      <w:r>
        <w:rPr>
          <w:rFonts w:hint="eastAsia" w:ascii="宋体" w:hAnsi="宋体" w:eastAsia="宋体" w:cs="宋体"/>
          <w:b w:val="0"/>
          <w:bCs w:val="0"/>
          <w:kern w:val="0"/>
          <w:sz w:val="30"/>
          <w:szCs w:val="30"/>
          <w:highlight w:val="none"/>
        </w:rPr>
        <w:t>第一节 评审办法及标准前附表</w:t>
      </w:r>
      <w:r>
        <w:rPr>
          <w:rFonts w:hint="eastAsia" w:ascii="宋体" w:hAnsi="宋体" w:eastAsia="宋体" w:cs="宋体"/>
          <w:b w:val="0"/>
          <w:bCs w:val="0"/>
          <w:kern w:val="0"/>
          <w:sz w:val="30"/>
          <w:szCs w:val="30"/>
        </w:rPr>
        <w:tab/>
      </w:r>
      <w:r>
        <w:rPr>
          <w:rFonts w:hint="eastAsia" w:ascii="宋体" w:hAnsi="宋体" w:eastAsia="宋体" w:cs="宋体"/>
          <w:b w:val="0"/>
          <w:bCs w:val="0"/>
          <w:kern w:val="0"/>
          <w:sz w:val="30"/>
          <w:szCs w:val="30"/>
        </w:rPr>
        <w:fldChar w:fldCharType="begin"/>
      </w:r>
      <w:r>
        <w:rPr>
          <w:rFonts w:hint="eastAsia" w:ascii="宋体" w:hAnsi="宋体" w:eastAsia="宋体" w:cs="宋体"/>
          <w:b w:val="0"/>
          <w:bCs w:val="0"/>
          <w:kern w:val="0"/>
          <w:sz w:val="30"/>
          <w:szCs w:val="30"/>
        </w:rPr>
        <w:instrText xml:space="preserve"> PAGEREF _Toc28321 \h </w:instrText>
      </w:r>
      <w:r>
        <w:rPr>
          <w:rFonts w:hint="eastAsia" w:ascii="宋体" w:hAnsi="宋体" w:eastAsia="宋体" w:cs="宋体"/>
          <w:b w:val="0"/>
          <w:bCs w:val="0"/>
          <w:kern w:val="0"/>
          <w:sz w:val="30"/>
          <w:szCs w:val="30"/>
        </w:rPr>
        <w:fldChar w:fldCharType="separate"/>
      </w:r>
      <w:r>
        <w:rPr>
          <w:rFonts w:hint="eastAsia" w:ascii="宋体" w:hAnsi="宋体" w:eastAsia="宋体" w:cs="宋体"/>
          <w:b w:val="0"/>
          <w:bCs w:val="0"/>
          <w:kern w:val="0"/>
          <w:sz w:val="30"/>
          <w:szCs w:val="30"/>
        </w:rPr>
        <w:t>28</w:t>
      </w:r>
      <w:r>
        <w:rPr>
          <w:rFonts w:hint="eastAsia" w:ascii="宋体" w:hAnsi="宋体" w:eastAsia="宋体" w:cs="宋体"/>
          <w:b w:val="0"/>
          <w:bCs w:val="0"/>
          <w:kern w:val="0"/>
          <w:sz w:val="30"/>
          <w:szCs w:val="30"/>
        </w:rPr>
        <w:fldChar w:fldCharType="end"/>
      </w:r>
      <w:r>
        <w:rPr>
          <w:rFonts w:hint="eastAsia" w:ascii="宋体" w:hAnsi="宋体" w:eastAsia="宋体" w:cs="宋体"/>
          <w:b w:val="0"/>
          <w:bCs w:val="0"/>
          <w:snapToGrid w:val="0"/>
          <w:kern w:val="0"/>
          <w:sz w:val="30"/>
          <w:szCs w:val="30"/>
          <w:highlight w:val="none"/>
        </w:rPr>
        <w:fldChar w:fldCharType="end"/>
      </w:r>
    </w:p>
    <w:p w14:paraId="1DC19958">
      <w:pPr>
        <w:pStyle w:val="22"/>
        <w:keepNext w:val="0"/>
        <w:keepLines w:val="0"/>
        <w:pageBreakBefore w:val="0"/>
        <w:widowControl w:val="0"/>
        <w:tabs>
          <w:tab w:val="right" w:leader="dot" w:pos="8300"/>
        </w:tabs>
        <w:kinsoku/>
        <w:wordWrap w:val="0"/>
        <w:overflowPunct/>
        <w:topLinePunct w:val="0"/>
        <w:autoSpaceDE w:val="0"/>
        <w:autoSpaceDN w:val="0"/>
        <w:bidi w:val="0"/>
        <w:adjustRightInd w:val="0"/>
        <w:snapToGrid w:val="0"/>
        <w:spacing w:before="0" w:after="0" w:line="480" w:lineRule="auto"/>
        <w:ind w:left="0" w:leftChars="0" w:right="0" w:firstLine="300" w:firstLineChars="100"/>
        <w:jc w:val="left"/>
        <w:textAlignment w:val="auto"/>
        <w:rPr>
          <w:rFonts w:hint="eastAsia" w:ascii="宋体" w:hAnsi="宋体" w:eastAsia="宋体" w:cs="宋体"/>
          <w:b w:val="0"/>
          <w:bCs w:val="0"/>
          <w:kern w:val="0"/>
          <w:sz w:val="30"/>
          <w:szCs w:val="30"/>
        </w:rPr>
      </w:pPr>
      <w:r>
        <w:rPr>
          <w:rFonts w:hint="eastAsia" w:ascii="宋体" w:hAnsi="宋体" w:eastAsia="宋体" w:cs="宋体"/>
          <w:b w:val="0"/>
          <w:bCs w:val="0"/>
          <w:snapToGrid w:val="0"/>
          <w:kern w:val="0"/>
          <w:sz w:val="30"/>
          <w:szCs w:val="30"/>
          <w:highlight w:val="none"/>
        </w:rPr>
        <w:fldChar w:fldCharType="begin"/>
      </w:r>
      <w:r>
        <w:rPr>
          <w:rFonts w:hint="eastAsia" w:ascii="宋体" w:hAnsi="宋体" w:eastAsia="宋体" w:cs="宋体"/>
          <w:b w:val="0"/>
          <w:bCs w:val="0"/>
          <w:snapToGrid w:val="0"/>
          <w:kern w:val="0"/>
          <w:sz w:val="30"/>
          <w:szCs w:val="30"/>
          <w:highlight w:val="none"/>
        </w:rPr>
        <w:instrText xml:space="preserve"> HYPERLINK \l _Toc5561 </w:instrText>
      </w:r>
      <w:r>
        <w:rPr>
          <w:rFonts w:hint="eastAsia" w:ascii="宋体" w:hAnsi="宋体" w:eastAsia="宋体" w:cs="宋体"/>
          <w:b w:val="0"/>
          <w:bCs w:val="0"/>
          <w:snapToGrid w:val="0"/>
          <w:kern w:val="0"/>
          <w:sz w:val="30"/>
          <w:szCs w:val="30"/>
          <w:highlight w:val="none"/>
        </w:rPr>
        <w:fldChar w:fldCharType="separate"/>
      </w:r>
      <w:r>
        <w:rPr>
          <w:rFonts w:hint="eastAsia" w:ascii="宋体" w:hAnsi="宋体" w:eastAsia="宋体" w:cs="宋体"/>
          <w:b w:val="0"/>
          <w:bCs w:val="0"/>
          <w:kern w:val="0"/>
          <w:sz w:val="30"/>
          <w:szCs w:val="30"/>
          <w:highlight w:val="none"/>
        </w:rPr>
        <w:t>第二节 评审方法及标准</w:t>
      </w:r>
      <w:r>
        <w:rPr>
          <w:rFonts w:hint="eastAsia" w:ascii="宋体" w:hAnsi="宋体" w:eastAsia="宋体" w:cs="宋体"/>
          <w:b w:val="0"/>
          <w:bCs w:val="0"/>
          <w:kern w:val="0"/>
          <w:sz w:val="30"/>
          <w:szCs w:val="30"/>
        </w:rPr>
        <w:tab/>
      </w:r>
      <w:r>
        <w:rPr>
          <w:rFonts w:hint="eastAsia" w:ascii="宋体" w:hAnsi="宋体" w:eastAsia="宋体" w:cs="宋体"/>
          <w:b w:val="0"/>
          <w:bCs w:val="0"/>
          <w:kern w:val="0"/>
          <w:sz w:val="30"/>
          <w:szCs w:val="30"/>
        </w:rPr>
        <w:fldChar w:fldCharType="begin"/>
      </w:r>
      <w:r>
        <w:rPr>
          <w:rFonts w:hint="eastAsia" w:ascii="宋体" w:hAnsi="宋体" w:eastAsia="宋体" w:cs="宋体"/>
          <w:b w:val="0"/>
          <w:bCs w:val="0"/>
          <w:kern w:val="0"/>
          <w:sz w:val="30"/>
          <w:szCs w:val="30"/>
        </w:rPr>
        <w:instrText xml:space="preserve"> PAGEREF _Toc5561 \h </w:instrText>
      </w:r>
      <w:r>
        <w:rPr>
          <w:rFonts w:hint="eastAsia" w:ascii="宋体" w:hAnsi="宋体" w:eastAsia="宋体" w:cs="宋体"/>
          <w:b w:val="0"/>
          <w:bCs w:val="0"/>
          <w:kern w:val="0"/>
          <w:sz w:val="30"/>
          <w:szCs w:val="30"/>
        </w:rPr>
        <w:fldChar w:fldCharType="separate"/>
      </w:r>
      <w:r>
        <w:rPr>
          <w:rFonts w:hint="eastAsia" w:ascii="宋体" w:hAnsi="宋体" w:eastAsia="宋体" w:cs="宋体"/>
          <w:b w:val="0"/>
          <w:bCs w:val="0"/>
          <w:kern w:val="0"/>
          <w:sz w:val="30"/>
          <w:szCs w:val="30"/>
        </w:rPr>
        <w:t>29</w:t>
      </w:r>
      <w:r>
        <w:rPr>
          <w:rFonts w:hint="eastAsia" w:ascii="宋体" w:hAnsi="宋体" w:eastAsia="宋体" w:cs="宋体"/>
          <w:b w:val="0"/>
          <w:bCs w:val="0"/>
          <w:kern w:val="0"/>
          <w:sz w:val="30"/>
          <w:szCs w:val="30"/>
        </w:rPr>
        <w:fldChar w:fldCharType="end"/>
      </w:r>
      <w:r>
        <w:rPr>
          <w:rFonts w:hint="eastAsia" w:ascii="宋体" w:hAnsi="宋体" w:eastAsia="宋体" w:cs="宋体"/>
          <w:b w:val="0"/>
          <w:bCs w:val="0"/>
          <w:snapToGrid w:val="0"/>
          <w:kern w:val="0"/>
          <w:sz w:val="30"/>
          <w:szCs w:val="30"/>
          <w:highlight w:val="none"/>
        </w:rPr>
        <w:fldChar w:fldCharType="end"/>
      </w:r>
    </w:p>
    <w:p w14:paraId="246E227D">
      <w:pPr>
        <w:pStyle w:val="22"/>
        <w:keepNext w:val="0"/>
        <w:keepLines w:val="0"/>
        <w:pageBreakBefore w:val="0"/>
        <w:widowControl w:val="0"/>
        <w:tabs>
          <w:tab w:val="right" w:leader="dot" w:pos="8300"/>
        </w:tabs>
        <w:kinsoku/>
        <w:wordWrap w:val="0"/>
        <w:overflowPunct/>
        <w:topLinePunct w:val="0"/>
        <w:autoSpaceDE w:val="0"/>
        <w:autoSpaceDN w:val="0"/>
        <w:bidi w:val="0"/>
        <w:adjustRightInd w:val="0"/>
        <w:snapToGrid w:val="0"/>
        <w:spacing w:before="0" w:after="0" w:line="480" w:lineRule="auto"/>
        <w:ind w:left="0" w:leftChars="0" w:right="0" w:firstLine="300" w:firstLineChars="100"/>
        <w:jc w:val="left"/>
        <w:textAlignment w:val="auto"/>
        <w:rPr>
          <w:rFonts w:hint="eastAsia" w:ascii="宋体" w:hAnsi="宋体" w:eastAsia="宋体" w:cs="宋体"/>
          <w:b w:val="0"/>
          <w:bCs w:val="0"/>
          <w:kern w:val="0"/>
          <w:sz w:val="30"/>
          <w:szCs w:val="30"/>
        </w:rPr>
      </w:pPr>
      <w:r>
        <w:rPr>
          <w:rFonts w:hint="eastAsia" w:ascii="宋体" w:hAnsi="宋体" w:eastAsia="宋体" w:cs="宋体"/>
          <w:b w:val="0"/>
          <w:bCs w:val="0"/>
          <w:snapToGrid w:val="0"/>
          <w:kern w:val="0"/>
          <w:sz w:val="30"/>
          <w:szCs w:val="30"/>
          <w:highlight w:val="none"/>
        </w:rPr>
        <w:fldChar w:fldCharType="begin"/>
      </w:r>
      <w:r>
        <w:rPr>
          <w:rFonts w:hint="eastAsia" w:ascii="宋体" w:hAnsi="宋体" w:eastAsia="宋体" w:cs="宋体"/>
          <w:b w:val="0"/>
          <w:bCs w:val="0"/>
          <w:snapToGrid w:val="0"/>
          <w:kern w:val="0"/>
          <w:sz w:val="30"/>
          <w:szCs w:val="30"/>
          <w:highlight w:val="none"/>
        </w:rPr>
        <w:instrText xml:space="preserve"> HYPERLINK \l _Toc27785 </w:instrText>
      </w:r>
      <w:r>
        <w:rPr>
          <w:rFonts w:hint="eastAsia" w:ascii="宋体" w:hAnsi="宋体" w:eastAsia="宋体" w:cs="宋体"/>
          <w:b w:val="0"/>
          <w:bCs w:val="0"/>
          <w:snapToGrid w:val="0"/>
          <w:kern w:val="0"/>
          <w:sz w:val="30"/>
          <w:szCs w:val="30"/>
          <w:highlight w:val="none"/>
        </w:rPr>
        <w:fldChar w:fldCharType="separate"/>
      </w:r>
      <w:r>
        <w:rPr>
          <w:rFonts w:hint="eastAsia" w:ascii="宋体" w:hAnsi="宋体" w:eastAsia="宋体" w:cs="宋体"/>
          <w:b w:val="0"/>
          <w:bCs w:val="0"/>
          <w:kern w:val="0"/>
          <w:sz w:val="30"/>
          <w:szCs w:val="30"/>
          <w:highlight w:val="none"/>
        </w:rPr>
        <w:t>第三节 响应文件的资格性审查</w:t>
      </w:r>
      <w:r>
        <w:rPr>
          <w:rFonts w:hint="eastAsia" w:ascii="宋体" w:hAnsi="宋体" w:eastAsia="宋体" w:cs="宋体"/>
          <w:b w:val="0"/>
          <w:bCs w:val="0"/>
          <w:kern w:val="0"/>
          <w:sz w:val="30"/>
          <w:szCs w:val="30"/>
        </w:rPr>
        <w:tab/>
      </w:r>
      <w:r>
        <w:rPr>
          <w:rFonts w:hint="eastAsia" w:ascii="宋体" w:hAnsi="宋体" w:eastAsia="宋体" w:cs="宋体"/>
          <w:b w:val="0"/>
          <w:bCs w:val="0"/>
          <w:kern w:val="0"/>
          <w:sz w:val="30"/>
          <w:szCs w:val="30"/>
        </w:rPr>
        <w:fldChar w:fldCharType="begin"/>
      </w:r>
      <w:r>
        <w:rPr>
          <w:rFonts w:hint="eastAsia" w:ascii="宋体" w:hAnsi="宋体" w:eastAsia="宋体" w:cs="宋体"/>
          <w:b w:val="0"/>
          <w:bCs w:val="0"/>
          <w:kern w:val="0"/>
          <w:sz w:val="30"/>
          <w:szCs w:val="30"/>
        </w:rPr>
        <w:instrText xml:space="preserve"> PAGEREF _Toc27785 \h </w:instrText>
      </w:r>
      <w:r>
        <w:rPr>
          <w:rFonts w:hint="eastAsia" w:ascii="宋体" w:hAnsi="宋体" w:eastAsia="宋体" w:cs="宋体"/>
          <w:b w:val="0"/>
          <w:bCs w:val="0"/>
          <w:kern w:val="0"/>
          <w:sz w:val="30"/>
          <w:szCs w:val="30"/>
        </w:rPr>
        <w:fldChar w:fldCharType="separate"/>
      </w:r>
      <w:r>
        <w:rPr>
          <w:rFonts w:hint="eastAsia" w:ascii="宋体" w:hAnsi="宋体" w:eastAsia="宋体" w:cs="宋体"/>
          <w:b w:val="0"/>
          <w:bCs w:val="0"/>
          <w:kern w:val="0"/>
          <w:sz w:val="30"/>
          <w:szCs w:val="30"/>
        </w:rPr>
        <w:t>32</w:t>
      </w:r>
      <w:r>
        <w:rPr>
          <w:rFonts w:hint="eastAsia" w:ascii="宋体" w:hAnsi="宋体" w:eastAsia="宋体" w:cs="宋体"/>
          <w:b w:val="0"/>
          <w:bCs w:val="0"/>
          <w:kern w:val="0"/>
          <w:sz w:val="30"/>
          <w:szCs w:val="30"/>
        </w:rPr>
        <w:fldChar w:fldCharType="end"/>
      </w:r>
      <w:r>
        <w:rPr>
          <w:rFonts w:hint="eastAsia" w:ascii="宋体" w:hAnsi="宋体" w:eastAsia="宋体" w:cs="宋体"/>
          <w:b w:val="0"/>
          <w:bCs w:val="0"/>
          <w:snapToGrid w:val="0"/>
          <w:kern w:val="0"/>
          <w:sz w:val="30"/>
          <w:szCs w:val="30"/>
          <w:highlight w:val="none"/>
        </w:rPr>
        <w:fldChar w:fldCharType="end"/>
      </w:r>
    </w:p>
    <w:p w14:paraId="09C34D64">
      <w:pPr>
        <w:pStyle w:val="22"/>
        <w:keepNext w:val="0"/>
        <w:keepLines w:val="0"/>
        <w:pageBreakBefore w:val="0"/>
        <w:widowControl w:val="0"/>
        <w:tabs>
          <w:tab w:val="right" w:leader="dot" w:pos="8300"/>
        </w:tabs>
        <w:kinsoku/>
        <w:wordWrap w:val="0"/>
        <w:overflowPunct/>
        <w:topLinePunct w:val="0"/>
        <w:autoSpaceDE w:val="0"/>
        <w:autoSpaceDN w:val="0"/>
        <w:bidi w:val="0"/>
        <w:adjustRightInd w:val="0"/>
        <w:snapToGrid w:val="0"/>
        <w:spacing w:before="0" w:after="0" w:line="480" w:lineRule="auto"/>
        <w:ind w:left="0" w:leftChars="0" w:right="0" w:firstLine="300" w:firstLineChars="100"/>
        <w:jc w:val="left"/>
        <w:textAlignment w:val="auto"/>
        <w:rPr>
          <w:rFonts w:hint="eastAsia" w:ascii="宋体" w:hAnsi="宋体" w:eastAsia="宋体" w:cs="宋体"/>
          <w:b w:val="0"/>
          <w:bCs w:val="0"/>
          <w:kern w:val="0"/>
          <w:sz w:val="30"/>
          <w:szCs w:val="30"/>
        </w:rPr>
      </w:pPr>
      <w:r>
        <w:rPr>
          <w:rFonts w:hint="eastAsia" w:ascii="宋体" w:hAnsi="宋体" w:eastAsia="宋体" w:cs="宋体"/>
          <w:b w:val="0"/>
          <w:bCs w:val="0"/>
          <w:snapToGrid w:val="0"/>
          <w:kern w:val="0"/>
          <w:sz w:val="30"/>
          <w:szCs w:val="30"/>
          <w:highlight w:val="none"/>
        </w:rPr>
        <w:fldChar w:fldCharType="begin"/>
      </w:r>
      <w:r>
        <w:rPr>
          <w:rFonts w:hint="eastAsia" w:ascii="宋体" w:hAnsi="宋体" w:eastAsia="宋体" w:cs="宋体"/>
          <w:b w:val="0"/>
          <w:bCs w:val="0"/>
          <w:snapToGrid w:val="0"/>
          <w:kern w:val="0"/>
          <w:sz w:val="30"/>
          <w:szCs w:val="30"/>
          <w:highlight w:val="none"/>
        </w:rPr>
        <w:instrText xml:space="preserve"> HYPERLINK \l _Toc3215 </w:instrText>
      </w:r>
      <w:r>
        <w:rPr>
          <w:rFonts w:hint="eastAsia" w:ascii="宋体" w:hAnsi="宋体" w:eastAsia="宋体" w:cs="宋体"/>
          <w:b w:val="0"/>
          <w:bCs w:val="0"/>
          <w:snapToGrid w:val="0"/>
          <w:kern w:val="0"/>
          <w:sz w:val="30"/>
          <w:szCs w:val="30"/>
          <w:highlight w:val="none"/>
        </w:rPr>
        <w:fldChar w:fldCharType="separate"/>
      </w:r>
      <w:r>
        <w:rPr>
          <w:rFonts w:hint="eastAsia" w:ascii="宋体" w:hAnsi="宋体" w:eastAsia="宋体" w:cs="宋体"/>
          <w:b w:val="0"/>
          <w:bCs w:val="0"/>
          <w:kern w:val="0"/>
          <w:sz w:val="30"/>
          <w:szCs w:val="30"/>
          <w:highlight w:val="none"/>
        </w:rPr>
        <w:t>第四节 响应文件的符合性审查</w:t>
      </w:r>
      <w:r>
        <w:rPr>
          <w:rFonts w:hint="eastAsia" w:ascii="宋体" w:hAnsi="宋体" w:eastAsia="宋体" w:cs="宋体"/>
          <w:b w:val="0"/>
          <w:bCs w:val="0"/>
          <w:kern w:val="0"/>
          <w:sz w:val="30"/>
          <w:szCs w:val="30"/>
        </w:rPr>
        <w:tab/>
      </w:r>
      <w:r>
        <w:rPr>
          <w:rFonts w:hint="eastAsia" w:ascii="宋体" w:hAnsi="宋体" w:eastAsia="宋体" w:cs="宋体"/>
          <w:b w:val="0"/>
          <w:bCs w:val="0"/>
          <w:kern w:val="0"/>
          <w:sz w:val="30"/>
          <w:szCs w:val="30"/>
        </w:rPr>
        <w:fldChar w:fldCharType="begin"/>
      </w:r>
      <w:r>
        <w:rPr>
          <w:rFonts w:hint="eastAsia" w:ascii="宋体" w:hAnsi="宋体" w:eastAsia="宋体" w:cs="宋体"/>
          <w:b w:val="0"/>
          <w:bCs w:val="0"/>
          <w:kern w:val="0"/>
          <w:sz w:val="30"/>
          <w:szCs w:val="30"/>
        </w:rPr>
        <w:instrText xml:space="preserve"> PAGEREF _Toc3215 \h </w:instrText>
      </w:r>
      <w:r>
        <w:rPr>
          <w:rFonts w:hint="eastAsia" w:ascii="宋体" w:hAnsi="宋体" w:eastAsia="宋体" w:cs="宋体"/>
          <w:b w:val="0"/>
          <w:bCs w:val="0"/>
          <w:kern w:val="0"/>
          <w:sz w:val="30"/>
          <w:szCs w:val="30"/>
        </w:rPr>
        <w:fldChar w:fldCharType="separate"/>
      </w:r>
      <w:r>
        <w:rPr>
          <w:rFonts w:hint="eastAsia" w:ascii="宋体" w:hAnsi="宋体" w:eastAsia="宋体" w:cs="宋体"/>
          <w:b w:val="0"/>
          <w:bCs w:val="0"/>
          <w:kern w:val="0"/>
          <w:sz w:val="30"/>
          <w:szCs w:val="30"/>
        </w:rPr>
        <w:t>36</w:t>
      </w:r>
      <w:r>
        <w:rPr>
          <w:rFonts w:hint="eastAsia" w:ascii="宋体" w:hAnsi="宋体" w:eastAsia="宋体" w:cs="宋体"/>
          <w:b w:val="0"/>
          <w:bCs w:val="0"/>
          <w:kern w:val="0"/>
          <w:sz w:val="30"/>
          <w:szCs w:val="30"/>
        </w:rPr>
        <w:fldChar w:fldCharType="end"/>
      </w:r>
      <w:r>
        <w:rPr>
          <w:rFonts w:hint="eastAsia" w:ascii="宋体" w:hAnsi="宋体" w:eastAsia="宋体" w:cs="宋体"/>
          <w:b w:val="0"/>
          <w:bCs w:val="0"/>
          <w:snapToGrid w:val="0"/>
          <w:kern w:val="0"/>
          <w:sz w:val="30"/>
          <w:szCs w:val="30"/>
          <w:highlight w:val="none"/>
        </w:rPr>
        <w:fldChar w:fldCharType="end"/>
      </w:r>
    </w:p>
    <w:p w14:paraId="40F01C54">
      <w:pPr>
        <w:pStyle w:val="22"/>
        <w:keepNext w:val="0"/>
        <w:keepLines w:val="0"/>
        <w:pageBreakBefore w:val="0"/>
        <w:widowControl w:val="0"/>
        <w:tabs>
          <w:tab w:val="right" w:leader="dot" w:pos="8300"/>
        </w:tabs>
        <w:kinsoku/>
        <w:wordWrap w:val="0"/>
        <w:overflowPunct/>
        <w:topLinePunct w:val="0"/>
        <w:autoSpaceDE w:val="0"/>
        <w:autoSpaceDN w:val="0"/>
        <w:bidi w:val="0"/>
        <w:adjustRightInd w:val="0"/>
        <w:snapToGrid w:val="0"/>
        <w:spacing w:before="0" w:after="0" w:line="480" w:lineRule="auto"/>
        <w:ind w:left="0" w:leftChars="0" w:right="0" w:firstLine="300" w:firstLineChars="100"/>
        <w:jc w:val="left"/>
        <w:textAlignment w:val="auto"/>
        <w:rPr>
          <w:rFonts w:hint="eastAsia" w:ascii="宋体" w:hAnsi="宋体" w:eastAsia="宋体" w:cs="宋体"/>
          <w:b w:val="0"/>
          <w:bCs w:val="0"/>
          <w:kern w:val="0"/>
          <w:sz w:val="30"/>
          <w:szCs w:val="30"/>
        </w:rPr>
      </w:pPr>
      <w:r>
        <w:rPr>
          <w:rFonts w:hint="eastAsia" w:ascii="宋体" w:hAnsi="宋体" w:eastAsia="宋体" w:cs="宋体"/>
          <w:b w:val="0"/>
          <w:bCs w:val="0"/>
          <w:snapToGrid w:val="0"/>
          <w:kern w:val="0"/>
          <w:sz w:val="30"/>
          <w:szCs w:val="30"/>
          <w:highlight w:val="none"/>
        </w:rPr>
        <w:fldChar w:fldCharType="begin"/>
      </w:r>
      <w:r>
        <w:rPr>
          <w:rFonts w:hint="eastAsia" w:ascii="宋体" w:hAnsi="宋体" w:eastAsia="宋体" w:cs="宋体"/>
          <w:b w:val="0"/>
          <w:bCs w:val="0"/>
          <w:snapToGrid w:val="0"/>
          <w:kern w:val="0"/>
          <w:sz w:val="30"/>
          <w:szCs w:val="30"/>
          <w:highlight w:val="none"/>
        </w:rPr>
        <w:instrText xml:space="preserve"> HYPERLINK \l _Toc16833 </w:instrText>
      </w:r>
      <w:r>
        <w:rPr>
          <w:rFonts w:hint="eastAsia" w:ascii="宋体" w:hAnsi="宋体" w:eastAsia="宋体" w:cs="宋体"/>
          <w:b w:val="0"/>
          <w:bCs w:val="0"/>
          <w:snapToGrid w:val="0"/>
          <w:kern w:val="0"/>
          <w:sz w:val="30"/>
          <w:szCs w:val="30"/>
          <w:highlight w:val="none"/>
        </w:rPr>
        <w:fldChar w:fldCharType="separate"/>
      </w:r>
      <w:r>
        <w:rPr>
          <w:rFonts w:hint="eastAsia" w:ascii="宋体" w:hAnsi="宋体" w:eastAsia="宋体" w:cs="宋体"/>
          <w:b w:val="0"/>
          <w:bCs w:val="0"/>
          <w:kern w:val="0"/>
          <w:sz w:val="30"/>
          <w:szCs w:val="30"/>
          <w:highlight w:val="none"/>
        </w:rPr>
        <w:t>第</w:t>
      </w:r>
      <w:r>
        <w:rPr>
          <w:rFonts w:hint="eastAsia" w:ascii="宋体" w:hAnsi="宋体" w:eastAsia="宋体" w:cs="宋体"/>
          <w:b w:val="0"/>
          <w:bCs w:val="0"/>
          <w:kern w:val="0"/>
          <w:sz w:val="30"/>
          <w:szCs w:val="30"/>
          <w:highlight w:val="none"/>
          <w:lang w:eastAsia="zh-CN"/>
        </w:rPr>
        <w:t>五</w:t>
      </w:r>
      <w:r>
        <w:rPr>
          <w:rFonts w:hint="eastAsia" w:ascii="宋体" w:hAnsi="宋体" w:eastAsia="宋体" w:cs="宋体"/>
          <w:b w:val="0"/>
          <w:bCs w:val="0"/>
          <w:kern w:val="0"/>
          <w:sz w:val="30"/>
          <w:szCs w:val="30"/>
          <w:highlight w:val="none"/>
        </w:rPr>
        <w:t>节 响应文件的比较与评价</w:t>
      </w:r>
      <w:r>
        <w:rPr>
          <w:rFonts w:hint="eastAsia" w:ascii="宋体" w:hAnsi="宋体" w:eastAsia="宋体" w:cs="宋体"/>
          <w:b w:val="0"/>
          <w:bCs w:val="0"/>
          <w:kern w:val="0"/>
          <w:sz w:val="30"/>
          <w:szCs w:val="30"/>
        </w:rPr>
        <w:tab/>
      </w:r>
      <w:r>
        <w:rPr>
          <w:rFonts w:hint="eastAsia" w:ascii="宋体" w:hAnsi="宋体" w:eastAsia="宋体" w:cs="宋体"/>
          <w:b w:val="0"/>
          <w:bCs w:val="0"/>
          <w:kern w:val="0"/>
          <w:sz w:val="30"/>
          <w:szCs w:val="30"/>
        </w:rPr>
        <w:fldChar w:fldCharType="begin"/>
      </w:r>
      <w:r>
        <w:rPr>
          <w:rFonts w:hint="eastAsia" w:ascii="宋体" w:hAnsi="宋体" w:eastAsia="宋体" w:cs="宋体"/>
          <w:b w:val="0"/>
          <w:bCs w:val="0"/>
          <w:kern w:val="0"/>
          <w:sz w:val="30"/>
          <w:szCs w:val="30"/>
        </w:rPr>
        <w:instrText xml:space="preserve"> PAGEREF _Toc16833 \h </w:instrText>
      </w:r>
      <w:r>
        <w:rPr>
          <w:rFonts w:hint="eastAsia" w:ascii="宋体" w:hAnsi="宋体" w:eastAsia="宋体" w:cs="宋体"/>
          <w:b w:val="0"/>
          <w:bCs w:val="0"/>
          <w:kern w:val="0"/>
          <w:sz w:val="30"/>
          <w:szCs w:val="30"/>
        </w:rPr>
        <w:fldChar w:fldCharType="separate"/>
      </w:r>
      <w:r>
        <w:rPr>
          <w:rFonts w:hint="eastAsia" w:ascii="宋体" w:hAnsi="宋体" w:eastAsia="宋体" w:cs="宋体"/>
          <w:b w:val="0"/>
          <w:bCs w:val="0"/>
          <w:kern w:val="0"/>
          <w:sz w:val="30"/>
          <w:szCs w:val="30"/>
        </w:rPr>
        <w:t>40</w:t>
      </w:r>
      <w:r>
        <w:rPr>
          <w:rFonts w:hint="eastAsia" w:ascii="宋体" w:hAnsi="宋体" w:eastAsia="宋体" w:cs="宋体"/>
          <w:b w:val="0"/>
          <w:bCs w:val="0"/>
          <w:kern w:val="0"/>
          <w:sz w:val="30"/>
          <w:szCs w:val="30"/>
        </w:rPr>
        <w:fldChar w:fldCharType="end"/>
      </w:r>
      <w:r>
        <w:rPr>
          <w:rFonts w:hint="eastAsia" w:ascii="宋体" w:hAnsi="宋体" w:eastAsia="宋体" w:cs="宋体"/>
          <w:b w:val="0"/>
          <w:bCs w:val="0"/>
          <w:snapToGrid w:val="0"/>
          <w:kern w:val="0"/>
          <w:sz w:val="30"/>
          <w:szCs w:val="30"/>
          <w:highlight w:val="none"/>
        </w:rPr>
        <w:fldChar w:fldCharType="end"/>
      </w:r>
    </w:p>
    <w:p w14:paraId="318875B2">
      <w:pPr>
        <w:pStyle w:val="20"/>
        <w:keepNext w:val="0"/>
        <w:keepLines w:val="0"/>
        <w:pageBreakBefore w:val="0"/>
        <w:widowControl w:val="0"/>
        <w:tabs>
          <w:tab w:val="right" w:leader="dot" w:pos="8300"/>
        </w:tabs>
        <w:kinsoku/>
        <w:wordWrap w:val="0"/>
        <w:overflowPunct/>
        <w:topLinePunct w:val="0"/>
        <w:autoSpaceDE w:val="0"/>
        <w:autoSpaceDN w:val="0"/>
        <w:bidi w:val="0"/>
        <w:adjustRightInd w:val="0"/>
        <w:snapToGrid w:val="0"/>
        <w:spacing w:after="0" w:line="480" w:lineRule="auto"/>
        <w:ind w:left="0" w:leftChars="0" w:right="0" w:firstLine="0"/>
        <w:jc w:val="left"/>
        <w:textAlignment w:val="auto"/>
        <w:rPr>
          <w:rFonts w:hint="eastAsia" w:ascii="宋体" w:hAnsi="宋体" w:eastAsia="宋体" w:cs="宋体"/>
          <w:b/>
          <w:bCs/>
          <w:kern w:val="0"/>
          <w:sz w:val="30"/>
          <w:szCs w:val="30"/>
        </w:rPr>
      </w:pPr>
      <w:r>
        <w:rPr>
          <w:rFonts w:hint="eastAsia" w:ascii="宋体" w:hAnsi="宋体" w:eastAsia="宋体" w:cs="宋体"/>
          <w:b/>
          <w:bCs/>
          <w:snapToGrid w:val="0"/>
          <w:kern w:val="0"/>
          <w:sz w:val="30"/>
          <w:szCs w:val="30"/>
          <w:highlight w:val="none"/>
        </w:rPr>
        <w:fldChar w:fldCharType="begin"/>
      </w:r>
      <w:r>
        <w:rPr>
          <w:rFonts w:hint="eastAsia" w:ascii="宋体" w:hAnsi="宋体" w:eastAsia="宋体" w:cs="宋体"/>
          <w:b/>
          <w:bCs/>
          <w:snapToGrid w:val="0"/>
          <w:kern w:val="0"/>
          <w:sz w:val="30"/>
          <w:szCs w:val="30"/>
          <w:highlight w:val="none"/>
        </w:rPr>
        <w:instrText xml:space="preserve"> HYPERLINK \l _Toc3285 </w:instrText>
      </w:r>
      <w:r>
        <w:rPr>
          <w:rFonts w:hint="eastAsia" w:ascii="宋体" w:hAnsi="宋体" w:eastAsia="宋体" w:cs="宋体"/>
          <w:b/>
          <w:bCs/>
          <w:snapToGrid w:val="0"/>
          <w:kern w:val="0"/>
          <w:sz w:val="30"/>
          <w:szCs w:val="30"/>
          <w:highlight w:val="none"/>
        </w:rPr>
        <w:fldChar w:fldCharType="separate"/>
      </w:r>
      <w:r>
        <w:rPr>
          <w:rFonts w:hint="eastAsia" w:ascii="宋体" w:hAnsi="宋体" w:eastAsia="宋体" w:cs="宋体"/>
          <w:b/>
          <w:bCs/>
          <w:kern w:val="0"/>
          <w:sz w:val="30"/>
          <w:szCs w:val="30"/>
          <w:highlight w:val="none"/>
        </w:rPr>
        <w:t>第六章 响应文件的组成</w:t>
      </w:r>
      <w:r>
        <w:rPr>
          <w:rFonts w:hint="eastAsia" w:ascii="宋体" w:hAnsi="宋体" w:eastAsia="宋体" w:cs="宋体"/>
          <w:b/>
          <w:bCs/>
          <w:kern w:val="0"/>
          <w:sz w:val="30"/>
          <w:szCs w:val="30"/>
        </w:rPr>
        <w:tab/>
      </w:r>
      <w:r>
        <w:rPr>
          <w:rFonts w:hint="eastAsia" w:ascii="宋体" w:hAnsi="宋体" w:eastAsia="宋体" w:cs="宋体"/>
          <w:b/>
          <w:bCs/>
          <w:kern w:val="0"/>
          <w:sz w:val="30"/>
          <w:szCs w:val="30"/>
        </w:rPr>
        <w:fldChar w:fldCharType="begin"/>
      </w:r>
      <w:r>
        <w:rPr>
          <w:rFonts w:hint="eastAsia" w:ascii="宋体" w:hAnsi="宋体" w:eastAsia="宋体" w:cs="宋体"/>
          <w:b/>
          <w:bCs/>
          <w:kern w:val="0"/>
          <w:sz w:val="30"/>
          <w:szCs w:val="30"/>
        </w:rPr>
        <w:instrText xml:space="preserve"> PAGEREF _Toc3285 \h </w:instrText>
      </w:r>
      <w:r>
        <w:rPr>
          <w:rFonts w:hint="eastAsia" w:ascii="宋体" w:hAnsi="宋体" w:eastAsia="宋体" w:cs="宋体"/>
          <w:b/>
          <w:bCs/>
          <w:kern w:val="0"/>
          <w:sz w:val="30"/>
          <w:szCs w:val="30"/>
        </w:rPr>
        <w:fldChar w:fldCharType="separate"/>
      </w:r>
      <w:r>
        <w:rPr>
          <w:rFonts w:hint="eastAsia" w:ascii="宋体" w:hAnsi="宋体" w:eastAsia="宋体" w:cs="宋体"/>
          <w:b/>
          <w:bCs/>
          <w:kern w:val="0"/>
          <w:sz w:val="30"/>
          <w:szCs w:val="30"/>
        </w:rPr>
        <w:t>45</w:t>
      </w:r>
      <w:r>
        <w:rPr>
          <w:rFonts w:hint="eastAsia" w:ascii="宋体" w:hAnsi="宋体" w:eastAsia="宋体" w:cs="宋体"/>
          <w:b/>
          <w:bCs/>
          <w:kern w:val="0"/>
          <w:sz w:val="30"/>
          <w:szCs w:val="30"/>
        </w:rPr>
        <w:fldChar w:fldCharType="end"/>
      </w:r>
      <w:r>
        <w:rPr>
          <w:rFonts w:hint="eastAsia" w:ascii="宋体" w:hAnsi="宋体" w:eastAsia="宋体" w:cs="宋体"/>
          <w:b/>
          <w:bCs/>
          <w:snapToGrid w:val="0"/>
          <w:kern w:val="0"/>
          <w:sz w:val="30"/>
          <w:szCs w:val="30"/>
          <w:highlight w:val="none"/>
        </w:rPr>
        <w:fldChar w:fldCharType="end"/>
      </w:r>
    </w:p>
    <w:p w14:paraId="5B359158">
      <w:pPr>
        <w:pStyle w:val="20"/>
        <w:keepNext w:val="0"/>
        <w:keepLines w:val="0"/>
        <w:pageBreakBefore w:val="0"/>
        <w:widowControl w:val="0"/>
        <w:tabs>
          <w:tab w:val="right" w:leader="dot" w:pos="8300"/>
        </w:tabs>
        <w:kinsoku/>
        <w:wordWrap w:val="0"/>
        <w:overflowPunct/>
        <w:topLinePunct w:val="0"/>
        <w:autoSpaceDE w:val="0"/>
        <w:autoSpaceDN w:val="0"/>
        <w:bidi w:val="0"/>
        <w:adjustRightInd w:val="0"/>
        <w:snapToGrid w:val="0"/>
        <w:spacing w:after="0" w:line="480" w:lineRule="auto"/>
        <w:ind w:left="0" w:leftChars="0" w:right="0" w:firstLine="0"/>
        <w:jc w:val="left"/>
        <w:textAlignment w:val="auto"/>
        <w:rPr>
          <w:rFonts w:hint="eastAsia" w:ascii="宋体" w:hAnsi="宋体" w:eastAsia="宋体" w:cs="宋体"/>
          <w:b w:val="0"/>
          <w:bCs w:val="0"/>
          <w:color w:val="auto"/>
          <w:sz w:val="32"/>
          <w:szCs w:val="32"/>
          <w:highlight w:val="none"/>
        </w:rPr>
        <w:sectPr>
          <w:pgSz w:w="11900" w:h="16820"/>
          <w:pgMar w:top="1440" w:right="1800" w:bottom="1440" w:left="1800" w:header="0" w:footer="839" w:gutter="0"/>
          <w:cols w:space="720" w:num="1"/>
        </w:sectPr>
      </w:pPr>
      <w:r>
        <w:rPr>
          <w:rFonts w:hint="eastAsia" w:ascii="宋体" w:hAnsi="宋体" w:eastAsia="宋体" w:cs="宋体"/>
          <w:b w:val="0"/>
          <w:bCs w:val="0"/>
          <w:snapToGrid w:val="0"/>
          <w:kern w:val="0"/>
          <w:sz w:val="30"/>
          <w:szCs w:val="30"/>
          <w:highlight w:val="none"/>
        </w:rPr>
        <w:fldChar w:fldCharType="end"/>
      </w:r>
      <w:bookmarkStart w:id="59" w:name="_GoBack"/>
      <w:bookmarkEnd w:id="59"/>
    </w:p>
    <w:p w14:paraId="3115C0A0">
      <w:pPr>
        <w:adjustRightInd w:val="0"/>
        <w:snapToGrid w:val="0"/>
        <w:spacing w:line="400" w:lineRule="exact"/>
        <w:ind w:firstLine="643"/>
        <w:jc w:val="center"/>
        <w:outlineLvl w:val="0"/>
        <w:rPr>
          <w:rFonts w:hint="eastAsia" w:ascii="宋体" w:hAnsi="宋体" w:eastAsia="宋体" w:cs="宋体"/>
          <w:color w:val="auto"/>
          <w:szCs w:val="21"/>
          <w:highlight w:val="none"/>
        </w:rPr>
      </w:pPr>
      <w:bookmarkStart w:id="0" w:name="_Toc2628"/>
      <w:r>
        <w:rPr>
          <w:rFonts w:hint="eastAsia" w:ascii="宋体" w:hAnsi="宋体" w:eastAsia="宋体" w:cs="宋体"/>
          <w:b/>
          <w:color w:val="auto"/>
          <w:sz w:val="32"/>
          <w:szCs w:val="32"/>
          <w:highlight w:val="none"/>
        </w:rPr>
        <w:t>第一章 磋商邀请</w:t>
      </w:r>
      <w:bookmarkEnd w:id="0"/>
    </w:p>
    <w:p w14:paraId="2A8B83EE">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lang w:eastAsia="zh-CN"/>
        </w:rPr>
        <w:t>溆浦县低庄镇中心小学</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bidi="ar"/>
        </w:rPr>
        <w:t xml:space="preserve">（采购人名称）的 </w:t>
      </w:r>
      <w:r>
        <w:rPr>
          <w:rFonts w:hint="eastAsia" w:ascii="宋体" w:hAnsi="宋体" w:eastAsia="宋体" w:cs="宋体"/>
          <w:color w:val="auto"/>
          <w:sz w:val="21"/>
          <w:szCs w:val="21"/>
          <w:highlight w:val="none"/>
          <w:u w:val="single"/>
          <w:lang w:eastAsia="zh-CN"/>
        </w:rPr>
        <w:t>溆浦县低庄镇中心小学（下校区）食堂工程（第二次）</w:t>
      </w:r>
      <w:r>
        <w:rPr>
          <w:rFonts w:hint="eastAsia" w:ascii="宋体" w:hAnsi="宋体" w:eastAsia="宋体" w:cs="宋体"/>
          <w:color w:val="auto"/>
          <w:sz w:val="21"/>
          <w:szCs w:val="21"/>
          <w:highlight w:val="none"/>
          <w:lang w:bidi="ar"/>
        </w:rPr>
        <w:t xml:space="preserve"> (项目名称)进行竞争性磋商采购，现采用发布公告方式，邀请符合资格条件的供应商参与竞争性磋商采购活动。</w:t>
      </w:r>
    </w:p>
    <w:p w14:paraId="45511814">
      <w:pPr>
        <w:keepNext/>
        <w:keepLines/>
        <w:pageBreakBefore w:val="0"/>
        <w:kinsoku/>
        <w:overflowPunct/>
        <w:topLinePunct w:val="0"/>
        <w:autoSpaceDE/>
        <w:autoSpaceDN/>
        <w:bidi w:val="0"/>
        <w:adjustRightInd w:val="0"/>
        <w:snapToGrid w:val="0"/>
        <w:spacing w:line="360" w:lineRule="exact"/>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bidi="ar"/>
        </w:rPr>
        <w:t>一、项目概况</w:t>
      </w:r>
    </w:p>
    <w:p w14:paraId="53159034">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bidi="ar"/>
        </w:rPr>
        <w:t>1、采购项目名称：</w:t>
      </w:r>
      <w:r>
        <w:rPr>
          <w:rFonts w:hint="eastAsia" w:ascii="宋体" w:hAnsi="宋体" w:eastAsia="宋体" w:cs="宋体"/>
          <w:color w:val="auto"/>
          <w:sz w:val="21"/>
          <w:szCs w:val="21"/>
          <w:highlight w:val="none"/>
          <w:u w:val="single"/>
          <w:lang w:eastAsia="zh-CN" w:bidi="ar"/>
        </w:rPr>
        <w:t>溆浦县低庄镇中心小学（下校区）食堂工程（第二次）</w:t>
      </w:r>
    </w:p>
    <w:p w14:paraId="0B4FF3D9">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2、计划备案号：</w:t>
      </w:r>
      <w:r>
        <w:rPr>
          <w:rFonts w:hint="eastAsia" w:ascii="宋体" w:hAnsi="宋体" w:eastAsia="宋体" w:cs="宋体"/>
          <w:color w:val="auto"/>
          <w:sz w:val="21"/>
          <w:szCs w:val="21"/>
          <w:highlight w:val="none"/>
          <w:u w:val="single"/>
          <w:lang w:eastAsia="zh-CN" w:bidi="ar"/>
        </w:rPr>
        <w:t>(2026)431224000039-1</w:t>
      </w:r>
    </w:p>
    <w:p w14:paraId="098EEEA6">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default" w:ascii="宋体" w:hAnsi="宋体" w:eastAsia="宋体" w:cs="宋体"/>
          <w:color w:val="auto"/>
          <w:sz w:val="21"/>
          <w:szCs w:val="21"/>
          <w:highlight w:val="red"/>
          <w:u w:val="single"/>
          <w:lang w:val="en-US" w:eastAsia="zh-CN"/>
        </w:rPr>
      </w:pPr>
      <w:r>
        <w:rPr>
          <w:rFonts w:hint="eastAsia" w:ascii="宋体" w:hAnsi="宋体" w:eastAsia="宋体" w:cs="宋体"/>
          <w:color w:val="auto"/>
          <w:sz w:val="21"/>
          <w:szCs w:val="21"/>
          <w:highlight w:val="none"/>
          <w:lang w:val="en-US" w:eastAsia="zh-CN" w:bidi="ar"/>
        </w:rPr>
        <w:t>3、</w:t>
      </w:r>
      <w:r>
        <w:rPr>
          <w:rFonts w:hint="eastAsia" w:ascii="宋体" w:hAnsi="宋体" w:eastAsia="宋体" w:cs="宋体"/>
          <w:color w:val="auto"/>
          <w:sz w:val="21"/>
          <w:szCs w:val="21"/>
          <w:highlight w:val="none"/>
          <w:lang w:bidi="ar"/>
        </w:rPr>
        <w:t>采购计划编号：</w:t>
      </w:r>
      <w:r>
        <w:rPr>
          <w:rFonts w:hint="eastAsia" w:ascii="宋体" w:hAnsi="宋体" w:eastAsia="宋体" w:cs="宋体"/>
          <w:color w:val="auto"/>
          <w:sz w:val="21"/>
          <w:szCs w:val="21"/>
          <w:highlight w:val="none"/>
          <w:u w:val="single"/>
          <w:lang w:eastAsia="zh-CN" w:bidi="ar"/>
        </w:rPr>
        <w:t>溆财采计(2026)145</w:t>
      </w:r>
    </w:p>
    <w:p w14:paraId="1CBC7363">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val="en-US" w:eastAsia="zh-CN" w:bidi="ar"/>
        </w:rPr>
        <w:t>4</w:t>
      </w:r>
      <w:r>
        <w:rPr>
          <w:rFonts w:hint="eastAsia" w:ascii="宋体" w:hAnsi="宋体" w:eastAsia="宋体" w:cs="宋体"/>
          <w:color w:val="auto"/>
          <w:sz w:val="21"/>
          <w:szCs w:val="21"/>
          <w:highlight w:val="none"/>
          <w:lang w:bidi="ar"/>
        </w:rPr>
        <w:t>、委托代理编号：</w:t>
      </w:r>
      <w:r>
        <w:rPr>
          <w:rFonts w:hint="eastAsia" w:ascii="宋体" w:hAnsi="宋体" w:eastAsia="宋体" w:cs="宋体"/>
          <w:color w:val="auto"/>
          <w:sz w:val="21"/>
          <w:szCs w:val="21"/>
          <w:highlight w:val="none"/>
          <w:u w:val="single"/>
          <w:lang w:eastAsia="zh-CN"/>
        </w:rPr>
        <w:t>2026-DF-ZC-8013</w:t>
      </w:r>
    </w:p>
    <w:p w14:paraId="04A366C6">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lang w:val="en-US" w:eastAsia="zh-CN" w:bidi="ar"/>
        </w:rPr>
        <w:t>5</w:t>
      </w:r>
      <w:r>
        <w:rPr>
          <w:rFonts w:hint="eastAsia" w:ascii="宋体" w:hAnsi="宋体" w:eastAsia="宋体" w:cs="宋体"/>
          <w:bCs/>
          <w:color w:val="auto"/>
          <w:sz w:val="21"/>
          <w:szCs w:val="21"/>
          <w:highlight w:val="none"/>
          <w:lang w:bidi="ar"/>
        </w:rPr>
        <w:t>、采购项目预算：</w:t>
      </w:r>
      <w:r>
        <w:rPr>
          <w:rFonts w:hint="eastAsia" w:ascii="宋体" w:hAnsi="宋体" w:eastAsia="宋体" w:cs="宋体"/>
          <w:bCs/>
          <w:color w:val="auto"/>
          <w:sz w:val="21"/>
          <w:szCs w:val="21"/>
          <w:highlight w:val="none"/>
          <w:u w:val="single"/>
          <w:lang w:eastAsia="zh-CN" w:bidi="ar"/>
        </w:rPr>
        <w:t>1824600.00元</w:t>
      </w:r>
    </w:p>
    <w:p w14:paraId="0BAA6A30">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sym w:font="Wingdings" w:char="00A8"/>
      </w:r>
      <w:r>
        <w:rPr>
          <w:rFonts w:hint="eastAsia" w:ascii="宋体" w:hAnsi="宋体" w:eastAsia="宋体" w:cs="宋体"/>
          <w:iCs/>
          <w:color w:val="auto"/>
          <w:sz w:val="21"/>
          <w:szCs w:val="21"/>
          <w:highlight w:val="none"/>
          <w:lang w:bidi="ar"/>
        </w:rPr>
        <w:t>支持</w:t>
      </w:r>
      <w:r>
        <w:rPr>
          <w:rFonts w:hint="eastAsia" w:ascii="宋体" w:hAnsi="宋体" w:eastAsia="宋体" w:cs="宋体"/>
          <w:bCs/>
          <w:color w:val="auto"/>
          <w:sz w:val="21"/>
          <w:szCs w:val="21"/>
          <w:highlight w:val="none"/>
          <w:lang w:bidi="ar"/>
        </w:rPr>
        <w:t>预付款，预付比例：</w:t>
      </w:r>
      <w:r>
        <w:rPr>
          <w:rFonts w:hint="eastAsia" w:ascii="宋体" w:hAnsi="宋体" w:eastAsia="宋体" w:cs="宋体"/>
          <w:i w:val="0"/>
          <w:iCs w:val="0"/>
          <w:caps w:val="0"/>
          <w:color w:val="000000"/>
          <w:spacing w:val="0"/>
          <w:sz w:val="21"/>
          <w:szCs w:val="21"/>
          <w:u w:val="single"/>
        </w:rPr>
        <w:t> /</w:t>
      </w:r>
      <w:r>
        <w:rPr>
          <w:rFonts w:hint="eastAsia" w:ascii="宋体" w:hAnsi="宋体" w:eastAsia="宋体" w:cs="宋体"/>
          <w:i w:val="0"/>
          <w:iCs w:val="0"/>
          <w:caps w:val="0"/>
          <w:color w:val="000000"/>
          <w:spacing w:val="0"/>
          <w:sz w:val="21"/>
          <w:szCs w:val="21"/>
          <w:u w:val="single"/>
          <w:lang w:val="en-US" w:eastAsia="zh-CN"/>
        </w:rPr>
        <w:t xml:space="preserve"> </w:t>
      </w:r>
      <w:r>
        <w:rPr>
          <w:rFonts w:hint="eastAsia" w:ascii="宋体" w:hAnsi="宋体" w:eastAsia="宋体" w:cs="宋体"/>
          <w:i w:val="0"/>
          <w:iCs w:val="0"/>
          <w:caps w:val="0"/>
          <w:color w:val="000000"/>
          <w:spacing w:val="0"/>
          <w:sz w:val="21"/>
          <w:szCs w:val="21"/>
          <w:u w:val="single"/>
        </w:rPr>
        <w:t> </w:t>
      </w:r>
      <w:r>
        <w:rPr>
          <w:rFonts w:hint="eastAsia" w:ascii="宋体" w:hAnsi="宋体" w:eastAsia="宋体" w:cs="宋体"/>
          <w:i w:val="0"/>
          <w:iCs w:val="0"/>
          <w:caps w:val="0"/>
          <w:color w:val="000000"/>
          <w:spacing w:val="0"/>
          <w:sz w:val="21"/>
          <w:szCs w:val="21"/>
          <w:u w:val="single"/>
          <w:lang w:val="en-US" w:eastAsia="zh-CN"/>
        </w:rPr>
        <w:t xml:space="preserve">     </w:t>
      </w:r>
    </w:p>
    <w:p w14:paraId="23B86604">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en-US" w:eastAsia="zh-CN" w:bidi="ar"/>
        </w:rPr>
        <w:t>6</w:t>
      </w:r>
      <w:r>
        <w:rPr>
          <w:rFonts w:hint="eastAsia" w:ascii="宋体" w:hAnsi="宋体" w:eastAsia="宋体" w:cs="宋体"/>
          <w:bCs/>
          <w:color w:val="auto"/>
          <w:sz w:val="21"/>
          <w:szCs w:val="21"/>
          <w:highlight w:val="none"/>
          <w:lang w:bidi="ar"/>
        </w:rPr>
        <w:t>、本项目</w:t>
      </w:r>
      <w:r>
        <w:rPr>
          <w:rFonts w:hint="eastAsia" w:ascii="宋体" w:hAnsi="宋体" w:eastAsia="宋体" w:cs="宋体"/>
          <w:color w:val="auto"/>
          <w:sz w:val="21"/>
          <w:szCs w:val="21"/>
          <w:highlight w:val="none"/>
          <w:lang w:bidi="ar"/>
        </w:rPr>
        <w:t>对应的中小企业划分标准所属行业：</w:t>
      </w:r>
      <w:r>
        <w:rPr>
          <w:rFonts w:hint="eastAsia" w:ascii="宋体" w:hAnsi="宋体" w:eastAsia="宋体" w:cs="宋体"/>
          <w:color w:val="auto"/>
          <w:sz w:val="21"/>
          <w:szCs w:val="21"/>
          <w:highlight w:val="none"/>
          <w:u w:val="single"/>
          <w:lang w:bidi="ar"/>
        </w:rPr>
        <w:t xml:space="preserve"> 建筑行业   </w:t>
      </w:r>
    </w:p>
    <w:p w14:paraId="742E723B">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en-US" w:eastAsia="zh-CN" w:bidi="ar"/>
        </w:rPr>
        <w:t>7</w:t>
      </w:r>
      <w:r>
        <w:rPr>
          <w:rFonts w:hint="eastAsia" w:ascii="宋体" w:hAnsi="宋体" w:eastAsia="宋体" w:cs="宋体"/>
          <w:bCs/>
          <w:color w:val="auto"/>
          <w:sz w:val="21"/>
          <w:szCs w:val="21"/>
          <w:highlight w:val="none"/>
          <w:lang w:bidi="ar"/>
        </w:rPr>
        <w:t>、合同定价方式：</w:t>
      </w:r>
      <w:r>
        <w:rPr>
          <w:rFonts w:hint="eastAsia" w:ascii="宋体" w:hAnsi="宋体" w:eastAsia="宋体" w:cs="宋体"/>
          <w:color w:val="auto"/>
          <w:sz w:val="21"/>
          <w:szCs w:val="21"/>
          <w:highlight w:val="none"/>
        </w:rPr>
        <w:t>■</w:t>
      </w:r>
      <w:r>
        <w:rPr>
          <w:rFonts w:hint="eastAsia" w:ascii="宋体" w:hAnsi="宋体" w:eastAsia="宋体" w:cs="宋体"/>
          <w:iCs/>
          <w:color w:val="auto"/>
          <w:sz w:val="21"/>
          <w:szCs w:val="21"/>
          <w:highlight w:val="none"/>
        </w:rPr>
        <w:t xml:space="preserve">固定总价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固定单价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成本补偿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绩效激励</w:t>
      </w:r>
    </w:p>
    <w:p w14:paraId="34E125EA">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lang w:val="en-US" w:eastAsia="zh-CN" w:bidi="ar"/>
        </w:rPr>
        <w:t>8</w:t>
      </w:r>
      <w:r>
        <w:rPr>
          <w:rFonts w:hint="eastAsia" w:ascii="宋体" w:hAnsi="宋体" w:eastAsia="宋体" w:cs="宋体"/>
          <w:bCs/>
          <w:color w:val="auto"/>
          <w:sz w:val="21"/>
          <w:szCs w:val="21"/>
          <w:highlight w:val="none"/>
          <w:lang w:bidi="ar"/>
        </w:rPr>
        <w:t>、合同履行期限：</w:t>
      </w:r>
      <w:r>
        <w:rPr>
          <w:rFonts w:hint="eastAsia" w:ascii="宋体" w:hAnsi="宋体" w:eastAsia="宋体" w:cs="宋体"/>
          <w:color w:val="auto"/>
          <w:kern w:val="0"/>
          <w:sz w:val="21"/>
          <w:szCs w:val="21"/>
          <w:highlight w:val="none"/>
          <w:lang w:val="en-US" w:eastAsia="zh-CN" w:bidi="ar-SA"/>
        </w:rPr>
        <w:t>90天（日历日）</w:t>
      </w:r>
    </w:p>
    <w:p w14:paraId="3C784BD0">
      <w:pPr>
        <w:pStyle w:val="27"/>
        <w:pageBreakBefore w:val="0"/>
        <w:kinsoku/>
        <w:overflowPunct/>
        <w:topLinePunct w:val="0"/>
        <w:autoSpaceDE/>
        <w:autoSpaceDN/>
        <w:bidi w:val="0"/>
        <w:adjustRightInd w:val="0"/>
        <w:snapToGrid w:val="0"/>
        <w:spacing w:before="0" w:beforeAutospacing="0" w:after="0" w:afterAutospacing="0"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eastAsia="宋体" w:cs="宋体"/>
          <w:bCs/>
          <w:color w:val="auto"/>
          <w:kern w:val="2"/>
          <w:sz w:val="21"/>
          <w:szCs w:val="21"/>
          <w:highlight w:val="none"/>
          <w:lang w:val="en-US" w:eastAsia="zh-CN"/>
        </w:rPr>
        <w:t>9</w:t>
      </w:r>
      <w:r>
        <w:rPr>
          <w:rFonts w:hint="eastAsia" w:ascii="宋体" w:hAnsi="宋体" w:eastAsia="宋体" w:cs="宋体"/>
          <w:bCs/>
          <w:color w:val="auto"/>
          <w:kern w:val="2"/>
          <w:sz w:val="21"/>
          <w:szCs w:val="21"/>
          <w:highlight w:val="none"/>
        </w:rPr>
        <w:t>、</w:t>
      </w:r>
      <w:r>
        <w:rPr>
          <w:rFonts w:hint="eastAsia" w:ascii="宋体" w:hAnsi="宋体" w:eastAsia="宋体" w:cs="宋体"/>
          <w:color w:val="auto"/>
          <w:kern w:val="2"/>
          <w:sz w:val="21"/>
          <w:szCs w:val="21"/>
          <w:highlight w:val="none"/>
        </w:rPr>
        <w:t>本项目分阶段要求供应商提供以下保证：</w:t>
      </w:r>
    </w:p>
    <w:p w14:paraId="6E01412D">
      <w:pPr>
        <w:pStyle w:val="27"/>
        <w:pageBreakBefore w:val="0"/>
        <w:kinsoku/>
        <w:overflowPunct/>
        <w:topLinePunct w:val="0"/>
        <w:autoSpaceDE/>
        <w:autoSpaceDN/>
        <w:bidi w:val="0"/>
        <w:adjustRightInd w:val="0"/>
        <w:snapToGrid w:val="0"/>
        <w:spacing w:before="0" w:beforeAutospacing="0" w:after="0" w:afterAutospacing="0"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iCs/>
          <w:color w:val="auto"/>
          <w:sz w:val="21"/>
          <w:szCs w:val="21"/>
          <w:highlight w:val="none"/>
        </w:rPr>
        <w:sym w:font="Wingdings" w:char="00A8"/>
      </w:r>
      <w:r>
        <w:rPr>
          <w:rFonts w:hint="eastAsia" w:ascii="宋体" w:hAnsi="宋体" w:eastAsia="宋体" w:cs="宋体"/>
          <w:color w:val="auto"/>
          <w:kern w:val="2"/>
          <w:sz w:val="21"/>
          <w:szCs w:val="21"/>
          <w:highlight w:val="none"/>
        </w:rPr>
        <w:t>磋商保证金：</w:t>
      </w:r>
      <w:r>
        <w:rPr>
          <w:rFonts w:hint="eastAsia" w:ascii="宋体" w:hAnsi="宋体" w:eastAsia="宋体" w:cs="宋体"/>
          <w:iCs/>
          <w:color w:val="auto"/>
          <w:kern w:val="2"/>
          <w:sz w:val="21"/>
          <w:szCs w:val="21"/>
          <w:highlight w:val="none"/>
        </w:rPr>
        <w:t>采购项目预算的</w:t>
      </w:r>
      <w:r>
        <w:rPr>
          <w:rFonts w:hint="eastAsia" w:ascii="宋体" w:hAnsi="宋体" w:eastAsia="宋体" w:cs="宋体"/>
          <w:iCs/>
          <w:color w:val="auto"/>
          <w:kern w:val="2"/>
          <w:sz w:val="21"/>
          <w:szCs w:val="21"/>
          <w:highlight w:val="none"/>
          <w:u w:val="single"/>
        </w:rPr>
        <w:t xml:space="preserve">  /  </w:t>
      </w:r>
      <w:r>
        <w:rPr>
          <w:rFonts w:hint="eastAsia" w:ascii="宋体" w:hAnsi="宋体" w:eastAsia="宋体" w:cs="宋体"/>
          <w:iCs/>
          <w:color w:val="auto"/>
          <w:kern w:val="2"/>
          <w:sz w:val="21"/>
          <w:szCs w:val="21"/>
          <w:highlight w:val="none"/>
        </w:rPr>
        <w:t>%</w:t>
      </w:r>
      <w:r>
        <w:rPr>
          <w:rFonts w:hint="eastAsia" w:ascii="宋体" w:hAnsi="宋体" w:eastAsia="宋体" w:cs="宋体"/>
          <w:color w:val="auto"/>
          <w:kern w:val="2"/>
          <w:sz w:val="21"/>
          <w:szCs w:val="21"/>
          <w:highlight w:val="none"/>
        </w:rPr>
        <w:t>；</w:t>
      </w:r>
    </w:p>
    <w:p w14:paraId="412E5AA7">
      <w:pPr>
        <w:pStyle w:val="27"/>
        <w:pageBreakBefore w:val="0"/>
        <w:kinsoku/>
        <w:overflowPunct/>
        <w:topLinePunct w:val="0"/>
        <w:autoSpaceDE/>
        <w:autoSpaceDN/>
        <w:bidi w:val="0"/>
        <w:adjustRightInd w:val="0"/>
        <w:snapToGrid w:val="0"/>
        <w:spacing w:before="0" w:beforeAutospacing="0" w:after="0" w:afterAutospacing="0"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iCs/>
          <w:color w:val="auto"/>
          <w:sz w:val="21"/>
          <w:szCs w:val="21"/>
          <w:highlight w:val="none"/>
        </w:rPr>
        <w:sym w:font="Wingdings" w:char="00A8"/>
      </w:r>
      <w:r>
        <w:rPr>
          <w:rFonts w:hint="eastAsia" w:ascii="宋体" w:hAnsi="宋体" w:eastAsia="宋体" w:cs="宋体"/>
          <w:color w:val="auto"/>
          <w:kern w:val="2"/>
          <w:sz w:val="21"/>
          <w:szCs w:val="21"/>
          <w:highlight w:val="none"/>
        </w:rPr>
        <w:t>履约保证金：</w:t>
      </w:r>
      <w:r>
        <w:rPr>
          <w:rFonts w:hint="eastAsia" w:ascii="宋体" w:hAnsi="宋体" w:eastAsia="宋体" w:cs="宋体"/>
          <w:iCs/>
          <w:color w:val="auto"/>
          <w:kern w:val="2"/>
          <w:sz w:val="21"/>
          <w:szCs w:val="21"/>
          <w:highlight w:val="none"/>
        </w:rPr>
        <w:t>中标金额的</w:t>
      </w:r>
      <w:r>
        <w:rPr>
          <w:rFonts w:hint="eastAsia" w:ascii="宋体" w:hAnsi="宋体" w:eastAsia="宋体" w:cs="宋体"/>
          <w:iCs/>
          <w:color w:val="auto"/>
          <w:kern w:val="2"/>
          <w:sz w:val="21"/>
          <w:szCs w:val="21"/>
          <w:highlight w:val="none"/>
          <w:u w:val="single"/>
        </w:rPr>
        <w:t xml:space="preserve">    /  </w:t>
      </w:r>
      <w:r>
        <w:rPr>
          <w:rFonts w:hint="eastAsia" w:ascii="宋体" w:hAnsi="宋体" w:eastAsia="宋体" w:cs="宋体"/>
          <w:iCs/>
          <w:color w:val="auto"/>
          <w:kern w:val="2"/>
          <w:sz w:val="21"/>
          <w:szCs w:val="21"/>
          <w:highlight w:val="none"/>
        </w:rPr>
        <w:t>%</w:t>
      </w:r>
      <w:r>
        <w:rPr>
          <w:rFonts w:hint="eastAsia" w:ascii="宋体" w:hAnsi="宋体" w:eastAsia="宋体" w:cs="宋体"/>
          <w:color w:val="auto"/>
          <w:kern w:val="2"/>
          <w:sz w:val="21"/>
          <w:szCs w:val="21"/>
          <w:highlight w:val="none"/>
        </w:rPr>
        <w:t>；</w:t>
      </w:r>
    </w:p>
    <w:p w14:paraId="2A588386">
      <w:pPr>
        <w:pStyle w:val="27"/>
        <w:pageBreakBefore w:val="0"/>
        <w:kinsoku/>
        <w:overflowPunct/>
        <w:topLinePunct w:val="0"/>
        <w:autoSpaceDE/>
        <w:autoSpaceDN/>
        <w:bidi w:val="0"/>
        <w:adjustRightInd w:val="0"/>
        <w:snapToGrid w:val="0"/>
        <w:spacing w:before="0" w:beforeAutospacing="0" w:after="0" w:afterAutospacing="0"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kern w:val="2"/>
          <w:sz w:val="21"/>
          <w:szCs w:val="21"/>
          <w:highlight w:val="none"/>
        </w:rPr>
        <w:t>预付款保证金：预付款的</w:t>
      </w:r>
      <w:r>
        <w:rPr>
          <w:rFonts w:hint="eastAsia" w:ascii="宋体" w:hAnsi="宋体" w:eastAsia="宋体" w:cs="宋体"/>
          <w:iCs/>
          <w:color w:val="auto"/>
          <w:kern w:val="2"/>
          <w:sz w:val="21"/>
          <w:szCs w:val="21"/>
          <w:highlight w:val="none"/>
          <w:u w:val="single"/>
        </w:rPr>
        <w:t xml:space="preserve">  /  </w:t>
      </w:r>
      <w:r>
        <w:rPr>
          <w:rFonts w:hint="eastAsia" w:ascii="宋体" w:hAnsi="宋体" w:eastAsia="宋体" w:cs="宋体"/>
          <w:iCs/>
          <w:color w:val="auto"/>
          <w:kern w:val="2"/>
          <w:sz w:val="21"/>
          <w:szCs w:val="21"/>
          <w:highlight w:val="none"/>
        </w:rPr>
        <w:t>%；</w:t>
      </w:r>
    </w:p>
    <w:p w14:paraId="20BA70C4">
      <w:pPr>
        <w:pStyle w:val="27"/>
        <w:pageBreakBefore w:val="0"/>
        <w:kinsoku/>
        <w:overflowPunct/>
        <w:topLinePunct w:val="0"/>
        <w:autoSpaceDE/>
        <w:autoSpaceDN/>
        <w:bidi w:val="0"/>
        <w:adjustRightInd w:val="0"/>
        <w:snapToGrid w:val="0"/>
        <w:spacing w:before="0" w:beforeAutospacing="0" w:after="0" w:afterAutospacing="0"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kern w:val="2"/>
          <w:sz w:val="21"/>
          <w:szCs w:val="21"/>
          <w:highlight w:val="none"/>
        </w:rPr>
        <w:t>质量保证金：合同金额的</w:t>
      </w:r>
      <w:r>
        <w:rPr>
          <w:rFonts w:hint="eastAsia" w:ascii="宋体" w:hAnsi="宋体" w:eastAsia="宋体" w:cs="宋体"/>
          <w:iCs/>
          <w:color w:val="auto"/>
          <w:kern w:val="2"/>
          <w:sz w:val="21"/>
          <w:szCs w:val="21"/>
          <w:highlight w:val="none"/>
          <w:u w:val="single"/>
        </w:rPr>
        <w:t xml:space="preserve">   / </w:t>
      </w:r>
      <w:r>
        <w:rPr>
          <w:rFonts w:hint="eastAsia" w:ascii="宋体" w:hAnsi="宋体" w:eastAsia="宋体" w:cs="宋体"/>
          <w:iCs/>
          <w:color w:val="auto"/>
          <w:kern w:val="2"/>
          <w:sz w:val="21"/>
          <w:szCs w:val="21"/>
          <w:highlight w:val="none"/>
        </w:rPr>
        <w:t>%。</w:t>
      </w:r>
    </w:p>
    <w:tbl>
      <w:tblPr>
        <w:tblStyle w:val="30"/>
        <w:tblpPr w:leftFromText="180" w:rightFromText="180" w:vertAnchor="text" w:horzAnchor="page" w:tblpXSpec="center" w:tblpY="463"/>
        <w:tblOverlap w:val="never"/>
        <w:tblW w:w="9096" w:type="dxa"/>
        <w:jc w:val="center"/>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608"/>
        <w:gridCol w:w="1620"/>
        <w:gridCol w:w="707"/>
        <w:gridCol w:w="1620"/>
        <w:gridCol w:w="1560"/>
        <w:gridCol w:w="1341"/>
      </w:tblGrid>
      <w:tr w14:paraId="0DB94F13">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trHeight w:val="900" w:hRule="atLeast"/>
          <w:jc w:val="center"/>
        </w:trPr>
        <w:tc>
          <w:tcPr>
            <w:tcW w:w="640" w:type="dxa"/>
            <w:tcBorders>
              <w:tl2br w:val="nil"/>
              <w:tr2bl w:val="nil"/>
            </w:tcBorders>
            <w:vAlign w:val="center"/>
          </w:tcPr>
          <w:p w14:paraId="2B84D4D0">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bidi="ar"/>
              </w:rPr>
              <w:t>序号</w:t>
            </w:r>
          </w:p>
        </w:tc>
        <w:tc>
          <w:tcPr>
            <w:tcW w:w="1608" w:type="dxa"/>
            <w:tcBorders>
              <w:tl2br w:val="nil"/>
              <w:tr2bl w:val="nil"/>
            </w:tcBorders>
            <w:vAlign w:val="center"/>
          </w:tcPr>
          <w:p w14:paraId="21E4FF97">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bidi="ar"/>
              </w:rPr>
              <w:t>标的名称</w:t>
            </w:r>
          </w:p>
        </w:tc>
        <w:tc>
          <w:tcPr>
            <w:tcW w:w="1620" w:type="dxa"/>
            <w:tcBorders>
              <w:tl2br w:val="nil"/>
              <w:tr2bl w:val="nil"/>
            </w:tcBorders>
            <w:vAlign w:val="center"/>
          </w:tcPr>
          <w:p w14:paraId="692DF708">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bidi="ar"/>
              </w:rPr>
              <w:t>简要技术要求</w:t>
            </w:r>
          </w:p>
        </w:tc>
        <w:tc>
          <w:tcPr>
            <w:tcW w:w="707" w:type="dxa"/>
            <w:tcBorders>
              <w:tl2br w:val="nil"/>
              <w:tr2bl w:val="nil"/>
            </w:tcBorders>
            <w:vAlign w:val="center"/>
          </w:tcPr>
          <w:p w14:paraId="236ACA12">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bidi="ar"/>
              </w:rPr>
              <w:t>数量</w:t>
            </w:r>
          </w:p>
        </w:tc>
        <w:tc>
          <w:tcPr>
            <w:tcW w:w="1620" w:type="dxa"/>
            <w:tcBorders>
              <w:tl2br w:val="nil"/>
              <w:tr2bl w:val="nil"/>
            </w:tcBorders>
            <w:vAlign w:val="center"/>
          </w:tcPr>
          <w:p w14:paraId="52D6D80C">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bidi="ar"/>
              </w:rPr>
              <w:t>标的预算</w:t>
            </w:r>
          </w:p>
        </w:tc>
        <w:tc>
          <w:tcPr>
            <w:tcW w:w="1560" w:type="dxa"/>
            <w:tcBorders>
              <w:tl2br w:val="nil"/>
              <w:tr2bl w:val="nil"/>
            </w:tcBorders>
            <w:vAlign w:val="center"/>
          </w:tcPr>
          <w:p w14:paraId="172B3774">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bidi="ar"/>
              </w:rPr>
              <w:t>最高限价</w:t>
            </w:r>
          </w:p>
        </w:tc>
        <w:tc>
          <w:tcPr>
            <w:tcW w:w="1341" w:type="dxa"/>
            <w:tcBorders>
              <w:tl2br w:val="nil"/>
              <w:tr2bl w:val="nil"/>
            </w:tcBorders>
            <w:vAlign w:val="center"/>
          </w:tcPr>
          <w:p w14:paraId="6FFB109D">
            <w:pPr>
              <w:keepNext w:val="0"/>
              <w:keepLines w:val="0"/>
              <w:pageBreakBefore w:val="0"/>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可能实质性变动内容</w:t>
            </w:r>
          </w:p>
        </w:tc>
      </w:tr>
      <w:tr w14:paraId="5EFC9BAB">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trHeight w:val="1264" w:hRule="atLeast"/>
          <w:jc w:val="center"/>
        </w:trPr>
        <w:tc>
          <w:tcPr>
            <w:tcW w:w="640" w:type="dxa"/>
            <w:tcBorders>
              <w:tl2br w:val="nil"/>
              <w:tr2bl w:val="nil"/>
            </w:tcBorders>
            <w:vAlign w:val="center"/>
          </w:tcPr>
          <w:p w14:paraId="191B3F15">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01</w:t>
            </w:r>
          </w:p>
        </w:tc>
        <w:tc>
          <w:tcPr>
            <w:tcW w:w="1608" w:type="dxa"/>
            <w:tcBorders>
              <w:tl2br w:val="nil"/>
              <w:tr2bl w:val="nil"/>
            </w:tcBorders>
            <w:vAlign w:val="center"/>
          </w:tcPr>
          <w:p w14:paraId="454FBE6D">
            <w:pPr>
              <w:pStyle w:val="14"/>
              <w:keepNext w:val="0"/>
              <w:keepLines w:val="0"/>
              <w:pageBreakBefore w:val="0"/>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bCs/>
                <w:color w:val="auto"/>
                <w:sz w:val="21"/>
                <w:szCs w:val="21"/>
                <w:highlight w:val="none"/>
                <w:lang w:eastAsia="zh-CN"/>
              </w:rPr>
            </w:pPr>
            <w:r>
              <w:rPr>
                <w:rFonts w:hint="eastAsia" w:hAnsi="宋体" w:eastAsia="宋体" w:cs="宋体"/>
                <w:bCs/>
                <w:color w:val="auto"/>
                <w:sz w:val="21"/>
                <w:szCs w:val="21"/>
                <w:highlight w:val="none"/>
                <w:lang w:eastAsia="zh-CN"/>
              </w:rPr>
              <w:t>溆浦县低庄镇中心小学（下校区）食堂工程（第二次）</w:t>
            </w:r>
          </w:p>
        </w:tc>
        <w:tc>
          <w:tcPr>
            <w:tcW w:w="1620" w:type="dxa"/>
            <w:tcBorders>
              <w:tl2br w:val="nil"/>
              <w:tr2bl w:val="nil"/>
            </w:tcBorders>
            <w:vAlign w:val="center"/>
          </w:tcPr>
          <w:p w14:paraId="1F494579">
            <w:pPr>
              <w:pStyle w:val="14"/>
              <w:keepNext w:val="0"/>
              <w:keepLines w:val="0"/>
              <w:pageBreakBefore w:val="0"/>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见采购需求</w:t>
            </w:r>
          </w:p>
        </w:tc>
        <w:tc>
          <w:tcPr>
            <w:tcW w:w="707" w:type="dxa"/>
            <w:tcBorders>
              <w:tl2br w:val="nil"/>
              <w:tr2bl w:val="nil"/>
            </w:tcBorders>
            <w:vAlign w:val="center"/>
          </w:tcPr>
          <w:p w14:paraId="58FAFFAF">
            <w:pPr>
              <w:pStyle w:val="14"/>
              <w:keepNext w:val="0"/>
              <w:keepLines w:val="0"/>
              <w:pageBreakBefore w:val="0"/>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1批</w:t>
            </w:r>
          </w:p>
        </w:tc>
        <w:tc>
          <w:tcPr>
            <w:tcW w:w="1620" w:type="dxa"/>
            <w:tcBorders>
              <w:tl2br w:val="nil"/>
              <w:tr2bl w:val="nil"/>
            </w:tcBorders>
            <w:vAlign w:val="center"/>
          </w:tcPr>
          <w:p w14:paraId="302FB66A">
            <w:pPr>
              <w:pStyle w:val="14"/>
              <w:keepNext w:val="0"/>
              <w:keepLines w:val="0"/>
              <w:pageBreakBefore w:val="0"/>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bCs/>
                <w:color w:val="auto"/>
                <w:sz w:val="21"/>
                <w:szCs w:val="21"/>
                <w:highlight w:val="none"/>
              </w:rPr>
            </w:pPr>
            <w:r>
              <w:rPr>
                <w:rFonts w:hint="eastAsia" w:hAnsi="宋体" w:eastAsia="宋体" w:cs="宋体"/>
                <w:bCs/>
                <w:color w:val="auto"/>
                <w:sz w:val="21"/>
                <w:szCs w:val="21"/>
                <w:highlight w:val="none"/>
                <w:lang w:eastAsia="zh-CN" w:bidi="ar"/>
              </w:rPr>
              <w:t>1824600.00</w:t>
            </w:r>
            <w:r>
              <w:rPr>
                <w:rFonts w:hint="eastAsia" w:ascii="宋体" w:hAnsi="宋体" w:eastAsia="宋体" w:cs="宋体"/>
                <w:bCs/>
                <w:color w:val="auto"/>
                <w:sz w:val="21"/>
                <w:szCs w:val="21"/>
                <w:highlight w:val="none"/>
                <w:lang w:eastAsia="zh-CN" w:bidi="ar"/>
              </w:rPr>
              <w:t>元</w:t>
            </w:r>
          </w:p>
        </w:tc>
        <w:tc>
          <w:tcPr>
            <w:tcW w:w="1560" w:type="dxa"/>
            <w:tcBorders>
              <w:tl2br w:val="nil"/>
              <w:tr2bl w:val="nil"/>
            </w:tcBorders>
            <w:vAlign w:val="center"/>
          </w:tcPr>
          <w:p w14:paraId="3175D22E">
            <w:pPr>
              <w:pStyle w:val="14"/>
              <w:keepNext w:val="0"/>
              <w:keepLines w:val="0"/>
              <w:pageBreakBefore w:val="0"/>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bCs/>
                <w:color w:val="auto"/>
                <w:sz w:val="21"/>
                <w:szCs w:val="21"/>
                <w:highlight w:val="none"/>
              </w:rPr>
            </w:pPr>
            <w:r>
              <w:rPr>
                <w:rFonts w:hint="eastAsia" w:hAnsi="宋体" w:eastAsia="宋体" w:cs="宋体"/>
                <w:bCs/>
                <w:color w:val="auto"/>
                <w:sz w:val="21"/>
                <w:szCs w:val="21"/>
                <w:highlight w:val="none"/>
                <w:lang w:eastAsia="zh-CN" w:bidi="ar"/>
              </w:rPr>
              <w:t>1824600.00</w:t>
            </w:r>
            <w:r>
              <w:rPr>
                <w:rFonts w:hint="eastAsia" w:ascii="宋体" w:hAnsi="宋体" w:eastAsia="宋体" w:cs="宋体"/>
                <w:bCs/>
                <w:color w:val="auto"/>
                <w:sz w:val="21"/>
                <w:szCs w:val="21"/>
                <w:highlight w:val="none"/>
                <w:lang w:eastAsia="zh-CN" w:bidi="ar"/>
              </w:rPr>
              <w:t>元</w:t>
            </w:r>
          </w:p>
        </w:tc>
        <w:tc>
          <w:tcPr>
            <w:tcW w:w="1341" w:type="dxa"/>
            <w:tcBorders>
              <w:tl2br w:val="nil"/>
              <w:tr2bl w:val="nil"/>
            </w:tcBorders>
            <w:vAlign w:val="center"/>
          </w:tcPr>
          <w:p w14:paraId="100D081B">
            <w:pPr>
              <w:keepNext w:val="0"/>
              <w:keepLines w:val="0"/>
              <w:pageBreakBefore w:val="0"/>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详见磋商文件</w:t>
            </w:r>
          </w:p>
        </w:tc>
      </w:tr>
    </w:tbl>
    <w:p w14:paraId="1BECE13D">
      <w:pPr>
        <w:keepNext/>
        <w:keepLines/>
        <w:pageBreakBefore w:val="0"/>
        <w:kinsoku/>
        <w:overflowPunct/>
        <w:topLinePunct w:val="0"/>
        <w:autoSpaceDE/>
        <w:autoSpaceDN/>
        <w:bidi w:val="0"/>
        <w:adjustRightInd w:val="0"/>
        <w:snapToGrid w:val="0"/>
        <w:spacing w:line="360" w:lineRule="exact"/>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bidi="ar"/>
        </w:rPr>
        <w:t>二、采购需求</w:t>
      </w:r>
    </w:p>
    <w:p w14:paraId="6989AD23">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说明：</w:t>
      </w:r>
    </w:p>
    <w:p w14:paraId="61C3F898">
      <w:pPr>
        <w:pageBreakBefore w:val="0"/>
        <w:widowControl/>
        <w:kinsoku/>
        <w:overflowPunct/>
        <w:topLinePunct w:val="0"/>
        <w:autoSpaceDE/>
        <w:autoSpaceDN/>
        <w:bidi w:val="0"/>
        <w:adjustRightInd w:val="0"/>
        <w:snapToGrid w:val="0"/>
        <w:spacing w:line="360" w:lineRule="exact"/>
        <w:ind w:right="-319" w:rightChars="-152"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1.节能产品实行强制采购的，需提供国家认证机构出具的、处于有效期内的节能产品证书。</w:t>
      </w:r>
    </w:p>
    <w:p w14:paraId="3624DA1A">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2.同意购买进口产品的，不限制满足采购需求的国内产品参与磋商。</w:t>
      </w:r>
    </w:p>
    <w:p w14:paraId="3ECFED17">
      <w:pPr>
        <w:keepNext/>
        <w:keepLines/>
        <w:pageBreakBefore w:val="0"/>
        <w:kinsoku/>
        <w:overflowPunct/>
        <w:topLinePunct w:val="0"/>
        <w:autoSpaceDE/>
        <w:autoSpaceDN/>
        <w:bidi w:val="0"/>
        <w:adjustRightInd w:val="0"/>
        <w:snapToGrid w:val="0"/>
        <w:spacing w:line="360" w:lineRule="exact"/>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bidi="ar"/>
        </w:rPr>
        <w:t>三、采购项目需落实的政府采购政策</w:t>
      </w:r>
    </w:p>
    <w:p w14:paraId="49C7566F">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1、优先采购：节能产品、环境标志产品享受加分或价格折扣。</w:t>
      </w:r>
    </w:p>
    <w:p w14:paraId="7F4BBA4F">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2、支持中小企业：中小企业享受预留采购份额或价格折扣。</w:t>
      </w:r>
    </w:p>
    <w:p w14:paraId="17376EAC">
      <w:pPr>
        <w:keepNext/>
        <w:keepLines/>
        <w:pageBreakBefore w:val="0"/>
        <w:kinsoku/>
        <w:overflowPunct/>
        <w:topLinePunct w:val="0"/>
        <w:autoSpaceDE/>
        <w:autoSpaceDN/>
        <w:bidi w:val="0"/>
        <w:adjustRightInd w:val="0"/>
        <w:snapToGrid w:val="0"/>
        <w:spacing w:line="360" w:lineRule="exact"/>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bidi="ar"/>
        </w:rPr>
        <w:t>四、供应商的资格要求</w:t>
      </w:r>
    </w:p>
    <w:p w14:paraId="449D8DA2">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1、满足《中华人民共和国政府采购法》第二十二条规定；</w:t>
      </w:r>
    </w:p>
    <w:p w14:paraId="6B4F4ED3">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2、落实政府采购政策需满足的资格要求：</w:t>
      </w:r>
    </w:p>
    <w:p w14:paraId="5C8FDFB9">
      <w:pPr>
        <w:pageBreakBefore w:val="0"/>
        <w:widowControl/>
        <w:kinsoku/>
        <w:overflowPunct/>
        <w:topLinePunct w:val="0"/>
        <w:autoSpaceDE/>
        <w:autoSpaceDN/>
        <w:bidi w:val="0"/>
        <w:adjustRightInd w:val="0"/>
        <w:snapToGrid w:val="0"/>
        <w:spacing w:line="360" w:lineRule="exact"/>
        <w:ind w:firstLine="630" w:firstLineChars="300"/>
        <w:jc w:val="left"/>
        <w:textAlignment w:val="auto"/>
        <w:outlineLvl w:val="9"/>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 xml:space="preserve">■专门面向：■中小企业  ■小微企业 </w:t>
      </w:r>
      <w:r>
        <w:rPr>
          <w:rFonts w:hint="eastAsia" w:ascii="宋体" w:hAnsi="宋体" w:eastAsia="宋体" w:cs="宋体"/>
          <w:color w:val="auto"/>
          <w:sz w:val="21"/>
          <w:szCs w:val="21"/>
          <w:highlight w:val="none"/>
          <w:lang w:bidi="ar"/>
        </w:rPr>
        <w:sym w:font="Wingdings" w:char="00A8"/>
      </w:r>
      <w:r>
        <w:rPr>
          <w:rFonts w:hint="eastAsia" w:ascii="宋体" w:hAnsi="宋体" w:eastAsia="宋体" w:cs="宋体"/>
          <w:color w:val="auto"/>
          <w:sz w:val="21"/>
          <w:szCs w:val="21"/>
          <w:highlight w:val="none"/>
          <w:lang w:bidi="ar"/>
        </w:rPr>
        <w:t xml:space="preserve">监狱企业 </w:t>
      </w:r>
      <w:r>
        <w:rPr>
          <w:rFonts w:hint="eastAsia" w:ascii="宋体" w:hAnsi="宋体" w:eastAsia="宋体" w:cs="宋体"/>
          <w:color w:val="auto"/>
          <w:sz w:val="21"/>
          <w:szCs w:val="21"/>
          <w:highlight w:val="none"/>
          <w:lang w:bidi="ar"/>
        </w:rPr>
        <w:sym w:font="Wingdings" w:char="00A8"/>
      </w:r>
      <w:r>
        <w:rPr>
          <w:rFonts w:hint="eastAsia" w:ascii="宋体" w:hAnsi="宋体" w:eastAsia="宋体" w:cs="宋体"/>
          <w:color w:val="auto"/>
          <w:sz w:val="21"/>
          <w:szCs w:val="21"/>
          <w:highlight w:val="none"/>
          <w:lang w:bidi="ar"/>
        </w:rPr>
        <w:t>福利性单位。</w:t>
      </w:r>
    </w:p>
    <w:p w14:paraId="1686ABC7">
      <w:pPr>
        <w:pageBreakBefore w:val="0"/>
        <w:widowControl/>
        <w:kinsoku/>
        <w:overflowPunct/>
        <w:topLinePunct w:val="0"/>
        <w:autoSpaceDE/>
        <w:autoSpaceDN/>
        <w:bidi w:val="0"/>
        <w:adjustRightInd w:val="0"/>
        <w:snapToGrid w:val="0"/>
        <w:spacing w:line="360" w:lineRule="exact"/>
        <w:ind w:firstLine="630" w:firstLineChars="300"/>
        <w:jc w:val="left"/>
        <w:textAlignment w:val="auto"/>
        <w:outlineLvl w:val="9"/>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sym w:font="Wingdings" w:char="00A8"/>
      </w:r>
      <w:r>
        <w:rPr>
          <w:rFonts w:hint="eastAsia" w:ascii="宋体" w:hAnsi="宋体" w:eastAsia="宋体" w:cs="宋体"/>
          <w:color w:val="auto"/>
          <w:sz w:val="21"/>
          <w:szCs w:val="21"/>
          <w:highlight w:val="none"/>
          <w:lang w:bidi="ar"/>
        </w:rPr>
        <w:t xml:space="preserve">强制分包：大型企业应将采购份额的 </w:t>
      </w:r>
      <w:r>
        <w:rPr>
          <w:rFonts w:hint="eastAsia" w:ascii="宋体" w:hAnsi="宋体" w:eastAsia="宋体" w:cs="宋体"/>
          <w:color w:val="auto"/>
          <w:sz w:val="21"/>
          <w:szCs w:val="21"/>
          <w:highlight w:val="none"/>
          <w:u w:val="single"/>
          <w:lang w:bidi="ar"/>
        </w:rPr>
        <w:t xml:space="preserve">    /    </w:t>
      </w:r>
      <w:r>
        <w:rPr>
          <w:rFonts w:hint="eastAsia" w:ascii="宋体" w:hAnsi="宋体" w:eastAsia="宋体" w:cs="宋体"/>
          <w:color w:val="auto"/>
          <w:sz w:val="21"/>
          <w:szCs w:val="21"/>
          <w:highlight w:val="none"/>
          <w:lang w:bidi="ar"/>
        </w:rPr>
        <w:t>%分包给中小企业。</w:t>
      </w:r>
    </w:p>
    <w:p w14:paraId="4778B687">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000000" w:themeColor="text1"/>
          <w:sz w:val="21"/>
          <w:szCs w:val="21"/>
          <w:highlight w:val="none"/>
          <w:lang w:bidi="ar"/>
          <w14:textFill>
            <w14:solidFill>
              <w14:schemeClr w14:val="tx1"/>
            </w14:solidFill>
          </w14:textFill>
        </w:rPr>
      </w:pPr>
      <w:r>
        <w:rPr>
          <w:rFonts w:hint="eastAsia" w:ascii="宋体" w:hAnsi="宋体" w:eastAsia="宋体" w:cs="宋体"/>
          <w:color w:val="000000" w:themeColor="text1"/>
          <w:sz w:val="21"/>
          <w:szCs w:val="21"/>
          <w:highlight w:val="none"/>
          <w:lang w:bidi="ar"/>
          <w14:textFill>
            <w14:solidFill>
              <w14:schemeClr w14:val="tx1"/>
            </w14:solidFill>
          </w14:textFill>
        </w:rPr>
        <w:t>3、本项目的特定资格要求：</w:t>
      </w:r>
    </w:p>
    <w:p w14:paraId="7E7EB1A8">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exact"/>
        <w:ind w:left="0" w:right="0" w:firstLine="420" w:firstLineChars="200"/>
        <w:jc w:val="left"/>
        <w:textAlignment w:val="auto"/>
        <w:outlineLvl w:val="9"/>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（1）投标人具有建设行政主</w:t>
      </w:r>
      <w:r>
        <w:rPr>
          <w:rFonts w:hint="eastAsia" w:ascii="宋体" w:hAnsi="宋体" w:eastAsia="宋体" w:cs="宋体"/>
          <w:i w:val="0"/>
          <w:iCs w:val="0"/>
          <w:caps w:val="0"/>
          <w:color w:val="auto"/>
          <w:spacing w:val="0"/>
          <w:sz w:val="21"/>
          <w:szCs w:val="21"/>
          <w:highlight w:val="none"/>
        </w:rPr>
        <w:t>管部门颁发的建筑工程施工总承包</w:t>
      </w:r>
      <w:r>
        <w:rPr>
          <w:rFonts w:hint="eastAsia" w:ascii="宋体" w:hAnsi="宋体" w:eastAsia="宋体" w:cs="宋体"/>
          <w:i w:val="0"/>
          <w:iCs w:val="0"/>
          <w:caps w:val="0"/>
          <w:color w:val="auto"/>
          <w:spacing w:val="0"/>
          <w:sz w:val="21"/>
          <w:szCs w:val="21"/>
          <w:highlight w:val="none"/>
          <w:lang w:eastAsia="zh-CN"/>
        </w:rPr>
        <w:t>叁</w:t>
      </w:r>
      <w:r>
        <w:rPr>
          <w:rFonts w:hint="eastAsia" w:ascii="宋体" w:hAnsi="宋体" w:eastAsia="宋体" w:cs="宋体"/>
          <w:i w:val="0"/>
          <w:iCs w:val="0"/>
          <w:caps w:val="0"/>
          <w:color w:val="auto"/>
          <w:spacing w:val="0"/>
          <w:sz w:val="21"/>
          <w:szCs w:val="21"/>
          <w:highlight w:val="none"/>
        </w:rPr>
        <w:t>级</w:t>
      </w:r>
      <w:r>
        <w:rPr>
          <w:rFonts w:hint="eastAsia" w:ascii="宋体" w:hAnsi="宋体" w:eastAsia="宋体" w:cs="宋体"/>
          <w:i w:val="0"/>
          <w:iCs w:val="0"/>
          <w:caps w:val="0"/>
          <w:color w:val="auto"/>
          <w:spacing w:val="0"/>
          <w:sz w:val="21"/>
          <w:szCs w:val="21"/>
          <w:highlight w:val="none"/>
          <w:lang w:eastAsia="zh-CN"/>
        </w:rPr>
        <w:t>及以上</w:t>
      </w:r>
      <w:r>
        <w:rPr>
          <w:rFonts w:hint="eastAsia" w:ascii="宋体" w:hAnsi="宋体" w:eastAsia="宋体" w:cs="宋体"/>
          <w:i w:val="0"/>
          <w:iCs w:val="0"/>
          <w:caps w:val="0"/>
          <w:color w:val="auto"/>
          <w:spacing w:val="0"/>
          <w:sz w:val="21"/>
          <w:szCs w:val="21"/>
          <w:highlight w:val="none"/>
        </w:rPr>
        <w:t>资质，并具备有效安全生产许可证，安全生产许可证处于有效期内。</w:t>
      </w:r>
    </w:p>
    <w:p w14:paraId="0213527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exact"/>
        <w:ind w:left="0" w:right="0" w:firstLine="420" w:firstLineChars="200"/>
        <w:jc w:val="left"/>
        <w:textAlignment w:val="auto"/>
        <w:outlineLvl w:val="9"/>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2）拟任项目负责人具有建筑工程专业二级及以上注册建造师执业资格，同时具有有效期内的安全生产考核合格证书，且不得有在建项目。（提供相应证书、无在建项目承诺书，证书上的单位名称必须与供应商名称一致）。</w:t>
      </w:r>
    </w:p>
    <w:p w14:paraId="07177E7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exact"/>
        <w:ind w:left="0" w:right="0" w:firstLine="420" w:firstLineChars="200"/>
        <w:jc w:val="left"/>
        <w:textAlignment w:val="auto"/>
        <w:outlineLvl w:val="9"/>
        <w:rPr>
          <w:rFonts w:hint="eastAsia"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1"/>
          <w:szCs w:val="21"/>
          <w:highlight w:val="none"/>
          <w:lang w:val="en-US" w:eastAsia="zh-CN"/>
        </w:rPr>
        <w:t>(3)项目其他关键岗位人员配备数量均不得低于湘建建[2020]208号文规定的最低配备标准，本采购项目施工项目部关键岗位人员最低配备不得少于4人，其中项目负责人1人、技术负责人1人、施工员1人、专职安全员1人，质量员1人，施工员可由技术负责人兼任。技术负责人具有建筑工程相关专业助理工程师及以上职称；施工员须具备建设行政主管部门颁发的职业培训合格证书，专职安全员须具有专职安全员安全考核合格证书C证；质量员须具有建设行政主管部门颁发的职业培训合格证书。</w:t>
      </w:r>
    </w:p>
    <w:p w14:paraId="78AF1E2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exact"/>
        <w:ind w:left="0" w:right="0" w:firstLine="420" w:firstLineChars="200"/>
        <w:jc w:val="left"/>
        <w:textAlignment w:val="auto"/>
        <w:outlineLvl w:val="9"/>
        <w:rPr>
          <w:rFonts w:hint="eastAsia"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1"/>
          <w:szCs w:val="21"/>
          <w:highlight w:val="none"/>
          <w:lang w:val="en-US" w:eastAsia="zh-CN"/>
        </w:rPr>
        <w:t>(4)未被“信用中国”网站ww.eredi tchins.gow.en列入失信被执行人和重大税收违法案件当事人名单；未被“中国政府采购网”网站ww.ccgon.en列入政府采购严重违法失信行为记录名单(提交截图证明材料，截图时间在公告发布后)。</w:t>
      </w:r>
    </w:p>
    <w:p w14:paraId="53CF050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exact"/>
        <w:ind w:left="0" w:right="0" w:firstLine="420" w:firstLineChars="200"/>
        <w:jc w:val="left"/>
        <w:textAlignment w:val="auto"/>
        <w:outlineLvl w:val="9"/>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lang w:val="en-US" w:eastAsia="zh-CN"/>
        </w:rPr>
        <w:t>注：根据《湖南省财政厅关于政府采购促进中小企业发展有关措施的通知》,符合法定条件的供应商凭《湖南省政府采购供应商资格承诺函》(格式详见附件)参与采购活动，无需提供财务状况、缴纳税收和社会保障资金等资格证明材料且无在建(指目前未在其他项目上任职或虽在其他项目上任职但本项目中标后能够从该项目撤离)提供承诺书(格式自拟)。</w:t>
      </w:r>
    </w:p>
    <w:p w14:paraId="7538D1F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exact"/>
        <w:ind w:left="0" w:right="0" w:firstLine="420" w:firstLineChars="200"/>
        <w:jc w:val="left"/>
        <w:textAlignment w:val="auto"/>
        <w:outlineLvl w:val="9"/>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lang w:val="en-US" w:eastAsia="zh-CN"/>
        </w:rPr>
        <w:t>注：已启动电子证书地区，供应商可提供建造师电子注册证书并加盖单位公章，供应商应对其注册证书的真实性负责。</w:t>
      </w:r>
    </w:p>
    <w:p w14:paraId="14479BA8">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bidi="ar"/>
        </w:rPr>
        <w:t>单位负责人为同一人或者存在直接控股、管理关系的不同供应商，不得参加同一合同项下的政府采购活动。</w:t>
      </w:r>
    </w:p>
    <w:p w14:paraId="1A2B38BA">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5、为本采购项目提供整体设计、规范编制或者项目管理、监理、检测等服务的，不得再参加此项目的其他采购活动。</w:t>
      </w:r>
    </w:p>
    <w:p w14:paraId="072BEFFF">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6、列入失信被执行人、重大税收违法失信主体名单、政府采购严重违法失信行为记录名单的，拒绝其参与政府采购活动。</w:t>
      </w:r>
    </w:p>
    <w:p w14:paraId="3BA2B47F">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7、联合体响应。本次采购</w:t>
      </w:r>
      <w:r>
        <w:rPr>
          <w:rFonts w:hint="eastAsia" w:ascii="宋体" w:hAnsi="宋体" w:eastAsia="宋体" w:cs="宋体"/>
          <w:color w:val="auto"/>
          <w:sz w:val="21"/>
          <w:szCs w:val="21"/>
          <w:highlight w:val="none"/>
          <w:u w:val="single"/>
          <w:lang w:bidi="ar"/>
        </w:rPr>
        <w:t xml:space="preserve"> 不接受  </w:t>
      </w:r>
      <w:r>
        <w:rPr>
          <w:rFonts w:hint="eastAsia" w:ascii="宋体" w:hAnsi="宋体" w:eastAsia="宋体" w:cs="宋体"/>
          <w:color w:val="auto"/>
          <w:sz w:val="21"/>
          <w:szCs w:val="21"/>
          <w:highlight w:val="none"/>
          <w:lang w:bidi="ar"/>
        </w:rPr>
        <w:t>(接受或不接受)联合体响应。</w:t>
      </w:r>
    </w:p>
    <w:p w14:paraId="6BF34214">
      <w:pPr>
        <w:keepNext/>
        <w:keepLines/>
        <w:pageBreakBefore w:val="0"/>
        <w:kinsoku/>
        <w:overflowPunct/>
        <w:topLinePunct w:val="0"/>
        <w:autoSpaceDE/>
        <w:autoSpaceDN/>
        <w:bidi w:val="0"/>
        <w:adjustRightInd w:val="0"/>
        <w:snapToGrid w:val="0"/>
        <w:spacing w:line="360" w:lineRule="exact"/>
        <w:jc w:val="left"/>
        <w:textAlignment w:val="auto"/>
        <w:outlineLvl w:val="9"/>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bidi="ar"/>
        </w:rPr>
        <w:t>五、磋商文件的获取及澄清答疑发布：</w:t>
      </w:r>
    </w:p>
    <w:p w14:paraId="6E3AE037">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1、获取磋商文件的时间：</w:t>
      </w:r>
      <w:r>
        <w:rPr>
          <w:rFonts w:hint="eastAsia" w:ascii="宋体" w:hAnsi="宋体" w:eastAsia="宋体" w:cs="宋体"/>
          <w:b/>
          <w:bCs/>
          <w:color w:val="auto"/>
          <w:sz w:val="21"/>
          <w:szCs w:val="21"/>
          <w:highlight w:val="none"/>
          <w:lang w:eastAsia="zh-CN" w:bidi="ar"/>
        </w:rPr>
        <w:t>从2026年08月24日起至2026年08月31日</w:t>
      </w:r>
      <w:r>
        <w:rPr>
          <w:rFonts w:hint="eastAsia" w:ascii="宋体" w:hAnsi="宋体" w:eastAsia="宋体" w:cs="宋体"/>
          <w:color w:val="auto"/>
          <w:sz w:val="21"/>
          <w:szCs w:val="21"/>
          <w:highlight w:val="none"/>
          <w:lang w:bidi="ar"/>
        </w:rPr>
        <w:t>，每天9:00—12:00,14:30—17:</w:t>
      </w:r>
      <w:r>
        <w:rPr>
          <w:rFonts w:hint="eastAsia" w:ascii="宋体" w:hAnsi="宋体" w:eastAsia="宋体" w:cs="宋体"/>
          <w:color w:val="auto"/>
          <w:sz w:val="21"/>
          <w:szCs w:val="21"/>
          <w:highlight w:val="none"/>
          <w:lang w:val="en-US" w:eastAsia="zh-CN" w:bidi="ar"/>
        </w:rPr>
        <w:t>3</w:t>
      </w:r>
      <w:r>
        <w:rPr>
          <w:rFonts w:hint="eastAsia" w:ascii="宋体" w:hAnsi="宋体" w:eastAsia="宋体" w:cs="宋体"/>
          <w:color w:val="auto"/>
          <w:sz w:val="21"/>
          <w:szCs w:val="21"/>
          <w:highlight w:val="none"/>
          <w:lang w:bidi="ar"/>
        </w:rPr>
        <w:t>0(北京时间,节假日休息)。</w:t>
      </w:r>
    </w:p>
    <w:p w14:paraId="63B88DFF">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2、获取磋商文件的地点：</w:t>
      </w:r>
      <w:r>
        <w:rPr>
          <w:rFonts w:hint="eastAsia" w:ascii="宋体" w:hAnsi="宋体" w:eastAsia="宋体" w:cs="宋体"/>
          <w:color w:val="auto"/>
          <w:sz w:val="21"/>
          <w:szCs w:val="21"/>
          <w:highlight w:val="none"/>
          <w:u w:val="single"/>
        </w:rPr>
        <w:t>湖南登峰项目管理有限公司 （湖南省怀化市鹤城区红星街道正清路787号）</w:t>
      </w:r>
      <w:r>
        <w:rPr>
          <w:rFonts w:hint="eastAsia" w:ascii="宋体" w:hAnsi="宋体" w:eastAsia="宋体" w:cs="宋体"/>
          <w:color w:val="auto"/>
          <w:sz w:val="21"/>
          <w:szCs w:val="21"/>
          <w:highlight w:val="none"/>
          <w:lang w:bidi="ar"/>
        </w:rPr>
        <w:t>。</w:t>
      </w:r>
    </w:p>
    <w:p w14:paraId="3A2C5EC2">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3、获取方式：现场报名,报名领取采购文件。</w:t>
      </w:r>
    </w:p>
    <w:p w14:paraId="533BFA43">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4、获取磋商文件的方式：有投标意向的法定代表人或授权委托人携带以下材料：</w:t>
      </w:r>
    </w:p>
    <w:p w14:paraId="3EFCC89D">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①法定代表人身份证明原件或者授权委托书原件并附法定代表人身份证明原件；</w:t>
      </w:r>
    </w:p>
    <w:p w14:paraId="02A8F493">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②供应商资格声明(格式)原件；格式见附件一；</w:t>
      </w:r>
    </w:p>
    <w:p w14:paraId="26BB4E19">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③湖南省政府采购供应商资格承诺函（格式）原件；格式见附件二；</w:t>
      </w:r>
    </w:p>
    <w:p w14:paraId="7AAFCC61">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④营业执照复印件加盖公章；</w:t>
      </w:r>
    </w:p>
    <w:p w14:paraId="45409807">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⑤符合特定资格条件证明材料复印件或者情况说明。</w:t>
      </w:r>
    </w:p>
    <w:p w14:paraId="5A1528DF">
      <w:pPr>
        <w:keepNext/>
        <w:keepLines/>
        <w:pageBreakBefore w:val="0"/>
        <w:kinsoku/>
        <w:overflowPunct/>
        <w:topLinePunct w:val="0"/>
        <w:autoSpaceDE/>
        <w:autoSpaceDN/>
        <w:bidi w:val="0"/>
        <w:adjustRightInd w:val="0"/>
        <w:snapToGrid w:val="0"/>
        <w:spacing w:line="360" w:lineRule="exact"/>
        <w:jc w:val="left"/>
        <w:textAlignment w:val="auto"/>
        <w:outlineLvl w:val="9"/>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bidi="ar"/>
        </w:rPr>
        <w:t>六、响应文件提交的截止时间、开启时间及地点</w:t>
      </w:r>
    </w:p>
    <w:p w14:paraId="78CDD52A">
      <w:pPr>
        <w:pStyle w:val="27"/>
        <w:pageBreakBefore w:val="0"/>
        <w:kinsoku/>
        <w:overflowPunct/>
        <w:topLinePunct w:val="0"/>
        <w:autoSpaceDE/>
        <w:autoSpaceDN/>
        <w:bidi w:val="0"/>
        <w:adjustRightInd w:val="0"/>
        <w:snapToGrid w:val="0"/>
        <w:spacing w:before="0" w:beforeAutospacing="0" w:after="0" w:afterAutospacing="0" w:line="360" w:lineRule="exact"/>
        <w:ind w:firstLine="420" w:firstLineChars="200"/>
        <w:jc w:val="left"/>
        <w:textAlignment w:val="auto"/>
        <w:outlineLvl w:val="9"/>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1、提交响应文件的截止时间为</w:t>
      </w:r>
      <w:r>
        <w:rPr>
          <w:rFonts w:hint="eastAsia" w:eastAsia="宋体" w:cs="宋体"/>
          <w:b/>
          <w:bCs/>
          <w:color w:val="auto"/>
          <w:kern w:val="2"/>
          <w:sz w:val="21"/>
          <w:szCs w:val="21"/>
          <w:highlight w:val="none"/>
          <w:lang w:eastAsia="zh-CN"/>
        </w:rPr>
        <w:t>2026年</w:t>
      </w:r>
      <w:r>
        <w:rPr>
          <w:rFonts w:hint="eastAsia" w:eastAsia="宋体" w:cs="宋体"/>
          <w:b/>
          <w:bCs/>
          <w:color w:val="auto"/>
          <w:kern w:val="2"/>
          <w:sz w:val="21"/>
          <w:szCs w:val="21"/>
          <w:highlight w:val="none"/>
          <w:lang w:val="en-US" w:eastAsia="zh-CN"/>
        </w:rPr>
        <w:t>09</w:t>
      </w:r>
      <w:r>
        <w:rPr>
          <w:rFonts w:hint="eastAsia" w:eastAsia="宋体" w:cs="宋体"/>
          <w:b/>
          <w:bCs/>
          <w:color w:val="auto"/>
          <w:kern w:val="2"/>
          <w:sz w:val="21"/>
          <w:szCs w:val="21"/>
          <w:highlight w:val="none"/>
          <w:lang w:eastAsia="zh-CN"/>
        </w:rPr>
        <w:t>月</w:t>
      </w:r>
      <w:r>
        <w:rPr>
          <w:rFonts w:hint="eastAsia" w:eastAsia="宋体" w:cs="宋体"/>
          <w:b/>
          <w:bCs/>
          <w:color w:val="auto"/>
          <w:kern w:val="2"/>
          <w:sz w:val="21"/>
          <w:szCs w:val="21"/>
          <w:highlight w:val="none"/>
          <w:lang w:val="en-US" w:eastAsia="zh-CN"/>
        </w:rPr>
        <w:t>04</w:t>
      </w:r>
      <w:r>
        <w:rPr>
          <w:rFonts w:hint="eastAsia" w:eastAsia="宋体" w:cs="宋体"/>
          <w:b/>
          <w:bCs/>
          <w:color w:val="auto"/>
          <w:kern w:val="2"/>
          <w:sz w:val="21"/>
          <w:szCs w:val="21"/>
          <w:highlight w:val="none"/>
          <w:lang w:eastAsia="zh-CN"/>
        </w:rPr>
        <w:t>日</w:t>
      </w:r>
      <w:r>
        <w:rPr>
          <w:rFonts w:hint="eastAsia" w:eastAsia="宋体" w:cs="宋体"/>
          <w:b/>
          <w:bCs/>
          <w:color w:val="auto"/>
          <w:kern w:val="2"/>
          <w:sz w:val="21"/>
          <w:szCs w:val="21"/>
          <w:highlight w:val="none"/>
          <w:lang w:val="en-US" w:eastAsia="zh-CN"/>
        </w:rPr>
        <w:t>09</w:t>
      </w:r>
      <w:r>
        <w:rPr>
          <w:rFonts w:hint="eastAsia" w:eastAsia="宋体" w:cs="宋体"/>
          <w:b/>
          <w:bCs/>
          <w:color w:val="auto"/>
          <w:kern w:val="2"/>
          <w:sz w:val="21"/>
          <w:szCs w:val="21"/>
          <w:highlight w:val="none"/>
          <w:lang w:eastAsia="zh-CN"/>
        </w:rPr>
        <w:t>时</w:t>
      </w:r>
      <w:r>
        <w:rPr>
          <w:rFonts w:hint="eastAsia" w:eastAsia="宋体" w:cs="宋体"/>
          <w:b/>
          <w:bCs/>
          <w:color w:val="auto"/>
          <w:kern w:val="2"/>
          <w:sz w:val="21"/>
          <w:szCs w:val="21"/>
          <w:highlight w:val="none"/>
          <w:lang w:val="en-US" w:eastAsia="zh-CN"/>
        </w:rPr>
        <w:t>00</w:t>
      </w:r>
      <w:r>
        <w:rPr>
          <w:rFonts w:hint="eastAsia" w:eastAsia="宋体" w:cs="宋体"/>
          <w:b/>
          <w:bCs/>
          <w:color w:val="auto"/>
          <w:kern w:val="2"/>
          <w:sz w:val="21"/>
          <w:szCs w:val="21"/>
          <w:highlight w:val="none"/>
          <w:lang w:eastAsia="zh-CN"/>
        </w:rPr>
        <w:t>分</w:t>
      </w:r>
      <w:r>
        <w:rPr>
          <w:rFonts w:hint="eastAsia" w:ascii="宋体" w:hAnsi="宋体" w:eastAsia="宋体" w:cs="宋体"/>
          <w:b/>
          <w:bCs/>
          <w:color w:val="auto"/>
          <w:kern w:val="2"/>
          <w:sz w:val="21"/>
          <w:szCs w:val="21"/>
          <w:highlight w:val="none"/>
        </w:rPr>
        <w:t>（北京时间）</w:t>
      </w:r>
      <w:r>
        <w:rPr>
          <w:rFonts w:hint="eastAsia" w:ascii="宋体" w:hAnsi="宋体" w:eastAsia="宋体" w:cs="宋体"/>
          <w:color w:val="auto"/>
          <w:kern w:val="2"/>
          <w:sz w:val="21"/>
          <w:szCs w:val="21"/>
          <w:highlight w:val="none"/>
        </w:rPr>
        <w:t>，地点为</w:t>
      </w:r>
      <w:r>
        <w:rPr>
          <w:rFonts w:hint="eastAsia" w:ascii="宋体" w:hAnsi="宋体" w:eastAsia="宋体" w:cs="宋体"/>
          <w:color w:val="auto"/>
          <w:kern w:val="2"/>
          <w:sz w:val="21"/>
          <w:szCs w:val="21"/>
          <w:highlight w:val="none"/>
          <w:lang w:val="en-US" w:eastAsia="zh-CN"/>
        </w:rPr>
        <w:t xml:space="preserve"> </w:t>
      </w:r>
      <w:r>
        <w:rPr>
          <w:rFonts w:hint="eastAsia" w:eastAsia="宋体" w:cs="宋体"/>
          <w:color w:val="auto"/>
          <w:kern w:val="2"/>
          <w:sz w:val="21"/>
          <w:szCs w:val="21"/>
          <w:highlight w:val="none"/>
          <w:u w:val="single"/>
          <w:lang w:eastAsia="zh-CN"/>
        </w:rPr>
        <w:t>溆浦县政府采购评审室一室</w:t>
      </w:r>
      <w:r>
        <w:rPr>
          <w:rFonts w:hint="eastAsia" w:ascii="宋体" w:hAnsi="宋体" w:eastAsia="宋体" w:cs="宋体"/>
          <w:color w:val="auto"/>
          <w:kern w:val="2"/>
          <w:sz w:val="21"/>
          <w:szCs w:val="21"/>
          <w:highlight w:val="none"/>
          <w:u w:val="single"/>
          <w:lang w:eastAsia="zh-CN"/>
        </w:rPr>
        <w:t xml:space="preserve">。 </w:t>
      </w:r>
    </w:p>
    <w:p w14:paraId="08D53FFB">
      <w:pPr>
        <w:pStyle w:val="27"/>
        <w:pageBreakBefore w:val="0"/>
        <w:kinsoku/>
        <w:overflowPunct/>
        <w:topLinePunct w:val="0"/>
        <w:autoSpaceDE/>
        <w:autoSpaceDN/>
        <w:bidi w:val="0"/>
        <w:adjustRightInd w:val="0"/>
        <w:snapToGrid w:val="0"/>
        <w:spacing w:before="0" w:beforeAutospacing="0" w:after="0" w:afterAutospacing="0" w:line="360" w:lineRule="exact"/>
        <w:ind w:firstLine="420" w:firstLineChars="200"/>
        <w:jc w:val="left"/>
        <w:textAlignment w:val="auto"/>
        <w:outlineLvl w:val="9"/>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2、开标时间为</w:t>
      </w:r>
      <w:r>
        <w:rPr>
          <w:rFonts w:hint="eastAsia" w:eastAsia="宋体" w:cs="宋体"/>
          <w:b/>
          <w:bCs/>
          <w:color w:val="auto"/>
          <w:kern w:val="2"/>
          <w:sz w:val="21"/>
          <w:szCs w:val="21"/>
          <w:highlight w:val="none"/>
          <w:lang w:eastAsia="zh-CN"/>
        </w:rPr>
        <w:t>2026年09月04日09时00分</w:t>
      </w:r>
      <w:r>
        <w:rPr>
          <w:rFonts w:hint="eastAsia" w:ascii="宋体" w:hAnsi="宋体" w:eastAsia="宋体" w:cs="宋体"/>
          <w:b/>
          <w:bCs/>
          <w:color w:val="auto"/>
          <w:kern w:val="2"/>
          <w:sz w:val="21"/>
          <w:szCs w:val="21"/>
          <w:highlight w:val="none"/>
        </w:rPr>
        <w:t>（北京时间）</w:t>
      </w:r>
      <w:r>
        <w:rPr>
          <w:rFonts w:hint="eastAsia" w:ascii="宋体" w:hAnsi="宋体" w:eastAsia="宋体" w:cs="宋体"/>
          <w:color w:val="auto"/>
          <w:kern w:val="2"/>
          <w:sz w:val="21"/>
          <w:szCs w:val="21"/>
          <w:highlight w:val="none"/>
        </w:rPr>
        <w:t>，地点为</w:t>
      </w:r>
      <w:r>
        <w:rPr>
          <w:rFonts w:hint="eastAsia" w:ascii="宋体" w:hAnsi="宋体" w:eastAsia="宋体" w:cs="宋体"/>
          <w:color w:val="auto"/>
          <w:kern w:val="2"/>
          <w:sz w:val="21"/>
          <w:szCs w:val="21"/>
          <w:highlight w:val="none"/>
          <w:u w:val="single"/>
          <w:lang w:val="en-US" w:eastAsia="zh-CN"/>
        </w:rPr>
        <w:t xml:space="preserve"> </w:t>
      </w:r>
      <w:r>
        <w:rPr>
          <w:rFonts w:hint="eastAsia" w:eastAsia="宋体" w:cs="宋体"/>
          <w:color w:val="auto"/>
          <w:kern w:val="2"/>
          <w:sz w:val="21"/>
          <w:szCs w:val="21"/>
          <w:highlight w:val="none"/>
          <w:u w:val="single"/>
          <w:lang w:eastAsia="zh-CN"/>
        </w:rPr>
        <w:t xml:space="preserve"> 溆浦县政府采购评审室一室</w:t>
      </w:r>
      <w:r>
        <w:rPr>
          <w:rFonts w:hint="eastAsia" w:ascii="宋体" w:hAnsi="宋体" w:eastAsia="宋体" w:cs="宋体"/>
          <w:color w:val="auto"/>
          <w:kern w:val="2"/>
          <w:sz w:val="21"/>
          <w:szCs w:val="21"/>
          <w:highlight w:val="none"/>
          <w:u w:val="single"/>
          <w:lang w:eastAsia="zh-CN"/>
        </w:rPr>
        <w:t xml:space="preserve">。 </w:t>
      </w:r>
      <w:r>
        <w:rPr>
          <w:rFonts w:hint="eastAsia" w:ascii="宋体" w:hAnsi="宋体" w:eastAsia="宋体" w:cs="宋体"/>
          <w:color w:val="auto"/>
          <w:kern w:val="2"/>
          <w:sz w:val="21"/>
          <w:szCs w:val="21"/>
          <w:highlight w:val="none"/>
        </w:rPr>
        <w:t xml:space="preserve"> </w:t>
      </w:r>
    </w:p>
    <w:p w14:paraId="7804323C">
      <w:pPr>
        <w:pStyle w:val="27"/>
        <w:pageBreakBefore w:val="0"/>
        <w:kinsoku/>
        <w:overflowPunct/>
        <w:topLinePunct w:val="0"/>
        <w:autoSpaceDE/>
        <w:autoSpaceDN/>
        <w:bidi w:val="0"/>
        <w:adjustRightInd w:val="0"/>
        <w:snapToGrid w:val="0"/>
        <w:spacing w:before="0" w:beforeAutospacing="0" w:after="0" w:afterAutospacing="0" w:line="360" w:lineRule="exact"/>
        <w:ind w:right="-319" w:rightChars="-152"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3、逾期送达的或者未送达指定地点或未按要求密封的竞争性磋商文件，采购人不予受理。</w:t>
      </w:r>
    </w:p>
    <w:p w14:paraId="79C6D2DA">
      <w:pPr>
        <w:pStyle w:val="27"/>
        <w:pageBreakBefore w:val="0"/>
        <w:kinsoku/>
        <w:overflowPunct/>
        <w:topLinePunct w:val="0"/>
        <w:autoSpaceDE/>
        <w:autoSpaceDN/>
        <w:bidi w:val="0"/>
        <w:adjustRightInd w:val="0"/>
        <w:snapToGrid w:val="0"/>
        <w:spacing w:before="0" w:beforeAutospacing="0" w:after="0" w:afterAutospacing="0" w:line="360" w:lineRule="exact"/>
        <w:ind w:firstLine="420" w:firstLineChars="200"/>
        <w:jc w:val="left"/>
        <w:textAlignment w:val="auto"/>
        <w:outlineLvl w:val="9"/>
        <w:rPr>
          <w:rFonts w:hint="eastAsia" w:ascii="宋体" w:hAnsi="宋体" w:eastAsia="宋体" w:cs="宋体"/>
          <w:b/>
          <w:bCs/>
          <w:color w:val="auto"/>
          <w:sz w:val="21"/>
          <w:szCs w:val="21"/>
          <w:highlight w:val="none"/>
          <w:lang w:bidi="ar"/>
        </w:rPr>
      </w:pPr>
      <w:r>
        <w:rPr>
          <w:rFonts w:hint="eastAsia" w:ascii="宋体" w:hAnsi="宋体" w:eastAsia="宋体" w:cs="宋体"/>
          <w:color w:val="auto"/>
          <w:kern w:val="2"/>
          <w:sz w:val="21"/>
          <w:szCs w:val="21"/>
          <w:highlight w:val="none"/>
        </w:rPr>
        <w:t>4、法定代表人或授权代表须准时到会，出示授权书及身份证原件并签名以示出席；否则，其投标将被拒绝。</w:t>
      </w:r>
    </w:p>
    <w:p w14:paraId="542205B7">
      <w:pPr>
        <w:keepNext/>
        <w:keepLines/>
        <w:pageBreakBefore w:val="0"/>
        <w:kinsoku/>
        <w:overflowPunct/>
        <w:topLinePunct w:val="0"/>
        <w:autoSpaceDE/>
        <w:autoSpaceDN/>
        <w:bidi w:val="0"/>
        <w:adjustRightInd w:val="0"/>
        <w:snapToGrid w:val="0"/>
        <w:spacing w:line="360" w:lineRule="exact"/>
        <w:jc w:val="left"/>
        <w:textAlignment w:val="auto"/>
        <w:outlineLvl w:val="9"/>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bidi="ar"/>
        </w:rPr>
        <w:t>七、公告期限：</w:t>
      </w:r>
    </w:p>
    <w:p w14:paraId="384231EB">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1、本邀请公告在中国湖南政府采购网（http://www.ccgp-hunan.gov.cn/）；公告期限从本邀请公告发布之日起5个工作日。</w:t>
      </w:r>
    </w:p>
    <w:p w14:paraId="5E81E88C">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2、在其他媒体发布的邀请公告，公告内容以本公告为准。</w:t>
      </w:r>
    </w:p>
    <w:p w14:paraId="38C33D71">
      <w:pPr>
        <w:keepNext/>
        <w:keepLines/>
        <w:pageBreakBefore w:val="0"/>
        <w:kinsoku/>
        <w:overflowPunct/>
        <w:topLinePunct w:val="0"/>
        <w:autoSpaceDE/>
        <w:autoSpaceDN/>
        <w:bidi w:val="0"/>
        <w:adjustRightInd w:val="0"/>
        <w:snapToGrid w:val="0"/>
        <w:spacing w:line="360" w:lineRule="exact"/>
        <w:ind w:firstLine="422" w:firstLineChars="200"/>
        <w:jc w:val="left"/>
        <w:textAlignment w:val="auto"/>
        <w:outlineLvl w:val="9"/>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bidi="ar"/>
        </w:rPr>
        <w:t>八、询问及质疑</w:t>
      </w:r>
    </w:p>
    <w:p w14:paraId="3518F82F">
      <w:pPr>
        <w:pStyle w:val="27"/>
        <w:pageBreakBefore w:val="0"/>
        <w:kinsoku/>
        <w:overflowPunct/>
        <w:topLinePunct w:val="0"/>
        <w:autoSpaceDE/>
        <w:autoSpaceDN/>
        <w:bidi w:val="0"/>
        <w:adjustRightInd w:val="0"/>
        <w:snapToGrid w:val="0"/>
        <w:spacing w:before="0" w:beforeAutospacing="0" w:after="0" w:afterAutospacing="0"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1、供应商对政府采购活动事项如有疑问的，可以向采购人、采购代理机构提出询问。采购人、采购代理机构将在3个工作日内作出答复。</w:t>
      </w:r>
    </w:p>
    <w:p w14:paraId="19F5FEA4">
      <w:pPr>
        <w:pStyle w:val="27"/>
        <w:pageBreakBefore w:val="0"/>
        <w:kinsoku/>
        <w:overflowPunct/>
        <w:topLinePunct w:val="0"/>
        <w:autoSpaceDE/>
        <w:autoSpaceDN/>
        <w:bidi w:val="0"/>
        <w:adjustRightInd w:val="0"/>
        <w:snapToGrid w:val="0"/>
        <w:spacing w:before="0" w:beforeAutospacing="0" w:after="0" w:afterAutospacing="0"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2、供应商认为磋商文件或本公告使自己的合法权益受到损害的，可以在收到磋商文件之日或本公告期限届满之日起7个工作日内，按《湖南省财政厅关于印发＜政府采购质疑答复和投诉处理操作规程＞的通知》(湘财购〔2019〕20号)规定，以纸质书面形式向采购人、采购代理机构提出质疑。</w:t>
      </w:r>
    </w:p>
    <w:p w14:paraId="0D368BB5">
      <w:pPr>
        <w:keepNext/>
        <w:keepLines/>
        <w:pageBreakBefore w:val="0"/>
        <w:kinsoku/>
        <w:overflowPunct/>
        <w:topLinePunct w:val="0"/>
        <w:autoSpaceDE/>
        <w:autoSpaceDN/>
        <w:bidi w:val="0"/>
        <w:adjustRightInd w:val="0"/>
        <w:snapToGrid w:val="0"/>
        <w:spacing w:line="360" w:lineRule="exact"/>
        <w:ind w:firstLine="422"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bidi="ar"/>
        </w:rPr>
        <w:t>九、采购项目联系人姓名和电话</w:t>
      </w:r>
    </w:p>
    <w:p w14:paraId="009A6617">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bidi="ar"/>
        </w:rPr>
        <w:t>1、联系人姓名：</w:t>
      </w:r>
      <w:r>
        <w:rPr>
          <w:rFonts w:hint="eastAsia" w:ascii="宋体" w:hAnsi="宋体" w:eastAsia="宋体" w:cs="宋体"/>
          <w:color w:val="auto"/>
          <w:sz w:val="21"/>
          <w:szCs w:val="21"/>
          <w:highlight w:val="none"/>
          <w:lang w:eastAsia="zh-CN" w:bidi="ar"/>
        </w:rPr>
        <w:t>武云</w:t>
      </w:r>
    </w:p>
    <w:p w14:paraId="3E4B30D6">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bidi="ar"/>
        </w:rPr>
        <w:t>2、电话：</w:t>
      </w:r>
      <w:r>
        <w:rPr>
          <w:rFonts w:hint="eastAsia" w:ascii="宋体" w:hAnsi="宋体" w:eastAsia="宋体" w:cs="宋体"/>
          <w:color w:val="auto"/>
          <w:sz w:val="21"/>
          <w:szCs w:val="21"/>
          <w:highlight w:val="none"/>
          <w:lang w:eastAsia="zh-CN" w:bidi="ar"/>
        </w:rPr>
        <w:t>13349650908</w:t>
      </w:r>
    </w:p>
    <w:p w14:paraId="659D4939">
      <w:pPr>
        <w:keepNext/>
        <w:keepLines/>
        <w:pageBreakBefore w:val="0"/>
        <w:kinsoku/>
        <w:overflowPunct/>
        <w:topLinePunct w:val="0"/>
        <w:autoSpaceDE/>
        <w:autoSpaceDN/>
        <w:bidi w:val="0"/>
        <w:adjustRightInd w:val="0"/>
        <w:snapToGrid w:val="0"/>
        <w:spacing w:line="360" w:lineRule="exact"/>
        <w:ind w:firstLine="422"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bidi="ar"/>
        </w:rPr>
        <w:t>十、采购人、采购代理机构的名称、地址和联系方法</w:t>
      </w:r>
    </w:p>
    <w:p w14:paraId="5E0EFFF3">
      <w:pPr>
        <w:pageBreakBefore w:val="0"/>
        <w:widowControl/>
        <w:kinsoku/>
        <w:overflowPunct/>
        <w:topLinePunct w:val="0"/>
        <w:autoSpaceDE/>
        <w:autoSpaceDN/>
        <w:bidi w:val="0"/>
        <w:adjustRightInd w:val="0"/>
        <w:snapToGrid w:val="0"/>
        <w:spacing w:line="360" w:lineRule="exact"/>
        <w:ind w:firstLine="422"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bidi="ar"/>
        </w:rPr>
        <w:t>1</w:t>
      </w:r>
      <w:r>
        <w:rPr>
          <w:rFonts w:hint="eastAsia" w:ascii="宋体" w:hAnsi="宋体" w:eastAsia="宋体" w:cs="宋体"/>
          <w:color w:val="auto"/>
          <w:sz w:val="21"/>
          <w:szCs w:val="21"/>
          <w:highlight w:val="none"/>
          <w:lang w:bidi="ar"/>
        </w:rPr>
        <w:t>、</w:t>
      </w:r>
      <w:r>
        <w:rPr>
          <w:rFonts w:hint="eastAsia" w:ascii="宋体" w:hAnsi="宋体" w:eastAsia="宋体" w:cs="宋体"/>
          <w:b/>
          <w:bCs/>
          <w:color w:val="auto"/>
          <w:sz w:val="21"/>
          <w:szCs w:val="21"/>
          <w:highlight w:val="none"/>
          <w:lang w:bidi="ar"/>
        </w:rPr>
        <w:t>采购人信息</w:t>
      </w:r>
    </w:p>
    <w:p w14:paraId="007DEADE">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w:t>
      </w:r>
      <w:r>
        <w:rPr>
          <w:rFonts w:hint="eastAsia" w:ascii="宋体" w:hAnsi="宋体" w:eastAsia="宋体" w:cs="宋体"/>
          <w:bCs/>
          <w:color w:val="auto"/>
          <w:sz w:val="21"/>
          <w:szCs w:val="21"/>
          <w:highlight w:val="none"/>
          <w:lang w:bidi="ar"/>
        </w:rPr>
        <w:t>名  称：</w:t>
      </w:r>
      <w:r>
        <w:rPr>
          <w:rFonts w:hint="eastAsia" w:ascii="宋体" w:hAnsi="宋体" w:eastAsia="宋体" w:cs="宋体"/>
          <w:bCs/>
          <w:color w:val="auto"/>
          <w:sz w:val="21"/>
          <w:szCs w:val="21"/>
          <w:highlight w:val="none"/>
          <w:lang w:eastAsia="zh-CN" w:bidi="ar"/>
        </w:rPr>
        <w:t>溆浦县低庄镇中心小学</w:t>
      </w:r>
      <w:r>
        <w:rPr>
          <w:rFonts w:hint="eastAsia" w:ascii="宋体" w:hAnsi="宋体" w:eastAsia="宋体" w:cs="宋体"/>
          <w:color w:val="auto"/>
          <w:sz w:val="21"/>
          <w:szCs w:val="21"/>
          <w:highlight w:val="none"/>
        </w:rPr>
        <w:t xml:space="preserve"> </w:t>
      </w:r>
    </w:p>
    <w:p w14:paraId="79A7F51A">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bidi="ar"/>
        </w:rPr>
        <w:t>（2）地  址</w:t>
      </w:r>
      <w:r>
        <w:rPr>
          <w:rFonts w:hint="eastAsia" w:ascii="宋体" w:hAnsi="宋体" w:eastAsia="宋体" w:cs="宋体"/>
          <w:color w:val="auto"/>
          <w:sz w:val="21"/>
          <w:szCs w:val="21"/>
          <w:highlight w:val="none"/>
          <w:lang w:eastAsia="zh-CN" w:bidi="ar"/>
        </w:rPr>
        <w:t xml:space="preserve">：怀化市溆浦县低庄镇中心小学 </w:t>
      </w:r>
    </w:p>
    <w:p w14:paraId="3B72D7F7">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（3）联系人：武云</w:t>
      </w:r>
    </w:p>
    <w:p w14:paraId="3FD3E4F0">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（4）邮  编：418113</w:t>
      </w:r>
    </w:p>
    <w:p w14:paraId="3F02AC98">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bidi="ar"/>
        </w:rPr>
        <w:t>（5）电  话：</w:t>
      </w:r>
      <w:r>
        <w:rPr>
          <w:rFonts w:hint="eastAsia" w:ascii="宋体" w:hAnsi="宋体" w:eastAsia="宋体" w:cs="宋体"/>
          <w:color w:val="auto"/>
          <w:sz w:val="21"/>
          <w:szCs w:val="21"/>
          <w:highlight w:val="none"/>
          <w:lang w:eastAsia="zh-CN" w:bidi="ar"/>
        </w:rPr>
        <w:t>13349650908</w:t>
      </w:r>
    </w:p>
    <w:p w14:paraId="07BF1155">
      <w:pPr>
        <w:pageBreakBefore w:val="0"/>
        <w:widowControl/>
        <w:kinsoku/>
        <w:overflowPunct/>
        <w:topLinePunct w:val="0"/>
        <w:autoSpaceDE/>
        <w:autoSpaceDN/>
        <w:bidi w:val="0"/>
        <w:adjustRightInd w:val="0"/>
        <w:snapToGrid w:val="0"/>
        <w:spacing w:line="360" w:lineRule="exact"/>
        <w:ind w:firstLine="422"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bidi="ar"/>
        </w:rPr>
        <w:t>2</w:t>
      </w:r>
      <w:r>
        <w:rPr>
          <w:rFonts w:hint="eastAsia" w:ascii="宋体" w:hAnsi="宋体" w:eastAsia="宋体" w:cs="宋体"/>
          <w:color w:val="auto"/>
          <w:sz w:val="21"/>
          <w:szCs w:val="21"/>
          <w:highlight w:val="none"/>
          <w:lang w:bidi="ar"/>
        </w:rPr>
        <w:t>、</w:t>
      </w:r>
      <w:r>
        <w:rPr>
          <w:rFonts w:hint="eastAsia" w:ascii="宋体" w:hAnsi="宋体" w:eastAsia="宋体" w:cs="宋体"/>
          <w:b/>
          <w:bCs/>
          <w:color w:val="auto"/>
          <w:sz w:val="21"/>
          <w:szCs w:val="21"/>
          <w:highlight w:val="none"/>
          <w:lang w:bidi="ar"/>
        </w:rPr>
        <w:t>采购代理机构信息</w:t>
      </w:r>
    </w:p>
    <w:p w14:paraId="48089137">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w:t>
      </w:r>
      <w:r>
        <w:rPr>
          <w:rFonts w:hint="eastAsia" w:ascii="宋体" w:hAnsi="宋体" w:eastAsia="宋体" w:cs="宋体"/>
          <w:bCs/>
          <w:color w:val="auto"/>
          <w:sz w:val="21"/>
          <w:szCs w:val="21"/>
          <w:highlight w:val="none"/>
          <w:lang w:bidi="ar"/>
        </w:rPr>
        <w:t>名  称：</w:t>
      </w:r>
      <w:r>
        <w:rPr>
          <w:rFonts w:hint="eastAsia" w:ascii="宋体" w:hAnsi="宋体" w:eastAsia="宋体" w:cs="宋体"/>
          <w:color w:val="auto"/>
          <w:sz w:val="21"/>
          <w:szCs w:val="21"/>
          <w:highlight w:val="none"/>
        </w:rPr>
        <w:t xml:space="preserve">湖南登峰项目管理有限公司   </w:t>
      </w:r>
    </w:p>
    <w:p w14:paraId="0BB7D2AF">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（2）地  址：湖南省怀化市鹤城区红星街道正清路787号</w:t>
      </w:r>
    </w:p>
    <w:p w14:paraId="261A460A">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（3）联系人：杨女士</w:t>
      </w:r>
    </w:p>
    <w:p w14:paraId="58FDA587">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 xml:space="preserve">（4）邮  编：418000   </w:t>
      </w:r>
    </w:p>
    <w:p w14:paraId="15C41937">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（5）电  话：</w:t>
      </w:r>
      <w:r>
        <w:rPr>
          <w:rFonts w:hint="eastAsia" w:ascii="宋体" w:hAnsi="宋体" w:eastAsia="宋体" w:cs="宋体"/>
          <w:color w:val="auto"/>
          <w:sz w:val="21"/>
          <w:szCs w:val="21"/>
          <w:highlight w:val="none"/>
        </w:rPr>
        <w:t>15348485323</w:t>
      </w:r>
    </w:p>
    <w:p w14:paraId="1F081F69">
      <w:pPr>
        <w:pageBreakBefore w:val="0"/>
        <w:widowControl/>
        <w:kinsoku/>
        <w:overflowPunct/>
        <w:topLinePunct w:val="0"/>
        <w:autoSpaceDE/>
        <w:autoSpaceDN/>
        <w:bidi w:val="0"/>
        <w:adjustRightInd w:val="0"/>
        <w:snapToGrid w:val="0"/>
        <w:spacing w:line="36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 xml:space="preserve">（6）电子邮箱：2997828884@qq.com     </w:t>
      </w:r>
    </w:p>
    <w:p w14:paraId="15A9BD1D">
      <w:pPr>
        <w:widowControl/>
        <w:spacing w:before="76" w:after="100" w:afterAutospacing="1" w:line="420" w:lineRule="atLeast"/>
        <w:jc w:val="left"/>
        <w:outlineLvl w:val="9"/>
        <w:rPr>
          <w:rFonts w:hint="eastAsia" w:ascii="宋体" w:hAnsi="宋体" w:eastAsia="宋体" w:cs="宋体"/>
          <w:color w:val="auto"/>
          <w:kern w:val="0"/>
          <w:szCs w:val="21"/>
          <w:highlight w:val="none"/>
        </w:rPr>
        <w:sectPr>
          <w:footerReference r:id="rId4" w:type="default"/>
          <w:pgSz w:w="11900" w:h="16820"/>
          <w:pgMar w:top="1440" w:right="1800" w:bottom="1440" w:left="1800" w:header="0" w:footer="839" w:gutter="0"/>
          <w:pgNumType w:fmt="decimal" w:start="1"/>
          <w:cols w:space="720" w:num="1"/>
        </w:sectPr>
      </w:pPr>
    </w:p>
    <w:p w14:paraId="2BC8BD54">
      <w:pPr>
        <w:widowControl/>
        <w:spacing w:before="76" w:after="100" w:afterAutospacing="1" w:line="420" w:lineRule="atLeast"/>
        <w:jc w:val="left"/>
        <w:outlineLvl w:val="1"/>
        <w:rPr>
          <w:rFonts w:hint="eastAsia" w:ascii="宋体" w:hAnsi="宋体" w:eastAsia="宋体" w:cs="宋体"/>
          <w:color w:val="auto"/>
          <w:highlight w:val="none"/>
        </w:rPr>
      </w:pPr>
      <w:bookmarkStart w:id="1" w:name="_Toc4380"/>
      <w:r>
        <w:rPr>
          <w:rFonts w:hint="eastAsia" w:ascii="宋体" w:hAnsi="宋体" w:eastAsia="宋体" w:cs="宋体"/>
          <w:color w:val="auto"/>
          <w:kern w:val="0"/>
          <w:szCs w:val="21"/>
          <w:highlight w:val="none"/>
        </w:rPr>
        <w:t>附件一 供应商资格声明(格式)</w:t>
      </w:r>
      <w:bookmarkEnd w:id="1"/>
    </w:p>
    <w:p w14:paraId="4F141768">
      <w:pPr>
        <w:widowControl/>
        <w:adjustRightInd w:val="0"/>
        <w:spacing w:before="228" w:after="100" w:afterAutospacing="1" w:line="360" w:lineRule="auto"/>
        <w:ind w:left="456" w:firstLine="560"/>
        <w:jc w:val="center"/>
        <w:outlineLvl w:val="9"/>
        <w:rPr>
          <w:rFonts w:hint="eastAsia" w:ascii="微软雅黑" w:hAnsi="微软雅黑" w:eastAsia="微软雅黑" w:cs="微软雅黑"/>
          <w:color w:val="auto"/>
          <w:sz w:val="28"/>
          <w:szCs w:val="28"/>
          <w:highlight w:val="none"/>
        </w:rPr>
      </w:pPr>
      <w:r>
        <w:rPr>
          <w:rFonts w:hint="eastAsia" w:ascii="微软雅黑" w:hAnsi="微软雅黑" w:eastAsia="微软雅黑" w:cs="微软雅黑"/>
          <w:b/>
          <w:color w:val="auto"/>
          <w:sz w:val="28"/>
          <w:szCs w:val="28"/>
          <w:highlight w:val="none"/>
        </w:rPr>
        <w:t>供应商资格声明(格式)</w:t>
      </w:r>
    </w:p>
    <w:p w14:paraId="50D2CD18">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(采购人、采购代理机构)：</w:t>
      </w:r>
    </w:p>
    <w:p w14:paraId="4212E32A">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按照《中华人民共和国政府采购法》及实施条例和</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(项目名称)邀请公告的规定，我单位郑重声明如下：</w:t>
      </w:r>
    </w:p>
    <w:p w14:paraId="69A1AD1A">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一、我单位是按照中华人民共和国法律规定登记注册的，注册地点为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，统一社会信用代码为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，法定代表人（单位负责人）为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 xml:space="preserve"> ，具有独立承担民事责任的能力。</w:t>
      </w:r>
    </w:p>
    <w:p w14:paraId="7A7ABF65">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二、我单位具有良好的商业信誉和健全的财务会计制度。</w:t>
      </w:r>
    </w:p>
    <w:p w14:paraId="520D76AF">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三、我单位依法进行纳税和社会保险申报并实际履行了义务。</w:t>
      </w:r>
    </w:p>
    <w:p w14:paraId="698EEE1D">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四、我单位具有履行本项目采购合同所必需的设备和专业技术能力，并具有履行合同的良好记录。</w:t>
      </w:r>
    </w:p>
    <w:p w14:paraId="2B51C6DF">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7B4727E8">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供应商在参加政府采购活动前3年内因违法经营被禁止在一定期限内参加政府采购活动，期限届满的，可以参加政府采购活动。</w:t>
      </w:r>
    </w:p>
    <w:p w14:paraId="73D2F9BF">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六、我单位具备法律、行政法规规定的其他条件。</w:t>
      </w:r>
    </w:p>
    <w:p w14:paraId="7FC407FF">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七、与我单位存在“单位负责人为同一人或者存在直接控股、管理关系”的其他单位信息如下（如无，填写“无”）：</w:t>
      </w:r>
    </w:p>
    <w:p w14:paraId="1E73CC55">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1、与我单位的法定代表人（单位负责人）为同一人的其他单位如下：</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 xml:space="preserve">            </w:t>
      </w:r>
    </w:p>
    <w:p w14:paraId="5B7294BF">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2、我单位直接控股的其他单位如下：</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 xml:space="preserve">       </w:t>
      </w:r>
    </w:p>
    <w:p w14:paraId="55C1423F">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3、与我单位存在管理关系的其他单位如下：</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 xml:space="preserve">     </w:t>
      </w:r>
    </w:p>
    <w:p w14:paraId="72174313">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八、我单位不属于为本项目提供整体设计、规范编制或者项目管理、监理、检测等服务的供应商。</w:t>
      </w:r>
    </w:p>
    <w:p w14:paraId="01752817">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九、我单位无以下不良信用记录情形：</w:t>
      </w:r>
    </w:p>
    <w:p w14:paraId="068FBB52">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1、在“信用中国”网站被列入失信被执行人和重大税收违法案件当事人名单；</w:t>
      </w:r>
    </w:p>
    <w:p w14:paraId="5311FEC6">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2、在“中国湖南政府采购网”网站被列入政府采购严重违法失信行为记录名单；</w:t>
      </w:r>
    </w:p>
    <w:p w14:paraId="7467C9ED">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3、不符合《政府采购法》第二十二条规定的条件。</w:t>
      </w:r>
    </w:p>
    <w:p w14:paraId="4CBA7B70">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我单位保证上述声明的事项都是真实的，如有虚假，我单位愿意承担相应的法律责任，并承担因此所造成的一切损失。</w:t>
      </w:r>
    </w:p>
    <w:p w14:paraId="291E58B9">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注：第三条“良好的商业信誉”是指供应商经营状况良好，无本承诺函第九条情形。</w:t>
      </w:r>
    </w:p>
    <w:p w14:paraId="0C3E6D4E">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p>
    <w:p w14:paraId="51F3F05F">
      <w:pPr>
        <w:widowControl/>
        <w:spacing w:before="50" w:after="100" w:line="360" w:lineRule="auto"/>
        <w:ind w:left="152" w:firstLine="480"/>
        <w:jc w:val="left"/>
        <w:outlineLvl w:val="9"/>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供应商名称（盖单位公章）：</w:t>
      </w:r>
      <w:r>
        <w:rPr>
          <w:rFonts w:hint="eastAsia" w:ascii="宋体" w:hAnsi="宋体" w:eastAsia="宋体" w:cs="宋体"/>
          <w:color w:val="auto"/>
          <w:kern w:val="0"/>
          <w:sz w:val="24"/>
          <w:highlight w:val="none"/>
          <w:u w:val="single"/>
        </w:rPr>
        <w:t xml:space="preserve">         </w:t>
      </w:r>
    </w:p>
    <w:p w14:paraId="16595EB5">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法定代表人（单位负责人）或委托代理人：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（签字或印章）</w:t>
      </w:r>
    </w:p>
    <w:p w14:paraId="7D92F255">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日期：</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 xml:space="preserve"> 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w:t>
      </w:r>
    </w:p>
    <w:p w14:paraId="0967AA02">
      <w:pPr>
        <w:pStyle w:val="2"/>
        <w:ind w:left="0" w:leftChars="0"/>
        <w:outlineLvl w:val="9"/>
        <w:rPr>
          <w:color w:val="auto"/>
          <w:highlight w:val="none"/>
        </w:rPr>
      </w:pPr>
    </w:p>
    <w:p w14:paraId="68F1BD68">
      <w:pPr>
        <w:pStyle w:val="2"/>
        <w:ind w:left="0" w:leftChars="0"/>
        <w:outlineLvl w:val="9"/>
        <w:rPr>
          <w:color w:val="auto"/>
          <w:highlight w:val="none"/>
        </w:rPr>
      </w:pPr>
      <w:r>
        <w:rPr>
          <w:rFonts w:hint="eastAsia" w:ascii="宋体" w:hAnsi="宋体" w:cs="宋体"/>
          <w:color w:val="auto"/>
          <w:szCs w:val="21"/>
          <w:highlight w:val="none"/>
        </w:rPr>
        <w:t xml:space="preserve">  </w:t>
      </w:r>
    </w:p>
    <w:p w14:paraId="1CFC1ED7">
      <w:pPr>
        <w:adjustRightInd w:val="0"/>
        <w:snapToGrid w:val="0"/>
        <w:spacing w:line="360" w:lineRule="auto"/>
        <w:ind w:firstLine="420" w:firstLineChars="200"/>
        <w:outlineLvl w:val="9"/>
        <w:rPr>
          <w:rFonts w:hint="eastAsia" w:ascii="宋体" w:hAnsi="宋体" w:eastAsia="宋体" w:cs="宋体"/>
          <w:color w:val="auto"/>
          <w:szCs w:val="21"/>
          <w:highlight w:val="none"/>
        </w:rPr>
      </w:pPr>
    </w:p>
    <w:p w14:paraId="0F37F2B4">
      <w:pPr>
        <w:adjustRightInd w:val="0"/>
        <w:snapToGrid w:val="0"/>
        <w:spacing w:line="400" w:lineRule="exact"/>
        <w:jc w:val="center"/>
        <w:outlineLvl w:val="9"/>
        <w:rPr>
          <w:rFonts w:hint="eastAsia" w:ascii="宋体" w:hAnsi="宋体" w:eastAsia="宋体" w:cs="宋体"/>
          <w:color w:val="auto"/>
          <w:szCs w:val="21"/>
          <w:highlight w:val="none"/>
        </w:rPr>
      </w:pPr>
    </w:p>
    <w:p w14:paraId="706699A3">
      <w:pPr>
        <w:adjustRightInd w:val="0"/>
        <w:snapToGrid w:val="0"/>
        <w:spacing w:line="400" w:lineRule="exact"/>
        <w:jc w:val="center"/>
        <w:outlineLvl w:val="9"/>
        <w:rPr>
          <w:rFonts w:hint="eastAsia" w:ascii="宋体" w:hAnsi="宋体" w:eastAsia="宋体" w:cs="宋体"/>
          <w:color w:val="auto"/>
          <w:szCs w:val="21"/>
          <w:highlight w:val="none"/>
        </w:rPr>
      </w:pPr>
    </w:p>
    <w:p w14:paraId="2B20EF89">
      <w:pPr>
        <w:adjustRightInd w:val="0"/>
        <w:snapToGrid w:val="0"/>
        <w:spacing w:line="400" w:lineRule="exact"/>
        <w:jc w:val="center"/>
        <w:outlineLvl w:val="9"/>
        <w:rPr>
          <w:rFonts w:hint="eastAsia" w:ascii="宋体" w:hAnsi="宋体" w:eastAsia="宋体" w:cs="宋体"/>
          <w:color w:val="auto"/>
          <w:szCs w:val="21"/>
          <w:highlight w:val="none"/>
        </w:rPr>
      </w:pPr>
    </w:p>
    <w:p w14:paraId="29923536">
      <w:pPr>
        <w:adjustRightInd w:val="0"/>
        <w:snapToGrid w:val="0"/>
        <w:spacing w:line="400" w:lineRule="exact"/>
        <w:jc w:val="center"/>
        <w:outlineLvl w:val="9"/>
        <w:rPr>
          <w:rFonts w:hint="eastAsia" w:ascii="宋体" w:hAnsi="宋体" w:eastAsia="宋体" w:cs="宋体"/>
          <w:color w:val="auto"/>
          <w:szCs w:val="21"/>
          <w:highlight w:val="none"/>
        </w:rPr>
      </w:pPr>
    </w:p>
    <w:p w14:paraId="6910154F">
      <w:pPr>
        <w:adjustRightInd w:val="0"/>
        <w:snapToGrid w:val="0"/>
        <w:spacing w:line="400" w:lineRule="exact"/>
        <w:jc w:val="center"/>
        <w:outlineLvl w:val="9"/>
        <w:rPr>
          <w:rFonts w:hint="eastAsia" w:ascii="宋体" w:hAnsi="宋体" w:eastAsia="宋体" w:cs="宋体"/>
          <w:color w:val="auto"/>
          <w:szCs w:val="21"/>
          <w:highlight w:val="none"/>
        </w:rPr>
      </w:pPr>
    </w:p>
    <w:p w14:paraId="290E567C">
      <w:pPr>
        <w:adjustRightInd w:val="0"/>
        <w:snapToGrid w:val="0"/>
        <w:spacing w:line="400" w:lineRule="exact"/>
        <w:jc w:val="center"/>
        <w:outlineLvl w:val="9"/>
        <w:rPr>
          <w:rFonts w:hint="eastAsia" w:ascii="宋体" w:hAnsi="宋体" w:eastAsia="宋体" w:cs="宋体"/>
          <w:color w:val="auto"/>
          <w:szCs w:val="21"/>
          <w:highlight w:val="none"/>
        </w:rPr>
      </w:pPr>
    </w:p>
    <w:p w14:paraId="2618A445">
      <w:pPr>
        <w:adjustRightInd w:val="0"/>
        <w:snapToGrid w:val="0"/>
        <w:spacing w:line="400" w:lineRule="exact"/>
        <w:jc w:val="center"/>
        <w:outlineLvl w:val="9"/>
        <w:rPr>
          <w:rFonts w:hint="eastAsia" w:ascii="宋体" w:hAnsi="宋体" w:eastAsia="宋体" w:cs="宋体"/>
          <w:color w:val="auto"/>
          <w:szCs w:val="21"/>
          <w:highlight w:val="none"/>
        </w:rPr>
      </w:pPr>
    </w:p>
    <w:p w14:paraId="1A62C103">
      <w:pPr>
        <w:adjustRightInd w:val="0"/>
        <w:snapToGrid w:val="0"/>
        <w:spacing w:line="400" w:lineRule="exact"/>
        <w:jc w:val="center"/>
        <w:outlineLvl w:val="9"/>
        <w:rPr>
          <w:rFonts w:hint="eastAsia" w:ascii="宋体" w:hAnsi="宋体" w:eastAsia="宋体" w:cs="宋体"/>
          <w:color w:val="auto"/>
          <w:szCs w:val="21"/>
          <w:highlight w:val="none"/>
        </w:rPr>
      </w:pPr>
    </w:p>
    <w:p w14:paraId="599350AD">
      <w:pPr>
        <w:adjustRightInd w:val="0"/>
        <w:snapToGrid w:val="0"/>
        <w:spacing w:line="400" w:lineRule="exact"/>
        <w:jc w:val="center"/>
        <w:outlineLvl w:val="9"/>
        <w:rPr>
          <w:rFonts w:hint="eastAsia" w:ascii="宋体" w:hAnsi="宋体" w:eastAsia="宋体" w:cs="宋体"/>
          <w:color w:val="auto"/>
          <w:szCs w:val="21"/>
          <w:highlight w:val="none"/>
        </w:rPr>
      </w:pPr>
    </w:p>
    <w:p w14:paraId="038AECB8">
      <w:pPr>
        <w:ind w:firstLine="420"/>
        <w:outlineLvl w:val="9"/>
        <w:rPr>
          <w:rFonts w:hint="eastAsia" w:ascii="宋体" w:hAnsi="宋体" w:eastAsia="宋体" w:cs="宋体"/>
          <w:b w:val="0"/>
          <w:color w:val="auto"/>
          <w:kern w:val="0"/>
          <w:sz w:val="21"/>
          <w:szCs w:val="21"/>
          <w:highlight w:val="none"/>
        </w:rPr>
        <w:sectPr>
          <w:pgSz w:w="11900" w:h="16820"/>
          <w:pgMar w:top="1440" w:right="1800" w:bottom="1440" w:left="1800" w:header="0" w:footer="839" w:gutter="0"/>
          <w:pgNumType w:fmt="decimal"/>
          <w:cols w:space="720" w:num="1"/>
        </w:sectPr>
      </w:pPr>
    </w:p>
    <w:p w14:paraId="03A80997">
      <w:pPr>
        <w:ind w:firstLine="420"/>
        <w:outlineLvl w:val="1"/>
        <w:rPr>
          <w:rFonts w:hint="eastAsia" w:ascii="宋体" w:hAnsi="宋体" w:eastAsia="宋体" w:cs="宋体"/>
          <w:b w:val="0"/>
          <w:color w:val="auto"/>
          <w:sz w:val="21"/>
          <w:szCs w:val="21"/>
          <w:highlight w:val="none"/>
        </w:rPr>
      </w:pPr>
      <w:bookmarkStart w:id="2" w:name="_Toc8893"/>
      <w:r>
        <w:rPr>
          <w:rFonts w:hint="eastAsia" w:ascii="宋体" w:hAnsi="宋体" w:eastAsia="宋体" w:cs="宋体"/>
          <w:b w:val="0"/>
          <w:color w:val="auto"/>
          <w:kern w:val="0"/>
          <w:sz w:val="21"/>
          <w:szCs w:val="21"/>
          <w:highlight w:val="none"/>
        </w:rPr>
        <w:t>附件二  湖南省政府采购供应商资格承诺函</w:t>
      </w:r>
      <w:r>
        <w:rPr>
          <w:rFonts w:hint="eastAsia" w:ascii="宋体" w:hAnsi="宋体" w:eastAsia="宋体" w:cs="宋体"/>
          <w:b w:val="0"/>
          <w:color w:val="auto"/>
          <w:sz w:val="21"/>
          <w:szCs w:val="21"/>
          <w:highlight w:val="none"/>
        </w:rPr>
        <w:t>（格式）</w:t>
      </w:r>
      <w:bookmarkEnd w:id="2"/>
    </w:p>
    <w:p w14:paraId="5C5108A6">
      <w:pPr>
        <w:ind w:firstLine="772"/>
        <w:jc w:val="center"/>
        <w:outlineLvl w:val="9"/>
        <w:rPr>
          <w:rFonts w:ascii="Arial"/>
          <w:color w:val="auto"/>
          <w:highlight w:val="none"/>
        </w:rPr>
      </w:pPr>
      <w:r>
        <w:rPr>
          <w:rFonts w:ascii="微软雅黑" w:hAnsi="微软雅黑" w:eastAsia="微软雅黑" w:cs="微软雅黑"/>
          <w:color w:val="auto"/>
          <w:spacing w:val="18"/>
          <w:sz w:val="35"/>
          <w:szCs w:val="35"/>
          <w:highlight w:val="none"/>
        </w:rPr>
        <w:t>湖</w:t>
      </w:r>
      <w:r>
        <w:rPr>
          <w:rFonts w:ascii="微软雅黑" w:hAnsi="微软雅黑" w:eastAsia="微软雅黑" w:cs="微软雅黑"/>
          <w:color w:val="auto"/>
          <w:spacing w:val="9"/>
          <w:sz w:val="35"/>
          <w:szCs w:val="35"/>
          <w:highlight w:val="none"/>
        </w:rPr>
        <w:t>南省政府采购供应商资格承诺函</w:t>
      </w:r>
      <w:r>
        <w:rPr>
          <w:rFonts w:hint="eastAsia" w:ascii="微软雅黑" w:hAnsi="微软雅黑" w:eastAsia="微软雅黑" w:cs="微软雅黑"/>
          <w:color w:val="auto"/>
          <w:spacing w:val="9"/>
          <w:sz w:val="35"/>
          <w:szCs w:val="35"/>
          <w:highlight w:val="none"/>
        </w:rPr>
        <w:t>（格式）</w:t>
      </w:r>
    </w:p>
    <w:p w14:paraId="2BC5BADF">
      <w:pPr>
        <w:adjustRightInd w:val="0"/>
        <w:snapToGrid w:val="0"/>
        <w:spacing w:line="360" w:lineRule="auto"/>
        <w:ind w:firstLine="630" w:firstLineChars="300"/>
        <w:jc w:val="left"/>
        <w:outlineLvl w:val="9"/>
        <w:rPr>
          <w:rFonts w:hint="eastAsia" w:ascii="宋体" w:hAnsi="宋体"/>
          <w:color w:val="auto"/>
          <w:szCs w:val="21"/>
          <w:highlight w:val="none"/>
        </w:rPr>
      </w:pPr>
      <w:r>
        <w:rPr>
          <w:rFonts w:hint="eastAsia" w:ascii="宋体" w:hAnsi="宋体"/>
          <w:color w:val="auto"/>
          <w:szCs w:val="21"/>
          <w:highlight w:val="none"/>
        </w:rPr>
        <w:t>本公司独立承担民事责任、具有良好的商业信誉和健全的财 务会计制度、依法缴纳税收和社会保障资金，在前三年的经营活 动中无重大违法记录，未列入严重失信行为名单，符合政府采购 供应商的基本资格要求。</w:t>
      </w:r>
    </w:p>
    <w:p w14:paraId="5B9ECC6F">
      <w:pPr>
        <w:adjustRightInd w:val="0"/>
        <w:snapToGrid w:val="0"/>
        <w:spacing w:line="360" w:lineRule="auto"/>
        <w:ind w:firstLine="630" w:firstLineChars="300"/>
        <w:jc w:val="left"/>
        <w:outlineLvl w:val="9"/>
        <w:rPr>
          <w:rFonts w:hint="eastAsia" w:ascii="宋体" w:hAnsi="宋体"/>
          <w:color w:val="auto"/>
          <w:szCs w:val="21"/>
          <w:highlight w:val="none"/>
        </w:rPr>
      </w:pPr>
      <w:r>
        <w:rPr>
          <w:rFonts w:hint="eastAsia" w:ascii="宋体" w:hAnsi="宋体"/>
          <w:color w:val="auto"/>
          <w:szCs w:val="21"/>
          <w:highlight w:val="none"/>
        </w:rPr>
        <w:t xml:space="preserve">按 照《 政府采购促进中小企业发展管理办法》 ( 财库〔2020〕46号 )，本公司企业规模为：大型□  中型□  小型□  微型□ </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B603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2"/>
            <w:vAlign w:val="center"/>
          </w:tcPr>
          <w:p w14:paraId="3894B13D">
            <w:pPr>
              <w:adjustRightInd w:val="0"/>
              <w:snapToGrid w:val="0"/>
              <w:spacing w:line="360" w:lineRule="auto"/>
              <w:outlineLvl w:val="9"/>
              <w:rPr>
                <w:rFonts w:hint="eastAsia" w:ascii="宋体" w:hAnsi="宋体"/>
                <w:color w:val="auto"/>
                <w:szCs w:val="21"/>
                <w:highlight w:val="none"/>
              </w:rPr>
            </w:pPr>
            <w:r>
              <w:rPr>
                <w:rFonts w:hint="eastAsia" w:ascii="宋体" w:hAnsi="宋体"/>
                <w:color w:val="auto"/>
                <w:szCs w:val="21"/>
                <w:highlight w:val="none"/>
              </w:rPr>
              <w:t>机构代码：</w:t>
            </w:r>
          </w:p>
        </w:tc>
      </w:tr>
      <w:tr w14:paraId="4463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2"/>
            <w:vAlign w:val="center"/>
          </w:tcPr>
          <w:p w14:paraId="74643C1F">
            <w:pPr>
              <w:adjustRightInd w:val="0"/>
              <w:snapToGrid w:val="0"/>
              <w:spacing w:line="360" w:lineRule="auto"/>
              <w:outlineLvl w:val="9"/>
              <w:rPr>
                <w:rFonts w:hint="eastAsia" w:ascii="宋体" w:hAnsi="宋体"/>
                <w:color w:val="auto"/>
                <w:szCs w:val="21"/>
                <w:highlight w:val="none"/>
              </w:rPr>
            </w:pPr>
            <w:r>
              <w:rPr>
                <w:rFonts w:hint="eastAsia" w:ascii="宋体" w:hAnsi="宋体"/>
                <w:color w:val="auto"/>
                <w:szCs w:val="21"/>
                <w:highlight w:val="none"/>
              </w:rPr>
              <w:t>注册登记机构：</w:t>
            </w:r>
          </w:p>
        </w:tc>
      </w:tr>
      <w:tr w14:paraId="0506B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2"/>
            <w:vAlign w:val="center"/>
          </w:tcPr>
          <w:p w14:paraId="367D6E8C">
            <w:pPr>
              <w:adjustRightInd w:val="0"/>
              <w:snapToGrid w:val="0"/>
              <w:spacing w:line="360" w:lineRule="auto"/>
              <w:outlineLvl w:val="9"/>
              <w:rPr>
                <w:rFonts w:hint="eastAsia" w:ascii="宋体" w:hAnsi="宋体"/>
                <w:color w:val="auto"/>
                <w:szCs w:val="21"/>
                <w:highlight w:val="none"/>
              </w:rPr>
            </w:pPr>
            <w:r>
              <w:rPr>
                <w:rFonts w:hint="eastAsia" w:ascii="宋体" w:hAnsi="宋体"/>
                <w:color w:val="auto"/>
                <w:szCs w:val="21"/>
                <w:highlight w:val="none"/>
              </w:rPr>
              <w:t>日期：</w:t>
            </w:r>
          </w:p>
        </w:tc>
      </w:tr>
      <w:tr w14:paraId="243A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2"/>
            <w:vAlign w:val="center"/>
          </w:tcPr>
          <w:p w14:paraId="6EA3FD54">
            <w:pPr>
              <w:adjustRightInd w:val="0"/>
              <w:snapToGrid w:val="0"/>
              <w:spacing w:line="360" w:lineRule="auto"/>
              <w:outlineLvl w:val="9"/>
              <w:rPr>
                <w:rFonts w:hint="eastAsia" w:ascii="宋体" w:hAnsi="宋体"/>
                <w:color w:val="auto"/>
                <w:szCs w:val="21"/>
                <w:highlight w:val="none"/>
              </w:rPr>
            </w:pPr>
            <w:r>
              <w:rPr>
                <w:rFonts w:hint="eastAsia" w:ascii="宋体" w:hAnsi="宋体"/>
                <w:color w:val="auto"/>
                <w:szCs w:val="21"/>
                <w:highlight w:val="none"/>
              </w:rPr>
              <w:t>有效期：</w:t>
            </w:r>
          </w:p>
        </w:tc>
      </w:tr>
      <w:tr w14:paraId="6660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2"/>
            <w:vAlign w:val="center"/>
          </w:tcPr>
          <w:p w14:paraId="720935C2">
            <w:pPr>
              <w:adjustRightInd w:val="0"/>
              <w:snapToGrid w:val="0"/>
              <w:spacing w:line="360" w:lineRule="auto"/>
              <w:outlineLvl w:val="9"/>
              <w:rPr>
                <w:rFonts w:hint="eastAsia" w:ascii="宋体" w:hAnsi="宋体"/>
                <w:color w:val="auto"/>
                <w:szCs w:val="21"/>
                <w:highlight w:val="none"/>
              </w:rPr>
            </w:pPr>
            <w:r>
              <w:rPr>
                <w:rFonts w:hint="eastAsia" w:ascii="宋体" w:hAnsi="宋体"/>
                <w:color w:val="auto"/>
                <w:szCs w:val="21"/>
                <w:highlight w:val="none"/>
              </w:rPr>
              <w:t>注册资本：</w:t>
            </w:r>
          </w:p>
        </w:tc>
      </w:tr>
      <w:tr w14:paraId="049C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2"/>
            <w:vAlign w:val="center"/>
          </w:tcPr>
          <w:p w14:paraId="18D02807">
            <w:pPr>
              <w:adjustRightInd w:val="0"/>
              <w:snapToGrid w:val="0"/>
              <w:spacing w:line="360" w:lineRule="auto"/>
              <w:outlineLvl w:val="9"/>
              <w:rPr>
                <w:rFonts w:hint="eastAsia" w:ascii="宋体" w:hAnsi="宋体"/>
                <w:color w:val="auto"/>
                <w:szCs w:val="21"/>
                <w:highlight w:val="none"/>
              </w:rPr>
            </w:pPr>
            <w:r>
              <w:rPr>
                <w:rFonts w:hint="eastAsia" w:ascii="宋体" w:hAnsi="宋体"/>
                <w:color w:val="auto"/>
                <w:szCs w:val="21"/>
                <w:highlight w:val="none"/>
              </w:rPr>
              <w:t>地址：</w:t>
            </w:r>
          </w:p>
        </w:tc>
      </w:tr>
      <w:tr w14:paraId="67765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2"/>
            <w:vAlign w:val="center"/>
          </w:tcPr>
          <w:p w14:paraId="7AA35810">
            <w:pPr>
              <w:adjustRightInd w:val="0"/>
              <w:snapToGrid w:val="0"/>
              <w:spacing w:line="360" w:lineRule="auto"/>
              <w:outlineLvl w:val="9"/>
              <w:rPr>
                <w:rFonts w:hint="eastAsia" w:ascii="宋体" w:hAnsi="宋体"/>
                <w:color w:val="auto"/>
                <w:szCs w:val="21"/>
                <w:highlight w:val="none"/>
              </w:rPr>
            </w:pPr>
            <w:r>
              <w:rPr>
                <w:rFonts w:hint="eastAsia" w:ascii="宋体" w:hAnsi="宋体"/>
                <w:color w:val="auto"/>
                <w:szCs w:val="21"/>
                <w:highlight w:val="none"/>
              </w:rPr>
              <w:t>经济行业：</w:t>
            </w:r>
          </w:p>
        </w:tc>
      </w:tr>
      <w:tr w14:paraId="08EE5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2"/>
            <w:vAlign w:val="center"/>
          </w:tcPr>
          <w:p w14:paraId="41E4FDEE">
            <w:pPr>
              <w:adjustRightInd w:val="0"/>
              <w:snapToGrid w:val="0"/>
              <w:spacing w:line="360" w:lineRule="auto"/>
              <w:outlineLvl w:val="9"/>
              <w:rPr>
                <w:rFonts w:hint="eastAsia" w:ascii="宋体" w:hAnsi="宋体"/>
                <w:color w:val="auto"/>
                <w:szCs w:val="21"/>
                <w:highlight w:val="none"/>
              </w:rPr>
            </w:pPr>
            <w:r>
              <w:rPr>
                <w:rFonts w:hint="eastAsia" w:ascii="宋体" w:hAnsi="宋体"/>
                <w:color w:val="auto"/>
                <w:szCs w:val="21"/>
                <w:highlight w:val="none"/>
              </w:rPr>
              <w:t>经济性质：</w:t>
            </w:r>
          </w:p>
        </w:tc>
      </w:tr>
      <w:tr w14:paraId="4A17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2"/>
            <w:vAlign w:val="center"/>
          </w:tcPr>
          <w:p w14:paraId="3BB92D9B">
            <w:pPr>
              <w:adjustRightInd w:val="0"/>
              <w:snapToGrid w:val="0"/>
              <w:spacing w:line="360" w:lineRule="auto"/>
              <w:outlineLvl w:val="9"/>
              <w:rPr>
                <w:rFonts w:hint="eastAsia" w:ascii="宋体" w:hAnsi="宋体"/>
                <w:color w:val="auto"/>
                <w:szCs w:val="21"/>
                <w:highlight w:val="none"/>
              </w:rPr>
            </w:pPr>
            <w:r>
              <w:rPr>
                <w:rFonts w:hint="eastAsia" w:ascii="宋体" w:hAnsi="宋体"/>
                <w:color w:val="auto"/>
                <w:szCs w:val="21"/>
                <w:highlight w:val="none"/>
              </w:rPr>
              <w:t>法定代表人 (负责人) :</w:t>
            </w:r>
          </w:p>
        </w:tc>
      </w:tr>
      <w:tr w14:paraId="7C99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30" w:type="dxa"/>
            <w:vAlign w:val="center"/>
          </w:tcPr>
          <w:p w14:paraId="7E280EF7">
            <w:pPr>
              <w:adjustRightInd w:val="0"/>
              <w:snapToGrid w:val="0"/>
              <w:spacing w:line="360" w:lineRule="auto"/>
              <w:outlineLvl w:val="9"/>
              <w:rPr>
                <w:rFonts w:hint="eastAsia" w:ascii="宋体" w:hAnsi="宋体"/>
                <w:color w:val="auto"/>
                <w:szCs w:val="21"/>
                <w:highlight w:val="none"/>
              </w:rPr>
            </w:pPr>
            <w:r>
              <w:rPr>
                <w:rFonts w:hint="eastAsia" w:ascii="宋体" w:hAnsi="宋体"/>
                <w:color w:val="auto"/>
                <w:szCs w:val="21"/>
                <w:highlight w:val="none"/>
              </w:rPr>
              <w:t>法定代表人姓名 (签字)：</w:t>
            </w:r>
          </w:p>
        </w:tc>
        <w:tc>
          <w:tcPr>
            <w:tcW w:w="4530" w:type="dxa"/>
            <w:vAlign w:val="center"/>
          </w:tcPr>
          <w:p w14:paraId="61D32758">
            <w:pPr>
              <w:adjustRightInd w:val="0"/>
              <w:snapToGrid w:val="0"/>
              <w:spacing w:line="360" w:lineRule="auto"/>
              <w:outlineLvl w:val="9"/>
              <w:rPr>
                <w:rFonts w:hint="eastAsia" w:ascii="宋体" w:hAnsi="宋体"/>
                <w:color w:val="auto"/>
                <w:szCs w:val="21"/>
                <w:highlight w:val="none"/>
              </w:rPr>
            </w:pPr>
            <w:r>
              <w:rPr>
                <w:rFonts w:hint="eastAsia" w:ascii="宋体" w:hAnsi="宋体"/>
                <w:color w:val="auto"/>
                <w:szCs w:val="21"/>
                <w:highlight w:val="none"/>
              </w:rPr>
              <w:t>授权委托人姓名 (签字)：</w:t>
            </w:r>
          </w:p>
        </w:tc>
      </w:tr>
      <w:tr w14:paraId="3390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30" w:type="dxa"/>
            <w:vAlign w:val="center"/>
          </w:tcPr>
          <w:p w14:paraId="1E4C26B3">
            <w:pPr>
              <w:adjustRightInd w:val="0"/>
              <w:snapToGrid w:val="0"/>
              <w:spacing w:line="360" w:lineRule="auto"/>
              <w:outlineLvl w:val="9"/>
              <w:rPr>
                <w:rFonts w:hint="eastAsia" w:ascii="宋体" w:hAnsi="宋体"/>
                <w:color w:val="auto"/>
                <w:szCs w:val="21"/>
                <w:highlight w:val="none"/>
              </w:rPr>
            </w:pPr>
            <w:r>
              <w:rPr>
                <w:rFonts w:hint="eastAsia" w:ascii="宋体" w:hAnsi="宋体"/>
                <w:color w:val="auto"/>
                <w:szCs w:val="21"/>
                <w:highlight w:val="none"/>
              </w:rPr>
              <w:t>身份证号：</w:t>
            </w:r>
          </w:p>
        </w:tc>
        <w:tc>
          <w:tcPr>
            <w:tcW w:w="4530" w:type="dxa"/>
            <w:vAlign w:val="center"/>
          </w:tcPr>
          <w:p w14:paraId="6A755D7E">
            <w:pPr>
              <w:adjustRightInd w:val="0"/>
              <w:snapToGrid w:val="0"/>
              <w:spacing w:line="360" w:lineRule="auto"/>
              <w:outlineLvl w:val="9"/>
              <w:rPr>
                <w:rFonts w:hint="eastAsia" w:ascii="宋体" w:hAnsi="宋体"/>
                <w:color w:val="auto"/>
                <w:szCs w:val="21"/>
                <w:highlight w:val="none"/>
              </w:rPr>
            </w:pPr>
            <w:r>
              <w:rPr>
                <w:rFonts w:hint="eastAsia" w:ascii="宋体" w:hAnsi="宋体"/>
                <w:color w:val="auto"/>
                <w:szCs w:val="21"/>
                <w:highlight w:val="none"/>
              </w:rPr>
              <w:t>身份证号：</w:t>
            </w:r>
          </w:p>
        </w:tc>
      </w:tr>
      <w:tr w14:paraId="4323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30" w:type="dxa"/>
            <w:vAlign w:val="center"/>
          </w:tcPr>
          <w:p w14:paraId="4D97C60A">
            <w:pPr>
              <w:adjustRightInd w:val="0"/>
              <w:snapToGrid w:val="0"/>
              <w:spacing w:line="360" w:lineRule="auto"/>
              <w:outlineLvl w:val="9"/>
              <w:rPr>
                <w:rFonts w:hint="eastAsia" w:ascii="宋体" w:hAnsi="宋体"/>
                <w:color w:val="auto"/>
                <w:szCs w:val="21"/>
                <w:highlight w:val="none"/>
              </w:rPr>
            </w:pPr>
            <w:r>
              <w:rPr>
                <w:rFonts w:hint="eastAsia" w:ascii="宋体" w:hAnsi="宋体"/>
                <w:color w:val="auto"/>
                <w:szCs w:val="21"/>
                <w:highlight w:val="none"/>
              </w:rPr>
              <w:t>手机号：</w:t>
            </w:r>
          </w:p>
        </w:tc>
        <w:tc>
          <w:tcPr>
            <w:tcW w:w="4530" w:type="dxa"/>
            <w:vAlign w:val="center"/>
          </w:tcPr>
          <w:p w14:paraId="52954273">
            <w:pPr>
              <w:adjustRightInd w:val="0"/>
              <w:snapToGrid w:val="0"/>
              <w:spacing w:line="360" w:lineRule="auto"/>
              <w:outlineLvl w:val="9"/>
              <w:rPr>
                <w:rFonts w:hint="eastAsia" w:ascii="宋体" w:hAnsi="宋体"/>
                <w:color w:val="auto"/>
                <w:szCs w:val="21"/>
                <w:highlight w:val="none"/>
              </w:rPr>
            </w:pPr>
            <w:r>
              <w:rPr>
                <w:rFonts w:hint="eastAsia" w:ascii="宋体" w:hAnsi="宋体"/>
                <w:color w:val="auto"/>
                <w:szCs w:val="21"/>
                <w:highlight w:val="none"/>
              </w:rPr>
              <w:t>手机号：</w:t>
            </w:r>
          </w:p>
        </w:tc>
      </w:tr>
    </w:tbl>
    <w:p w14:paraId="36A74934">
      <w:pPr>
        <w:adjustRightInd w:val="0"/>
        <w:snapToGrid w:val="0"/>
        <w:spacing w:line="360" w:lineRule="auto"/>
        <w:outlineLvl w:val="9"/>
        <w:rPr>
          <w:rFonts w:hint="eastAsia" w:ascii="宋体" w:hAnsi="宋体"/>
          <w:color w:val="auto"/>
          <w:szCs w:val="21"/>
          <w:highlight w:val="none"/>
        </w:rPr>
      </w:pPr>
    </w:p>
    <w:p w14:paraId="4AB02B61">
      <w:pPr>
        <w:adjustRightInd w:val="0"/>
        <w:snapToGrid w:val="0"/>
        <w:spacing w:line="360" w:lineRule="auto"/>
        <w:jc w:val="right"/>
        <w:outlineLvl w:val="9"/>
        <w:rPr>
          <w:rFonts w:hint="eastAsia" w:ascii="宋体" w:hAnsi="宋体"/>
          <w:color w:val="auto"/>
          <w:szCs w:val="21"/>
          <w:highlight w:val="none"/>
        </w:rPr>
      </w:pPr>
      <w:r>
        <w:rPr>
          <w:rFonts w:hint="eastAsia" w:ascii="宋体" w:hAnsi="宋体"/>
          <w:color w:val="auto"/>
          <w:szCs w:val="21"/>
          <w:highlight w:val="none"/>
        </w:rPr>
        <w:t>公司 (单位) 名称 (盖章)</w:t>
      </w:r>
    </w:p>
    <w:p w14:paraId="637CF9C2">
      <w:pPr>
        <w:adjustRightInd w:val="0"/>
        <w:snapToGrid w:val="0"/>
        <w:spacing w:line="360" w:lineRule="auto"/>
        <w:jc w:val="right"/>
        <w:outlineLvl w:val="9"/>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年   月    日</w:t>
      </w:r>
    </w:p>
    <w:p w14:paraId="4C86794B">
      <w:pPr>
        <w:pStyle w:val="45"/>
        <w:ind w:firstLine="0" w:firstLineChars="0"/>
        <w:outlineLvl w:val="9"/>
        <w:rPr>
          <w:color w:val="auto"/>
          <w:highlight w:val="none"/>
        </w:rPr>
      </w:pPr>
    </w:p>
    <w:p w14:paraId="29A31F7C">
      <w:pPr>
        <w:adjustRightInd w:val="0"/>
        <w:snapToGrid w:val="0"/>
        <w:spacing w:line="400" w:lineRule="exact"/>
        <w:outlineLvl w:val="9"/>
        <w:rPr>
          <w:rFonts w:hint="eastAsia" w:ascii="宋体" w:hAnsi="宋体" w:eastAsia="宋体" w:cs="宋体"/>
          <w:b/>
          <w:color w:val="auto"/>
          <w:sz w:val="32"/>
          <w:szCs w:val="32"/>
          <w:highlight w:val="none"/>
        </w:rPr>
      </w:pPr>
    </w:p>
    <w:p w14:paraId="16A21025">
      <w:pPr>
        <w:adjustRightInd w:val="0"/>
        <w:snapToGrid w:val="0"/>
        <w:spacing w:line="400" w:lineRule="exact"/>
        <w:ind w:firstLine="643"/>
        <w:jc w:val="center"/>
        <w:outlineLvl w:val="9"/>
        <w:rPr>
          <w:rFonts w:hint="eastAsia" w:ascii="宋体" w:hAnsi="宋体" w:eastAsia="宋体" w:cs="宋体"/>
          <w:b/>
          <w:color w:val="auto"/>
          <w:sz w:val="32"/>
          <w:szCs w:val="32"/>
          <w:highlight w:val="none"/>
        </w:rPr>
      </w:pPr>
    </w:p>
    <w:p w14:paraId="38432ABA">
      <w:pPr>
        <w:adjustRightInd w:val="0"/>
        <w:snapToGrid w:val="0"/>
        <w:spacing w:line="400" w:lineRule="exact"/>
        <w:ind w:firstLine="643"/>
        <w:jc w:val="center"/>
        <w:outlineLvl w:val="9"/>
        <w:rPr>
          <w:rFonts w:hint="eastAsia" w:ascii="宋体" w:hAnsi="宋体" w:eastAsia="宋体" w:cs="宋体"/>
          <w:b/>
          <w:color w:val="auto"/>
          <w:sz w:val="32"/>
          <w:szCs w:val="32"/>
          <w:highlight w:val="none"/>
        </w:rPr>
      </w:pPr>
    </w:p>
    <w:p w14:paraId="649A6BFF">
      <w:pPr>
        <w:adjustRightInd w:val="0"/>
        <w:snapToGrid w:val="0"/>
        <w:spacing w:line="400" w:lineRule="exact"/>
        <w:ind w:firstLine="643"/>
        <w:jc w:val="center"/>
        <w:outlineLvl w:val="9"/>
        <w:rPr>
          <w:rFonts w:hint="eastAsia" w:ascii="宋体" w:hAnsi="宋体" w:eastAsia="宋体" w:cs="宋体"/>
          <w:b/>
          <w:color w:val="auto"/>
          <w:sz w:val="32"/>
          <w:szCs w:val="32"/>
          <w:highlight w:val="none"/>
        </w:rPr>
      </w:pPr>
    </w:p>
    <w:p w14:paraId="6E5C6684">
      <w:pPr>
        <w:adjustRightInd w:val="0"/>
        <w:snapToGrid w:val="0"/>
        <w:spacing w:line="400" w:lineRule="exact"/>
        <w:ind w:firstLine="643"/>
        <w:jc w:val="center"/>
        <w:outlineLvl w:val="9"/>
        <w:rPr>
          <w:rFonts w:hint="eastAsia" w:ascii="宋体" w:hAnsi="宋体" w:eastAsia="宋体" w:cs="宋体"/>
          <w:b/>
          <w:color w:val="auto"/>
          <w:sz w:val="32"/>
          <w:szCs w:val="32"/>
          <w:highlight w:val="none"/>
        </w:rPr>
      </w:pPr>
    </w:p>
    <w:p w14:paraId="6163D260">
      <w:pPr>
        <w:adjustRightInd w:val="0"/>
        <w:snapToGrid w:val="0"/>
        <w:spacing w:line="400" w:lineRule="exact"/>
        <w:ind w:firstLine="643"/>
        <w:jc w:val="center"/>
        <w:outlineLvl w:val="9"/>
        <w:rPr>
          <w:rFonts w:hint="eastAsia" w:ascii="宋体" w:hAnsi="宋体" w:eastAsia="宋体" w:cs="宋体"/>
          <w:b/>
          <w:color w:val="auto"/>
          <w:sz w:val="32"/>
          <w:szCs w:val="32"/>
          <w:highlight w:val="none"/>
        </w:rPr>
      </w:pPr>
    </w:p>
    <w:p w14:paraId="71FBAB11">
      <w:pPr>
        <w:adjustRightInd w:val="0"/>
        <w:snapToGrid w:val="0"/>
        <w:spacing w:line="400" w:lineRule="exact"/>
        <w:ind w:firstLine="643"/>
        <w:jc w:val="center"/>
        <w:outlineLvl w:val="0"/>
        <w:rPr>
          <w:rFonts w:hint="eastAsia" w:ascii="宋体" w:hAnsi="宋体" w:eastAsia="宋体" w:cs="宋体"/>
          <w:b/>
          <w:color w:val="auto"/>
          <w:sz w:val="32"/>
          <w:szCs w:val="32"/>
          <w:highlight w:val="none"/>
        </w:rPr>
      </w:pPr>
      <w:bookmarkStart w:id="3" w:name="_Toc19085"/>
      <w:r>
        <w:rPr>
          <w:rFonts w:hint="eastAsia" w:ascii="宋体" w:hAnsi="宋体" w:eastAsia="宋体" w:cs="宋体"/>
          <w:b/>
          <w:color w:val="auto"/>
          <w:sz w:val="32"/>
          <w:szCs w:val="32"/>
          <w:highlight w:val="none"/>
        </w:rPr>
        <w:t>第二章 磋商须知</w:t>
      </w:r>
      <w:bookmarkEnd w:id="3"/>
    </w:p>
    <w:p w14:paraId="5EDE8EE7">
      <w:pPr>
        <w:pStyle w:val="14"/>
        <w:ind w:firstLine="482"/>
        <w:jc w:val="center"/>
        <w:outlineLvl w:val="9"/>
        <w:rPr>
          <w:rFonts w:hint="eastAsia" w:hAnsi="宋体" w:eastAsia="宋体" w:cs="宋体"/>
          <w:b/>
          <w:color w:val="auto"/>
          <w:sz w:val="24"/>
          <w:szCs w:val="24"/>
          <w:highlight w:val="none"/>
        </w:rPr>
      </w:pPr>
    </w:p>
    <w:p w14:paraId="1B1D2B22">
      <w:pPr>
        <w:pStyle w:val="14"/>
        <w:ind w:firstLine="562"/>
        <w:jc w:val="center"/>
        <w:outlineLvl w:val="1"/>
        <w:rPr>
          <w:rFonts w:hint="eastAsia" w:hAnsi="宋体" w:eastAsia="宋体" w:cs="宋体"/>
          <w:b/>
          <w:color w:val="auto"/>
          <w:sz w:val="28"/>
          <w:szCs w:val="28"/>
          <w:highlight w:val="none"/>
        </w:rPr>
      </w:pPr>
      <w:bookmarkStart w:id="4" w:name="_Toc3958"/>
      <w:r>
        <w:rPr>
          <w:rFonts w:hint="eastAsia" w:hAnsi="宋体" w:eastAsia="宋体" w:cs="宋体"/>
          <w:b/>
          <w:color w:val="auto"/>
          <w:sz w:val="28"/>
          <w:szCs w:val="28"/>
          <w:highlight w:val="none"/>
        </w:rPr>
        <w:t>第一节  磋商须知前附表</w:t>
      </w:r>
      <w:bookmarkEnd w:id="4"/>
    </w:p>
    <w:p w14:paraId="490C6A74">
      <w:pPr>
        <w:pStyle w:val="14"/>
        <w:jc w:val="right"/>
        <w:outlineLvl w:val="9"/>
        <w:rPr>
          <w:rFonts w:hint="eastAsia" w:hAnsi="宋体" w:eastAsia="宋体" w:cs="宋体"/>
          <w:b/>
          <w:color w:val="auto"/>
          <w:sz w:val="24"/>
          <w:szCs w:val="24"/>
          <w:highlight w:val="none"/>
        </w:rPr>
      </w:pPr>
      <w:r>
        <w:rPr>
          <w:rFonts w:hint="eastAsia" w:asciiTheme="minorEastAsia" w:hAnsiTheme="minorEastAsia"/>
          <w:i/>
          <w:color w:val="auto"/>
          <w:highlight w:val="none"/>
        </w:rPr>
        <w:t>注：本项目启用的条款在“编列内容规定”栏内以“</w:t>
      </w:r>
      <w:r>
        <w:rPr>
          <w:rFonts w:hint="eastAsia" w:hAnsi="宋体"/>
          <w:color w:val="auto"/>
          <w:highlight w:val="none"/>
        </w:rPr>
        <w:t>■</w:t>
      </w:r>
      <w:r>
        <w:rPr>
          <w:rFonts w:hint="eastAsia" w:asciiTheme="minorEastAsia" w:hAnsiTheme="minorEastAsia"/>
          <w:i/>
          <w:color w:val="auto"/>
          <w:highlight w:val="none"/>
        </w:rPr>
        <w:t>”标注。</w:t>
      </w:r>
    </w:p>
    <w:tbl>
      <w:tblPr>
        <w:tblStyle w:val="30"/>
        <w:tblW w:w="980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00"/>
        <w:gridCol w:w="2546"/>
        <w:gridCol w:w="5459"/>
      </w:tblGrid>
      <w:tr w14:paraId="45CE9C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7C5CB955">
            <w:pPr>
              <w:ind w:firstLine="422"/>
              <w:jc w:val="center"/>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条款号</w:t>
            </w:r>
          </w:p>
        </w:tc>
        <w:tc>
          <w:tcPr>
            <w:tcW w:w="2546" w:type="dxa"/>
            <w:tcBorders>
              <w:tl2br w:val="nil"/>
              <w:tr2bl w:val="nil"/>
            </w:tcBorders>
            <w:vAlign w:val="center"/>
          </w:tcPr>
          <w:p w14:paraId="0C3EDFE1">
            <w:pPr>
              <w:ind w:firstLine="422"/>
              <w:jc w:val="center"/>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条款名称</w:t>
            </w:r>
          </w:p>
        </w:tc>
        <w:tc>
          <w:tcPr>
            <w:tcW w:w="5459" w:type="dxa"/>
            <w:tcBorders>
              <w:tl2br w:val="nil"/>
              <w:tr2bl w:val="nil"/>
            </w:tcBorders>
            <w:vAlign w:val="center"/>
          </w:tcPr>
          <w:p w14:paraId="631F60BA">
            <w:pPr>
              <w:ind w:firstLine="422"/>
              <w:jc w:val="center"/>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编列内容规定</w:t>
            </w:r>
          </w:p>
        </w:tc>
      </w:tr>
      <w:tr w14:paraId="6D91F6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9805" w:type="dxa"/>
            <w:gridSpan w:val="3"/>
            <w:tcBorders>
              <w:tl2br w:val="nil"/>
              <w:tr2bl w:val="nil"/>
            </w:tcBorders>
            <w:vAlign w:val="center"/>
          </w:tcPr>
          <w:p w14:paraId="22673CBD">
            <w:pPr>
              <w:ind w:firstLine="422"/>
              <w:jc w:val="left"/>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一、说明</w:t>
            </w:r>
          </w:p>
        </w:tc>
      </w:tr>
      <w:tr w14:paraId="404804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139DFC2F">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第二章第1.1款</w:t>
            </w:r>
          </w:p>
        </w:tc>
        <w:tc>
          <w:tcPr>
            <w:tcW w:w="2546" w:type="dxa"/>
            <w:tcBorders>
              <w:tl2br w:val="nil"/>
              <w:tr2bl w:val="nil"/>
            </w:tcBorders>
            <w:vAlign w:val="center"/>
          </w:tcPr>
          <w:p w14:paraId="2EE056D7">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采购项目</w:t>
            </w:r>
          </w:p>
        </w:tc>
        <w:tc>
          <w:tcPr>
            <w:tcW w:w="5459" w:type="dxa"/>
            <w:tcBorders>
              <w:tl2br w:val="nil"/>
              <w:tr2bl w:val="nil"/>
            </w:tcBorders>
            <w:vAlign w:val="center"/>
          </w:tcPr>
          <w:p w14:paraId="6F703FAF">
            <w:pPr>
              <w:jc w:val="left"/>
              <w:outlineLvl w:val="9"/>
              <w:rPr>
                <w:rFonts w:hint="eastAsia" w:ascii="宋体" w:hAnsi="宋体" w:eastAsia="宋体" w:cs="宋体"/>
                <w:color w:val="auto"/>
                <w:highlight w:val="none"/>
                <w:lang w:eastAsia="zh-CN"/>
              </w:rPr>
            </w:pPr>
            <w:r>
              <w:rPr>
                <w:rFonts w:hint="eastAsia" w:ascii="宋体" w:hAnsi="宋体" w:eastAsia="宋体" w:cs="宋体"/>
                <w:color w:val="auto"/>
                <w:szCs w:val="21"/>
                <w:highlight w:val="none"/>
                <w:lang w:eastAsia="zh-CN"/>
              </w:rPr>
              <w:t>溆浦县低庄镇中心小学（下校区）食堂工程（第二次）</w:t>
            </w:r>
          </w:p>
        </w:tc>
      </w:tr>
      <w:tr w14:paraId="702549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25E739AF">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第二章第2.1款</w:t>
            </w:r>
          </w:p>
        </w:tc>
        <w:tc>
          <w:tcPr>
            <w:tcW w:w="2546" w:type="dxa"/>
            <w:tcBorders>
              <w:tl2br w:val="nil"/>
              <w:tr2bl w:val="nil"/>
            </w:tcBorders>
            <w:vAlign w:val="center"/>
          </w:tcPr>
          <w:p w14:paraId="329CBF33">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采购人</w:t>
            </w:r>
          </w:p>
        </w:tc>
        <w:tc>
          <w:tcPr>
            <w:tcW w:w="5459" w:type="dxa"/>
            <w:tcBorders>
              <w:tl2br w:val="nil"/>
              <w:tr2bl w:val="nil"/>
            </w:tcBorders>
            <w:vAlign w:val="center"/>
          </w:tcPr>
          <w:p w14:paraId="425FCC16">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见“第一章 磋商邀请”</w:t>
            </w:r>
          </w:p>
        </w:tc>
      </w:tr>
      <w:tr w14:paraId="6258D1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61836CBA">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第二章第2.2款</w:t>
            </w:r>
          </w:p>
        </w:tc>
        <w:tc>
          <w:tcPr>
            <w:tcW w:w="2546" w:type="dxa"/>
            <w:tcBorders>
              <w:tl2br w:val="nil"/>
              <w:tr2bl w:val="nil"/>
            </w:tcBorders>
            <w:vAlign w:val="center"/>
          </w:tcPr>
          <w:p w14:paraId="09EF18EE">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采购代理机构</w:t>
            </w:r>
          </w:p>
        </w:tc>
        <w:tc>
          <w:tcPr>
            <w:tcW w:w="5459" w:type="dxa"/>
            <w:tcBorders>
              <w:tl2br w:val="nil"/>
              <w:tr2bl w:val="nil"/>
            </w:tcBorders>
            <w:vAlign w:val="center"/>
          </w:tcPr>
          <w:p w14:paraId="349C1184">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见“第一章 磋商邀请”</w:t>
            </w:r>
          </w:p>
        </w:tc>
      </w:tr>
      <w:tr w14:paraId="5B8718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04698EC4">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第二章第2.3款</w:t>
            </w:r>
          </w:p>
        </w:tc>
        <w:tc>
          <w:tcPr>
            <w:tcW w:w="2546" w:type="dxa"/>
            <w:tcBorders>
              <w:tl2br w:val="nil"/>
              <w:tr2bl w:val="nil"/>
            </w:tcBorders>
            <w:vAlign w:val="center"/>
          </w:tcPr>
          <w:p w14:paraId="6096AD53">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供应商的邀请方式</w:t>
            </w:r>
          </w:p>
        </w:tc>
        <w:tc>
          <w:tcPr>
            <w:tcW w:w="5459" w:type="dxa"/>
            <w:tcBorders>
              <w:tl2br w:val="nil"/>
              <w:tr2bl w:val="nil"/>
            </w:tcBorders>
            <w:vAlign w:val="center"/>
          </w:tcPr>
          <w:p w14:paraId="0F8424DE">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公告邀请</w:t>
            </w:r>
          </w:p>
        </w:tc>
      </w:tr>
      <w:tr w14:paraId="1D036A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68CBE391">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第二章第3.1款</w:t>
            </w:r>
          </w:p>
        </w:tc>
        <w:tc>
          <w:tcPr>
            <w:tcW w:w="2546" w:type="dxa"/>
            <w:tcBorders>
              <w:tl2br w:val="nil"/>
              <w:tr2bl w:val="nil"/>
            </w:tcBorders>
            <w:vAlign w:val="center"/>
          </w:tcPr>
          <w:p w14:paraId="70E62FA1">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供应商资格条件</w:t>
            </w:r>
          </w:p>
        </w:tc>
        <w:tc>
          <w:tcPr>
            <w:tcW w:w="5459" w:type="dxa"/>
            <w:tcBorders>
              <w:tl2br w:val="nil"/>
              <w:tr2bl w:val="nil"/>
            </w:tcBorders>
            <w:vAlign w:val="center"/>
          </w:tcPr>
          <w:p w14:paraId="49BE1A4A">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见“第一章 磋商邀请”</w:t>
            </w:r>
          </w:p>
        </w:tc>
      </w:tr>
      <w:tr w14:paraId="044B32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272596EA">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第二章第6.1款</w:t>
            </w:r>
          </w:p>
        </w:tc>
        <w:tc>
          <w:tcPr>
            <w:tcW w:w="2546" w:type="dxa"/>
            <w:tcBorders>
              <w:tl2br w:val="nil"/>
              <w:tr2bl w:val="nil"/>
            </w:tcBorders>
            <w:vAlign w:val="center"/>
          </w:tcPr>
          <w:p w14:paraId="681B5151">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联合体形式</w:t>
            </w:r>
          </w:p>
        </w:tc>
        <w:tc>
          <w:tcPr>
            <w:tcW w:w="5459" w:type="dxa"/>
            <w:tcBorders>
              <w:tl2br w:val="nil"/>
              <w:tr2bl w:val="nil"/>
            </w:tcBorders>
            <w:vAlign w:val="center"/>
          </w:tcPr>
          <w:p w14:paraId="7B0B871C">
            <w:pPr>
              <w:widowControl/>
              <w:adjustRightInd w:val="0"/>
              <w:snapToGrid w:val="0"/>
              <w:spacing w:line="4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不接受</w:t>
            </w:r>
          </w:p>
        </w:tc>
      </w:tr>
      <w:tr w14:paraId="7C717B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53E0703E">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第二章第7.1款</w:t>
            </w:r>
          </w:p>
        </w:tc>
        <w:tc>
          <w:tcPr>
            <w:tcW w:w="2546" w:type="dxa"/>
            <w:tcBorders>
              <w:tl2br w:val="nil"/>
              <w:tr2bl w:val="nil"/>
            </w:tcBorders>
            <w:vAlign w:val="center"/>
          </w:tcPr>
          <w:p w14:paraId="643EECDD">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现场勘察</w:t>
            </w:r>
          </w:p>
        </w:tc>
        <w:tc>
          <w:tcPr>
            <w:tcW w:w="5459" w:type="dxa"/>
            <w:tcBorders>
              <w:tl2br w:val="nil"/>
              <w:tr2bl w:val="nil"/>
            </w:tcBorders>
            <w:vAlign w:val="bottom"/>
          </w:tcPr>
          <w:p w14:paraId="5D11BB2A">
            <w:pPr>
              <w:jc w:val="left"/>
              <w:outlineLvl w:val="9"/>
              <w:rPr>
                <w:rFonts w:hint="eastAsia" w:ascii="宋体" w:hAnsi="宋体" w:eastAsia="宋体" w:cs="宋体"/>
                <w:color w:val="auto"/>
                <w:highlight w:val="none"/>
              </w:rPr>
            </w:pPr>
            <w:r>
              <w:rPr>
                <w:rFonts w:hint="eastAsia" w:hAnsi="宋体"/>
                <w:color w:val="auto"/>
                <w:highlight w:val="none"/>
              </w:rPr>
              <w:t>■</w:t>
            </w:r>
            <w:r>
              <w:rPr>
                <w:rFonts w:hint="eastAsia" w:ascii="宋体" w:hAnsi="宋体" w:eastAsia="宋体" w:cs="宋体"/>
                <w:color w:val="auto"/>
                <w:highlight w:val="none"/>
              </w:rPr>
              <w:t xml:space="preserve"> 采购人不统一组织(供应商如有需要的，可在提交首次响应文件截止时间前自行联系采购人进行现场勘察，有关费用由供应商自理，踏勘期间发生的意外后果自负）。</w:t>
            </w:r>
          </w:p>
          <w:p w14:paraId="0C463525">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sym w:font="Wingdings 2" w:char="00A3"/>
            </w:r>
            <w:r>
              <w:rPr>
                <w:rFonts w:hint="eastAsia" w:ascii="宋体" w:hAnsi="宋体" w:eastAsia="宋体" w:cs="宋体"/>
                <w:color w:val="auto"/>
                <w:highlight w:val="none"/>
              </w:rPr>
              <w:t xml:space="preserve"> 采购人组织，时间：地点： 联系人：</w:t>
            </w:r>
          </w:p>
        </w:tc>
      </w:tr>
      <w:tr w14:paraId="64A61C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28A43349">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第二章第9.1款</w:t>
            </w:r>
          </w:p>
        </w:tc>
        <w:tc>
          <w:tcPr>
            <w:tcW w:w="2546" w:type="dxa"/>
            <w:tcBorders>
              <w:tl2br w:val="nil"/>
              <w:tr2bl w:val="nil"/>
            </w:tcBorders>
            <w:vAlign w:val="center"/>
          </w:tcPr>
          <w:p w14:paraId="3E5051A9">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政府采购强制采购：</w:t>
            </w:r>
          </w:p>
          <w:p w14:paraId="2A598794">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1、强制采购的节能产品；</w:t>
            </w:r>
          </w:p>
          <w:p w14:paraId="47B301AC">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2、其他。</w:t>
            </w:r>
          </w:p>
        </w:tc>
        <w:tc>
          <w:tcPr>
            <w:tcW w:w="5459" w:type="dxa"/>
            <w:tcBorders>
              <w:tl2br w:val="nil"/>
              <w:tr2bl w:val="nil"/>
            </w:tcBorders>
            <w:vAlign w:val="center"/>
          </w:tcPr>
          <w:p w14:paraId="3953F335">
            <w:pPr>
              <w:jc w:val="left"/>
              <w:outlineLvl w:val="9"/>
              <w:rPr>
                <w:rFonts w:hint="eastAsia" w:ascii="宋体" w:hAnsi="宋体" w:cs="宋体"/>
                <w:color w:val="auto"/>
                <w:highlight w:val="none"/>
              </w:rPr>
            </w:pPr>
            <w:r>
              <w:rPr>
                <w:rFonts w:hint="eastAsia" w:ascii="MS Mincho" w:hAnsi="MS Mincho" w:cs="MS Mincho"/>
                <w:color w:val="auto"/>
                <w:highlight w:val="none"/>
              </w:rPr>
              <w:t>本项目不适用</w:t>
            </w:r>
          </w:p>
        </w:tc>
      </w:tr>
      <w:tr w14:paraId="5B07E0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5397E2CD">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第二章第9.2款</w:t>
            </w:r>
          </w:p>
        </w:tc>
        <w:tc>
          <w:tcPr>
            <w:tcW w:w="2546" w:type="dxa"/>
            <w:tcBorders>
              <w:tl2br w:val="nil"/>
              <w:tr2bl w:val="nil"/>
            </w:tcBorders>
            <w:vAlign w:val="center"/>
          </w:tcPr>
          <w:p w14:paraId="04E4BADA">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政府采购优先采购：支持中小企业发展</w:t>
            </w:r>
          </w:p>
        </w:tc>
        <w:tc>
          <w:tcPr>
            <w:tcW w:w="5459" w:type="dxa"/>
            <w:tcBorders>
              <w:tl2br w:val="nil"/>
              <w:tr2bl w:val="nil"/>
            </w:tcBorders>
            <w:vAlign w:val="center"/>
          </w:tcPr>
          <w:p w14:paraId="55E0F1A5">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 xml:space="preserve">专门面向中小企业采购： </w:t>
            </w:r>
            <w:r>
              <w:rPr>
                <w:rFonts w:hint="eastAsia" w:ascii="MS Mincho" w:hAnsi="MS Mincho" w:eastAsia="宋体" w:cs="MS Mincho"/>
                <w:color w:val="auto"/>
                <w:highlight w:val="none"/>
              </w:rPr>
              <w:t>□</w:t>
            </w:r>
            <w:r>
              <w:rPr>
                <w:rFonts w:hint="eastAsia" w:ascii="宋体" w:hAnsi="宋体" w:eastAsia="宋体" w:cs="宋体"/>
                <w:color w:val="auto"/>
                <w:highlight w:val="none"/>
              </w:rPr>
              <w:t xml:space="preserve">否  </w:t>
            </w:r>
            <w:r>
              <w:rPr>
                <w:rFonts w:hint="eastAsia" w:hAnsi="宋体"/>
                <w:color w:val="auto"/>
                <w:highlight w:val="none"/>
              </w:rPr>
              <w:t>■</w:t>
            </w:r>
            <w:r>
              <w:rPr>
                <w:rFonts w:hint="eastAsia" w:ascii="宋体" w:hAnsi="宋体" w:eastAsia="宋体" w:cs="宋体"/>
                <w:color w:val="auto"/>
                <w:highlight w:val="none"/>
              </w:rPr>
              <w:t>是</w:t>
            </w:r>
          </w:p>
          <w:p w14:paraId="31A3267A">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中小企业：按《政府采购促进中小企业发展管理办法》(财库[2020]46号)规定提供《中小企业声明函》（格式）。承接商符合小型、微型企业规定的，供应商应出具《中小企业声明函》。（监狱企业、残疾人福利性单位视同小型、微型企业）</w:t>
            </w:r>
          </w:p>
        </w:tc>
      </w:tr>
      <w:tr w14:paraId="2BC00B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583C6198">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第二章第9.6款</w:t>
            </w:r>
          </w:p>
        </w:tc>
        <w:tc>
          <w:tcPr>
            <w:tcW w:w="2546" w:type="dxa"/>
            <w:tcBorders>
              <w:tl2br w:val="nil"/>
              <w:tr2bl w:val="nil"/>
            </w:tcBorders>
            <w:vAlign w:val="center"/>
          </w:tcPr>
          <w:p w14:paraId="1F78EEEB">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政府采购支持中小企业融资</w:t>
            </w:r>
          </w:p>
        </w:tc>
        <w:tc>
          <w:tcPr>
            <w:tcW w:w="5459" w:type="dxa"/>
            <w:tcBorders>
              <w:tl2br w:val="nil"/>
              <w:tr2bl w:val="nil"/>
            </w:tcBorders>
            <w:vAlign w:val="center"/>
          </w:tcPr>
          <w:p w14:paraId="7D727A05">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有融资需求的，可登陆中国湖南政府采购网查询。</w:t>
            </w:r>
          </w:p>
        </w:tc>
      </w:tr>
      <w:tr w14:paraId="78AD76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0174C7AB">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第二章第9.6款</w:t>
            </w:r>
          </w:p>
        </w:tc>
        <w:tc>
          <w:tcPr>
            <w:tcW w:w="2546" w:type="dxa"/>
            <w:tcBorders>
              <w:tl2br w:val="nil"/>
              <w:tr2bl w:val="nil"/>
            </w:tcBorders>
            <w:vAlign w:val="center"/>
          </w:tcPr>
          <w:p w14:paraId="781CABB5">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政府采购信用担保</w:t>
            </w:r>
          </w:p>
        </w:tc>
        <w:tc>
          <w:tcPr>
            <w:tcW w:w="5459" w:type="dxa"/>
            <w:tcBorders>
              <w:tl2br w:val="nil"/>
              <w:tr2bl w:val="nil"/>
            </w:tcBorders>
            <w:vAlign w:val="center"/>
          </w:tcPr>
          <w:p w14:paraId="7EF42E9F">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有履约担保或融资担保需求的，可登陆中国湖南政府采购网查询。</w:t>
            </w:r>
          </w:p>
        </w:tc>
      </w:tr>
      <w:tr w14:paraId="77B98F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9805" w:type="dxa"/>
            <w:gridSpan w:val="3"/>
            <w:tcBorders>
              <w:tl2br w:val="nil"/>
              <w:tr2bl w:val="nil"/>
            </w:tcBorders>
            <w:vAlign w:val="center"/>
          </w:tcPr>
          <w:p w14:paraId="31A73C1A">
            <w:pPr>
              <w:ind w:firstLine="422"/>
              <w:jc w:val="left"/>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二、磋商文件</w:t>
            </w:r>
          </w:p>
        </w:tc>
      </w:tr>
      <w:tr w14:paraId="6667BB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24B6BA78">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第二章第10.2款</w:t>
            </w:r>
          </w:p>
        </w:tc>
        <w:tc>
          <w:tcPr>
            <w:tcW w:w="2546" w:type="dxa"/>
            <w:tcBorders>
              <w:tl2br w:val="nil"/>
              <w:tr2bl w:val="nil"/>
            </w:tcBorders>
            <w:vAlign w:val="center"/>
          </w:tcPr>
          <w:p w14:paraId="111C50A8">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磋商文件的可能实质性变动内容</w:t>
            </w:r>
          </w:p>
        </w:tc>
        <w:tc>
          <w:tcPr>
            <w:tcW w:w="5459" w:type="dxa"/>
            <w:tcBorders>
              <w:tl2br w:val="nil"/>
              <w:tr2bl w:val="nil"/>
            </w:tcBorders>
            <w:vAlign w:val="center"/>
          </w:tcPr>
          <w:p w14:paraId="064F0651">
            <w:pPr>
              <w:jc w:val="left"/>
              <w:outlineLvl w:val="9"/>
              <w:rPr>
                <w:rFonts w:hint="eastAsia" w:ascii="宋体" w:hAnsi="宋体" w:cs="宋体"/>
                <w:color w:val="auto"/>
                <w:highlight w:val="none"/>
              </w:rPr>
            </w:pPr>
            <w:r>
              <w:rPr>
                <w:rFonts w:hint="eastAsia" w:hAnsi="宋体"/>
                <w:color w:val="auto"/>
                <w:highlight w:val="none"/>
              </w:rPr>
              <w:t>■</w:t>
            </w:r>
            <w:r>
              <w:rPr>
                <w:rFonts w:hint="eastAsia" w:ascii="MS Mincho" w:hAnsi="MS Mincho" w:cs="MS Mincho"/>
                <w:color w:val="auto"/>
                <w:highlight w:val="none"/>
              </w:rPr>
              <w:t>无</w:t>
            </w:r>
          </w:p>
          <w:p w14:paraId="20B1F744">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□有，</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依照磋商情况确定</w:t>
            </w:r>
          </w:p>
        </w:tc>
      </w:tr>
      <w:tr w14:paraId="611291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3482A925">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第二章第11.1款</w:t>
            </w:r>
          </w:p>
        </w:tc>
        <w:tc>
          <w:tcPr>
            <w:tcW w:w="2546" w:type="dxa"/>
            <w:tcBorders>
              <w:tl2br w:val="nil"/>
              <w:tr2bl w:val="nil"/>
            </w:tcBorders>
            <w:vAlign w:val="center"/>
          </w:tcPr>
          <w:p w14:paraId="139FC736">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提供磋商文件期限</w:t>
            </w:r>
          </w:p>
        </w:tc>
        <w:tc>
          <w:tcPr>
            <w:tcW w:w="5459" w:type="dxa"/>
            <w:tcBorders>
              <w:tl2br w:val="nil"/>
              <w:tr2bl w:val="nil"/>
            </w:tcBorders>
            <w:vAlign w:val="center"/>
          </w:tcPr>
          <w:p w14:paraId="73AA2321">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见“第一章 磋商邀请”</w:t>
            </w:r>
          </w:p>
        </w:tc>
      </w:tr>
      <w:tr w14:paraId="2BDD82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207396B2">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第二章第11.2款</w:t>
            </w:r>
          </w:p>
        </w:tc>
        <w:tc>
          <w:tcPr>
            <w:tcW w:w="2546" w:type="dxa"/>
            <w:tcBorders>
              <w:tl2br w:val="nil"/>
              <w:tr2bl w:val="nil"/>
            </w:tcBorders>
            <w:vAlign w:val="center"/>
          </w:tcPr>
          <w:p w14:paraId="0D68ED5B">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领取磋商文件时应提供的资料</w:t>
            </w:r>
          </w:p>
        </w:tc>
        <w:tc>
          <w:tcPr>
            <w:tcW w:w="5459" w:type="dxa"/>
            <w:tcBorders>
              <w:tl2br w:val="nil"/>
              <w:tr2bl w:val="nil"/>
            </w:tcBorders>
            <w:vAlign w:val="center"/>
          </w:tcPr>
          <w:p w14:paraId="0D666280">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见“第一章 磋商邀请”</w:t>
            </w:r>
          </w:p>
        </w:tc>
      </w:tr>
      <w:tr w14:paraId="61BC18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6BF54B76">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第二章第12.1款</w:t>
            </w:r>
          </w:p>
        </w:tc>
        <w:tc>
          <w:tcPr>
            <w:tcW w:w="2546" w:type="dxa"/>
            <w:tcBorders>
              <w:tl2br w:val="nil"/>
              <w:tr2bl w:val="nil"/>
            </w:tcBorders>
            <w:vAlign w:val="center"/>
          </w:tcPr>
          <w:p w14:paraId="3C5CEDFF">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提交首次响应文件的截止时间</w:t>
            </w:r>
          </w:p>
        </w:tc>
        <w:tc>
          <w:tcPr>
            <w:tcW w:w="5459" w:type="dxa"/>
            <w:tcBorders>
              <w:tl2br w:val="nil"/>
              <w:tr2bl w:val="nil"/>
            </w:tcBorders>
            <w:vAlign w:val="center"/>
          </w:tcPr>
          <w:p w14:paraId="54231A7D">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见“第一章 磋商邀请”</w:t>
            </w:r>
          </w:p>
        </w:tc>
      </w:tr>
      <w:tr w14:paraId="4733B2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9805" w:type="dxa"/>
            <w:gridSpan w:val="3"/>
            <w:tcBorders>
              <w:tl2br w:val="nil"/>
              <w:tr2bl w:val="nil"/>
            </w:tcBorders>
            <w:vAlign w:val="center"/>
          </w:tcPr>
          <w:p w14:paraId="08127589">
            <w:pPr>
              <w:ind w:firstLine="422"/>
              <w:jc w:val="left"/>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三、响应文件</w:t>
            </w:r>
          </w:p>
        </w:tc>
      </w:tr>
      <w:tr w14:paraId="2BFD42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9" w:hRule="atLeast"/>
          <w:tblHeader/>
          <w:jc w:val="center"/>
        </w:trPr>
        <w:tc>
          <w:tcPr>
            <w:tcW w:w="1800" w:type="dxa"/>
            <w:tcBorders>
              <w:tl2br w:val="nil"/>
              <w:tr2bl w:val="nil"/>
            </w:tcBorders>
            <w:vAlign w:val="center"/>
          </w:tcPr>
          <w:p w14:paraId="2550FF81">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第二章第16.4款</w:t>
            </w:r>
          </w:p>
        </w:tc>
        <w:tc>
          <w:tcPr>
            <w:tcW w:w="2546" w:type="dxa"/>
            <w:tcBorders>
              <w:tl2br w:val="nil"/>
              <w:tr2bl w:val="nil"/>
            </w:tcBorders>
            <w:vAlign w:val="center"/>
          </w:tcPr>
          <w:p w14:paraId="2F66ADAA">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采购项目预算</w:t>
            </w:r>
          </w:p>
        </w:tc>
        <w:tc>
          <w:tcPr>
            <w:tcW w:w="5459" w:type="dxa"/>
            <w:tcBorders>
              <w:tl2br w:val="nil"/>
              <w:tr2bl w:val="nil"/>
            </w:tcBorders>
            <w:vAlign w:val="center"/>
          </w:tcPr>
          <w:p w14:paraId="11211645">
            <w:pPr>
              <w:outlineLvl w:val="9"/>
              <w:rPr>
                <w:color w:val="auto"/>
                <w:highlight w:val="none"/>
              </w:rPr>
            </w:pPr>
            <w:r>
              <w:rPr>
                <w:rFonts w:hint="eastAsia"/>
                <w:color w:val="auto"/>
                <w:highlight w:val="none"/>
              </w:rPr>
              <w:t>采购预算：人民币</w:t>
            </w:r>
            <w:r>
              <w:rPr>
                <w:rFonts w:hint="eastAsia"/>
                <w:color w:val="auto"/>
                <w:highlight w:val="none"/>
                <w:lang w:eastAsia="zh-CN"/>
              </w:rPr>
              <w:t>1824600.00元</w:t>
            </w:r>
          </w:p>
          <w:p w14:paraId="3D6021CB">
            <w:pPr>
              <w:outlineLvl w:val="9"/>
              <w:rPr>
                <w:rFonts w:eastAsia="宋体"/>
                <w:color w:val="auto"/>
                <w:highlight w:val="none"/>
              </w:rPr>
            </w:pPr>
            <w:r>
              <w:rPr>
                <w:rFonts w:hint="eastAsia"/>
                <w:color w:val="auto"/>
                <w:highlight w:val="none"/>
              </w:rPr>
              <w:t>最高限价：人民币</w:t>
            </w:r>
            <w:r>
              <w:rPr>
                <w:rFonts w:hint="eastAsia"/>
                <w:color w:val="auto"/>
                <w:highlight w:val="none"/>
                <w:lang w:eastAsia="zh-CN"/>
              </w:rPr>
              <w:t>1824600.00元</w:t>
            </w:r>
          </w:p>
        </w:tc>
      </w:tr>
      <w:tr w14:paraId="1DA205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1800" w:type="dxa"/>
            <w:tcBorders>
              <w:tl2br w:val="nil"/>
              <w:tr2bl w:val="nil"/>
            </w:tcBorders>
            <w:vAlign w:val="center"/>
          </w:tcPr>
          <w:p w14:paraId="2DF0462A">
            <w:pPr>
              <w:adjustRightInd w:val="0"/>
              <w:snapToGrid w:val="0"/>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第二章第16.5款</w:t>
            </w:r>
          </w:p>
        </w:tc>
        <w:tc>
          <w:tcPr>
            <w:tcW w:w="2546" w:type="dxa"/>
            <w:tcBorders>
              <w:tl2br w:val="nil"/>
              <w:tr2bl w:val="nil"/>
            </w:tcBorders>
            <w:vAlign w:val="center"/>
          </w:tcPr>
          <w:p w14:paraId="75C092A5">
            <w:pPr>
              <w:adjustRightInd w:val="0"/>
              <w:snapToGrid w:val="0"/>
              <w:spacing w:line="360" w:lineRule="auto"/>
              <w:outlineLvl w:val="9"/>
              <w:rPr>
                <w:rFonts w:hint="eastAsia" w:ascii="宋体" w:hAnsi="宋体" w:eastAsia="宋体" w:cs="宋体"/>
                <w:color w:val="auto"/>
                <w:highlight w:val="none"/>
              </w:rPr>
            </w:pPr>
            <w:r>
              <w:rPr>
                <w:rFonts w:hint="eastAsia" w:asciiTheme="minorEastAsia" w:hAnsiTheme="minorEastAsia"/>
                <w:color w:val="auto"/>
                <w:szCs w:val="21"/>
                <w:highlight w:val="none"/>
              </w:rPr>
              <w:t>投标报价的其他要求</w:t>
            </w:r>
          </w:p>
        </w:tc>
        <w:tc>
          <w:tcPr>
            <w:tcW w:w="5459" w:type="dxa"/>
            <w:tcBorders>
              <w:tl2br w:val="nil"/>
              <w:tr2bl w:val="nil"/>
            </w:tcBorders>
            <w:vAlign w:val="center"/>
          </w:tcPr>
          <w:p w14:paraId="77C6B887">
            <w:pPr>
              <w:adjustRightInd w:val="0"/>
              <w:snapToGrid w:val="0"/>
              <w:spacing w:line="360" w:lineRule="auto"/>
              <w:outlineLvl w:val="9"/>
              <w:rPr>
                <w:rFonts w:hint="eastAsia" w:ascii="宋体" w:hAnsi="宋体" w:eastAsia="宋体" w:cs="宋体"/>
                <w:color w:val="auto"/>
                <w:highlight w:val="none"/>
              </w:rPr>
            </w:pPr>
            <w:r>
              <w:rPr>
                <w:rFonts w:hint="eastAsia"/>
                <w:color w:val="auto"/>
                <w:highlight w:val="none"/>
              </w:rPr>
              <w:t>最终报价不得超过最高限价。</w:t>
            </w:r>
          </w:p>
        </w:tc>
      </w:tr>
      <w:tr w14:paraId="1BF844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1800" w:type="dxa"/>
            <w:tcBorders>
              <w:tl2br w:val="nil"/>
              <w:tr2bl w:val="nil"/>
            </w:tcBorders>
            <w:vAlign w:val="center"/>
          </w:tcPr>
          <w:p w14:paraId="6BACC1F2">
            <w:pPr>
              <w:adjustRightInd w:val="0"/>
              <w:snapToGrid w:val="0"/>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第二章第17.1款</w:t>
            </w:r>
          </w:p>
        </w:tc>
        <w:tc>
          <w:tcPr>
            <w:tcW w:w="2546" w:type="dxa"/>
            <w:tcBorders>
              <w:tl2br w:val="nil"/>
              <w:tr2bl w:val="nil"/>
            </w:tcBorders>
            <w:vAlign w:val="center"/>
          </w:tcPr>
          <w:p w14:paraId="5D9948C3">
            <w:pPr>
              <w:adjustRightInd w:val="0"/>
              <w:snapToGrid w:val="0"/>
              <w:spacing w:line="360" w:lineRule="auto"/>
              <w:jc w:val="left"/>
              <w:outlineLvl w:val="9"/>
              <w:rPr>
                <w:rFonts w:hint="eastAsia" w:ascii="宋体" w:hAnsi="宋体" w:eastAsia="宋体" w:cs="宋体"/>
                <w:color w:val="auto"/>
                <w:highlight w:val="none"/>
              </w:rPr>
            </w:pPr>
            <w:r>
              <w:rPr>
                <w:rFonts w:hint="eastAsia" w:asciiTheme="minorEastAsia" w:hAnsiTheme="minorEastAsia"/>
                <w:bCs/>
                <w:color w:val="auto"/>
                <w:szCs w:val="21"/>
                <w:highlight w:val="none"/>
              </w:rPr>
              <w:t>分包</w:t>
            </w:r>
          </w:p>
        </w:tc>
        <w:tc>
          <w:tcPr>
            <w:tcW w:w="5459" w:type="dxa"/>
            <w:tcBorders>
              <w:tl2br w:val="nil"/>
              <w:tr2bl w:val="nil"/>
            </w:tcBorders>
            <w:vAlign w:val="center"/>
          </w:tcPr>
          <w:p w14:paraId="5C8957C0">
            <w:pPr>
              <w:adjustRightInd w:val="0"/>
              <w:snapToGrid w:val="0"/>
              <w:spacing w:line="360" w:lineRule="auto"/>
              <w:outlineLvl w:val="9"/>
              <w:rPr>
                <w:rFonts w:hint="eastAsia" w:ascii="宋体" w:hAnsi="宋体" w:cs="宋体"/>
                <w:color w:val="auto"/>
                <w:highlight w:val="none"/>
              </w:rPr>
            </w:pPr>
            <w:r>
              <w:rPr>
                <w:rFonts w:hint="eastAsia" w:asciiTheme="minorEastAsia" w:hAnsiTheme="minorEastAsia"/>
                <w:bCs/>
                <w:color w:val="auto"/>
                <w:szCs w:val="21"/>
                <w:highlight w:val="none"/>
              </w:rPr>
              <w:t>中标人不允许将本项目进行分包。</w:t>
            </w:r>
          </w:p>
        </w:tc>
      </w:tr>
      <w:tr w14:paraId="1AC077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1800" w:type="dxa"/>
            <w:tcBorders>
              <w:tl2br w:val="nil"/>
              <w:tr2bl w:val="nil"/>
            </w:tcBorders>
            <w:vAlign w:val="center"/>
          </w:tcPr>
          <w:p w14:paraId="1E709312">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第二章第19.1款</w:t>
            </w:r>
          </w:p>
        </w:tc>
        <w:tc>
          <w:tcPr>
            <w:tcW w:w="2546" w:type="dxa"/>
            <w:tcBorders>
              <w:tl2br w:val="nil"/>
              <w:tr2bl w:val="nil"/>
            </w:tcBorders>
            <w:vAlign w:val="center"/>
          </w:tcPr>
          <w:p w14:paraId="5FC6DFAC">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磋商保证金</w:t>
            </w:r>
          </w:p>
        </w:tc>
        <w:tc>
          <w:tcPr>
            <w:tcW w:w="5459" w:type="dxa"/>
            <w:tcBorders>
              <w:tl2br w:val="nil"/>
              <w:tr2bl w:val="nil"/>
            </w:tcBorders>
            <w:vAlign w:val="center"/>
          </w:tcPr>
          <w:p w14:paraId="6B7FA3EC">
            <w:pPr>
              <w:jc w:val="left"/>
              <w:outlineLvl w:val="9"/>
              <w:rPr>
                <w:color w:val="auto"/>
                <w:highlight w:val="none"/>
              </w:rPr>
            </w:pPr>
            <w:r>
              <w:rPr>
                <w:rFonts w:hint="eastAsia" w:hAnsi="宋体"/>
                <w:color w:val="auto"/>
                <w:highlight w:val="none"/>
              </w:rPr>
              <w:t>■</w:t>
            </w:r>
            <w:r>
              <w:rPr>
                <w:rFonts w:hint="eastAsia" w:ascii="宋体" w:hAnsi="宋体" w:eastAsia="宋体" w:cs="宋体"/>
                <w:color w:val="auto"/>
                <w:highlight w:val="none"/>
              </w:rPr>
              <w:t xml:space="preserve"> 不要求提供</w:t>
            </w:r>
          </w:p>
        </w:tc>
      </w:tr>
      <w:tr w14:paraId="7DABD4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64C05F51">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第二章第20.1款</w:t>
            </w:r>
          </w:p>
        </w:tc>
        <w:tc>
          <w:tcPr>
            <w:tcW w:w="2546" w:type="dxa"/>
            <w:tcBorders>
              <w:tl2br w:val="nil"/>
              <w:tr2bl w:val="nil"/>
            </w:tcBorders>
            <w:vAlign w:val="center"/>
          </w:tcPr>
          <w:p w14:paraId="43158596">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响应文件有效期</w:t>
            </w:r>
          </w:p>
        </w:tc>
        <w:tc>
          <w:tcPr>
            <w:tcW w:w="5459" w:type="dxa"/>
            <w:tcBorders>
              <w:tl2br w:val="nil"/>
              <w:tr2bl w:val="nil"/>
            </w:tcBorders>
            <w:vAlign w:val="center"/>
          </w:tcPr>
          <w:p w14:paraId="2BB29932">
            <w:pPr>
              <w:widowControl/>
              <w:adjustRightInd w:val="0"/>
              <w:snapToGrid w:val="0"/>
              <w:spacing w:line="400" w:lineRule="exact"/>
              <w:outlineLvl w:val="9"/>
              <w:rPr>
                <w:rFonts w:hint="eastAsia" w:ascii="宋体" w:hAnsi="宋体" w:eastAsia="宋体" w:cs="宋体"/>
                <w:bCs/>
                <w:color w:val="auto"/>
                <w:szCs w:val="21"/>
                <w:highlight w:val="none"/>
              </w:rPr>
            </w:pPr>
            <w:r>
              <w:rPr>
                <w:rFonts w:hint="eastAsia" w:ascii="宋体" w:hAnsi="宋体" w:eastAsia="宋体" w:cs="宋体"/>
                <w:color w:val="auto"/>
                <w:kern w:val="0"/>
                <w:szCs w:val="21"/>
                <w:highlight w:val="none"/>
              </w:rPr>
              <w:t>提交首次响应文件截止时间</w:t>
            </w:r>
            <w:r>
              <w:rPr>
                <w:rFonts w:hint="eastAsia" w:ascii="宋体" w:hAnsi="宋体" w:eastAsia="宋体" w:cs="宋体"/>
                <w:color w:val="auto"/>
                <w:highlight w:val="none"/>
              </w:rPr>
              <w:t>之日起</w:t>
            </w:r>
            <w:r>
              <w:rPr>
                <w:rFonts w:hint="eastAsia" w:ascii="宋体" w:hAnsi="宋体" w:eastAsia="宋体" w:cs="宋体"/>
                <w:color w:val="auto"/>
                <w:szCs w:val="21"/>
                <w:highlight w:val="none"/>
                <w:u w:val="single"/>
              </w:rPr>
              <w:t>90</w:t>
            </w:r>
            <w:r>
              <w:rPr>
                <w:rFonts w:hint="eastAsia" w:ascii="宋体" w:hAnsi="宋体" w:eastAsia="宋体" w:cs="宋体"/>
                <w:color w:val="auto"/>
                <w:szCs w:val="21"/>
                <w:highlight w:val="none"/>
              </w:rPr>
              <w:t>日（日历天）</w:t>
            </w:r>
          </w:p>
        </w:tc>
      </w:tr>
      <w:tr w14:paraId="157F83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44041B53">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第二章第21.1款</w:t>
            </w:r>
          </w:p>
        </w:tc>
        <w:tc>
          <w:tcPr>
            <w:tcW w:w="2546" w:type="dxa"/>
            <w:tcBorders>
              <w:tl2br w:val="nil"/>
              <w:tr2bl w:val="nil"/>
            </w:tcBorders>
            <w:vAlign w:val="center"/>
          </w:tcPr>
          <w:p w14:paraId="6C991D7C">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响应文件份数</w:t>
            </w:r>
          </w:p>
        </w:tc>
        <w:tc>
          <w:tcPr>
            <w:tcW w:w="5459" w:type="dxa"/>
            <w:tcBorders>
              <w:tl2br w:val="nil"/>
              <w:tr2bl w:val="nil"/>
            </w:tcBorders>
            <w:vAlign w:val="center"/>
          </w:tcPr>
          <w:p w14:paraId="490D122F">
            <w:pPr>
              <w:widowControl/>
              <w:adjustRightInd w:val="0"/>
              <w:snapToGrid w:val="0"/>
              <w:spacing w:line="400" w:lineRule="exact"/>
              <w:outlineLvl w:val="9"/>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共叁份，其中正本壹份，副本贰份，电子档壹份。电子版形式：U盘，内容与纸质标书一致（均以PDF文件格式保存），单独放入一个密封袋中，在封套上标记“响应文件电子版”字样,与响应文件一起密封。</w:t>
            </w:r>
          </w:p>
        </w:tc>
      </w:tr>
      <w:tr w14:paraId="3B5F35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9805" w:type="dxa"/>
            <w:gridSpan w:val="3"/>
            <w:tcBorders>
              <w:tl2br w:val="nil"/>
              <w:tr2bl w:val="nil"/>
            </w:tcBorders>
            <w:vAlign w:val="center"/>
          </w:tcPr>
          <w:p w14:paraId="57F3B478">
            <w:pPr>
              <w:ind w:firstLine="422"/>
              <w:jc w:val="left"/>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四、响应文件的递交</w:t>
            </w:r>
          </w:p>
        </w:tc>
      </w:tr>
      <w:tr w14:paraId="055079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4EA6EEF2">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第二章第22.2款</w:t>
            </w:r>
          </w:p>
        </w:tc>
        <w:tc>
          <w:tcPr>
            <w:tcW w:w="2546" w:type="dxa"/>
            <w:tcBorders>
              <w:tl2br w:val="nil"/>
              <w:tr2bl w:val="nil"/>
            </w:tcBorders>
            <w:vAlign w:val="center"/>
          </w:tcPr>
          <w:p w14:paraId="7529910E">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封套上应载明的</w:t>
            </w:r>
          </w:p>
          <w:p w14:paraId="56AEA971">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信息</w:t>
            </w:r>
          </w:p>
        </w:tc>
        <w:tc>
          <w:tcPr>
            <w:tcW w:w="5459" w:type="dxa"/>
            <w:tcBorders>
              <w:tl2br w:val="nil"/>
              <w:tr2bl w:val="nil"/>
            </w:tcBorders>
            <w:vAlign w:val="center"/>
          </w:tcPr>
          <w:p w14:paraId="05A72880">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竞争性磋商响应文件</w:t>
            </w:r>
          </w:p>
          <w:p w14:paraId="78C95ECF">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 xml:space="preserve">政府采购编号：      </w:t>
            </w:r>
          </w:p>
          <w:p w14:paraId="604720C3">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 xml:space="preserve">采购代理编号： </w:t>
            </w:r>
          </w:p>
          <w:p w14:paraId="23C0B288">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在</w:t>
            </w:r>
            <w:r>
              <w:rPr>
                <w:rFonts w:hint="eastAsia" w:eastAsia="宋体" w:cs="宋体"/>
                <w:b/>
                <w:bCs/>
                <w:color w:val="auto"/>
                <w:kern w:val="2"/>
                <w:sz w:val="21"/>
                <w:szCs w:val="21"/>
                <w:highlight w:val="none"/>
                <w:lang w:eastAsia="zh-CN"/>
              </w:rPr>
              <w:t>2026年09月04日09时00分</w:t>
            </w:r>
            <w:r>
              <w:rPr>
                <w:rFonts w:hint="eastAsia" w:ascii="宋体" w:hAnsi="宋体" w:eastAsia="宋体" w:cs="宋体"/>
                <w:color w:val="auto"/>
                <w:highlight w:val="none"/>
              </w:rPr>
              <w:t>（北京时间）之前不得启封</w:t>
            </w:r>
          </w:p>
          <w:p w14:paraId="328DCF24">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供应商：</w:t>
            </w:r>
          </w:p>
        </w:tc>
      </w:tr>
      <w:tr w14:paraId="040E78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7B5A0897">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第二章第24.1款</w:t>
            </w:r>
          </w:p>
        </w:tc>
        <w:tc>
          <w:tcPr>
            <w:tcW w:w="2546" w:type="dxa"/>
            <w:tcBorders>
              <w:tl2br w:val="nil"/>
              <w:tr2bl w:val="nil"/>
            </w:tcBorders>
            <w:vAlign w:val="center"/>
          </w:tcPr>
          <w:p w14:paraId="48088204">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响应文件的递交</w:t>
            </w:r>
          </w:p>
          <w:p w14:paraId="0970A25B">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地点</w:t>
            </w:r>
          </w:p>
        </w:tc>
        <w:tc>
          <w:tcPr>
            <w:tcW w:w="5459" w:type="dxa"/>
            <w:tcBorders>
              <w:tl2br w:val="nil"/>
              <w:tr2bl w:val="nil"/>
            </w:tcBorders>
            <w:vAlign w:val="center"/>
          </w:tcPr>
          <w:p w14:paraId="4D0997B9">
            <w:pPr>
              <w:jc w:val="left"/>
              <w:outlineLvl w:val="9"/>
              <w:rPr>
                <w:rFonts w:hint="eastAsia" w:ascii="宋体" w:hAnsi="宋体" w:eastAsia="宋体" w:cs="宋体"/>
                <w:color w:val="auto"/>
                <w:highlight w:val="none"/>
              </w:rPr>
            </w:pPr>
            <w:r>
              <w:rPr>
                <w:rFonts w:hint="eastAsia" w:eastAsia="宋体"/>
                <w:color w:val="auto"/>
                <w:kern w:val="2"/>
                <w:sz w:val="21"/>
                <w:szCs w:val="21"/>
                <w:highlight w:val="none"/>
                <w:u w:val="single"/>
                <w:lang w:val="en-US" w:eastAsia="zh-CN"/>
              </w:rPr>
              <w:t xml:space="preserve"> </w:t>
            </w:r>
            <w:r>
              <w:rPr>
                <w:rFonts w:hint="eastAsia" w:ascii="宋体" w:hAnsi="宋体" w:eastAsia="宋体" w:cs="宋体"/>
                <w:color w:val="auto"/>
                <w:kern w:val="2"/>
                <w:sz w:val="21"/>
                <w:szCs w:val="21"/>
                <w:highlight w:val="none"/>
                <w:u w:val="single"/>
                <w:lang w:eastAsia="zh-CN"/>
              </w:rPr>
              <w:t xml:space="preserve"> 溆浦县政府采购评审室一室。</w:t>
            </w:r>
          </w:p>
        </w:tc>
      </w:tr>
      <w:tr w14:paraId="63974F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9805" w:type="dxa"/>
            <w:gridSpan w:val="3"/>
            <w:tcBorders>
              <w:tl2br w:val="nil"/>
              <w:tr2bl w:val="nil"/>
            </w:tcBorders>
            <w:vAlign w:val="center"/>
          </w:tcPr>
          <w:p w14:paraId="3A30220E">
            <w:pPr>
              <w:ind w:firstLine="422"/>
              <w:jc w:val="left"/>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五、响应文件的磋商与评审</w:t>
            </w:r>
          </w:p>
        </w:tc>
      </w:tr>
      <w:tr w14:paraId="5B25DC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3EC24E05">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第二章第31.2款</w:t>
            </w:r>
          </w:p>
        </w:tc>
        <w:tc>
          <w:tcPr>
            <w:tcW w:w="2546" w:type="dxa"/>
            <w:tcBorders>
              <w:tl2br w:val="nil"/>
              <w:tr2bl w:val="nil"/>
            </w:tcBorders>
            <w:vAlign w:val="center"/>
          </w:tcPr>
          <w:p w14:paraId="3F37EAC9">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评审因素和标准</w:t>
            </w:r>
          </w:p>
        </w:tc>
        <w:tc>
          <w:tcPr>
            <w:tcW w:w="5459" w:type="dxa"/>
            <w:tcBorders>
              <w:tl2br w:val="nil"/>
              <w:tr2bl w:val="nil"/>
            </w:tcBorders>
            <w:vAlign w:val="center"/>
          </w:tcPr>
          <w:p w14:paraId="5F36FA1C">
            <w:pPr>
              <w:widowControl/>
              <w:adjustRightInd w:val="0"/>
              <w:snapToGrid w:val="0"/>
              <w:spacing w:line="400" w:lineRule="exact"/>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见第五章评审方法及标准。</w:t>
            </w:r>
          </w:p>
        </w:tc>
      </w:tr>
      <w:tr w14:paraId="6D0525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5697CCB3">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第二章第31.3款</w:t>
            </w:r>
          </w:p>
        </w:tc>
        <w:tc>
          <w:tcPr>
            <w:tcW w:w="2546" w:type="dxa"/>
            <w:tcBorders>
              <w:tl2br w:val="nil"/>
              <w:tr2bl w:val="nil"/>
            </w:tcBorders>
            <w:vAlign w:val="center"/>
          </w:tcPr>
          <w:p w14:paraId="1894DFDF">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最后报价调整</w:t>
            </w:r>
          </w:p>
        </w:tc>
        <w:tc>
          <w:tcPr>
            <w:tcW w:w="5459" w:type="dxa"/>
            <w:tcBorders>
              <w:tl2br w:val="nil"/>
              <w:tr2bl w:val="nil"/>
            </w:tcBorders>
            <w:vAlign w:val="center"/>
          </w:tcPr>
          <w:p w14:paraId="225D369F">
            <w:pPr>
              <w:widowControl/>
              <w:adjustRightInd w:val="0"/>
              <w:snapToGrid w:val="0"/>
              <w:spacing w:line="400" w:lineRule="exact"/>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见第五章评审方法及标准。</w:t>
            </w:r>
          </w:p>
        </w:tc>
      </w:tr>
      <w:tr w14:paraId="4110BF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7980C62F">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第二章第31.5款</w:t>
            </w:r>
          </w:p>
        </w:tc>
        <w:tc>
          <w:tcPr>
            <w:tcW w:w="2546" w:type="dxa"/>
            <w:tcBorders>
              <w:tl2br w:val="nil"/>
              <w:tr2bl w:val="nil"/>
            </w:tcBorders>
            <w:vAlign w:val="center"/>
          </w:tcPr>
          <w:p w14:paraId="5C3FE44C">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政策优惠分值调整</w:t>
            </w:r>
          </w:p>
        </w:tc>
        <w:tc>
          <w:tcPr>
            <w:tcW w:w="5459" w:type="dxa"/>
            <w:tcBorders>
              <w:tl2br w:val="nil"/>
              <w:tr2bl w:val="nil"/>
            </w:tcBorders>
            <w:vAlign w:val="center"/>
          </w:tcPr>
          <w:p w14:paraId="1A260EC1">
            <w:pPr>
              <w:widowControl/>
              <w:adjustRightInd w:val="0"/>
              <w:snapToGrid w:val="0"/>
              <w:spacing w:line="400" w:lineRule="exact"/>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见第五章评审方法及标准。</w:t>
            </w:r>
          </w:p>
        </w:tc>
      </w:tr>
      <w:tr w14:paraId="683327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3A80431B">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第二章第31.6款</w:t>
            </w:r>
          </w:p>
        </w:tc>
        <w:tc>
          <w:tcPr>
            <w:tcW w:w="2546" w:type="dxa"/>
            <w:tcBorders>
              <w:tl2br w:val="nil"/>
              <w:tr2bl w:val="nil"/>
            </w:tcBorders>
            <w:vAlign w:val="center"/>
          </w:tcPr>
          <w:p w14:paraId="659B238B">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多处政策优惠</w:t>
            </w:r>
          </w:p>
        </w:tc>
        <w:tc>
          <w:tcPr>
            <w:tcW w:w="5459" w:type="dxa"/>
            <w:tcBorders>
              <w:tl2br w:val="nil"/>
              <w:tr2bl w:val="nil"/>
            </w:tcBorders>
            <w:vAlign w:val="center"/>
          </w:tcPr>
          <w:p w14:paraId="0BAF894E">
            <w:pPr>
              <w:widowControl/>
              <w:adjustRightInd w:val="0"/>
              <w:snapToGrid w:val="0"/>
              <w:spacing w:line="400" w:lineRule="exact"/>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见第五章评审方法及标准。</w:t>
            </w:r>
          </w:p>
        </w:tc>
      </w:tr>
      <w:tr w14:paraId="54BDC7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9805" w:type="dxa"/>
            <w:gridSpan w:val="3"/>
            <w:tcBorders>
              <w:tl2br w:val="nil"/>
              <w:tr2bl w:val="nil"/>
            </w:tcBorders>
            <w:vAlign w:val="center"/>
          </w:tcPr>
          <w:p w14:paraId="0D8C26EB">
            <w:pPr>
              <w:widowControl/>
              <w:adjustRightInd w:val="0"/>
              <w:snapToGrid w:val="0"/>
              <w:spacing w:line="400" w:lineRule="exact"/>
              <w:ind w:firstLine="422"/>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六、成交结果信息公布与授予合同</w:t>
            </w:r>
          </w:p>
        </w:tc>
      </w:tr>
      <w:tr w14:paraId="3285AD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800" w:type="dxa"/>
            <w:tcBorders>
              <w:tl2br w:val="nil"/>
              <w:tr2bl w:val="nil"/>
            </w:tcBorders>
            <w:vAlign w:val="center"/>
          </w:tcPr>
          <w:p w14:paraId="0F9F7508">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第二章第37.1款</w:t>
            </w:r>
          </w:p>
        </w:tc>
        <w:tc>
          <w:tcPr>
            <w:tcW w:w="2546" w:type="dxa"/>
            <w:tcBorders>
              <w:tl2br w:val="nil"/>
              <w:tr2bl w:val="nil"/>
            </w:tcBorders>
            <w:vAlign w:val="center"/>
          </w:tcPr>
          <w:p w14:paraId="735960B6">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财政部门指定的</w:t>
            </w:r>
          </w:p>
          <w:p w14:paraId="46E017C9">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媒体</w:t>
            </w:r>
          </w:p>
        </w:tc>
        <w:tc>
          <w:tcPr>
            <w:tcW w:w="5459" w:type="dxa"/>
            <w:tcBorders>
              <w:tl2br w:val="nil"/>
              <w:tr2bl w:val="nil"/>
            </w:tcBorders>
            <w:vAlign w:val="center"/>
          </w:tcPr>
          <w:p w14:paraId="1DFD42A1">
            <w:pPr>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中国湖南政府采购网</w:t>
            </w:r>
          </w:p>
          <w:p w14:paraId="17F1CE57">
            <w:pPr>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http://www.ccgp-hunan.gov.cn/</w:t>
            </w:r>
          </w:p>
        </w:tc>
      </w:tr>
      <w:tr w14:paraId="368396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tblHeader/>
          <w:jc w:val="center"/>
        </w:trPr>
        <w:tc>
          <w:tcPr>
            <w:tcW w:w="1800" w:type="dxa"/>
            <w:tcBorders>
              <w:tl2br w:val="nil"/>
              <w:tr2bl w:val="nil"/>
            </w:tcBorders>
            <w:vAlign w:val="center"/>
          </w:tcPr>
          <w:p w14:paraId="4D67B043">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第二章第39.3款</w:t>
            </w:r>
          </w:p>
        </w:tc>
        <w:tc>
          <w:tcPr>
            <w:tcW w:w="2546" w:type="dxa"/>
            <w:tcBorders>
              <w:tl2br w:val="nil"/>
              <w:tr2bl w:val="nil"/>
            </w:tcBorders>
            <w:vAlign w:val="center"/>
          </w:tcPr>
          <w:p w14:paraId="1DE1CA71">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履约担保</w:t>
            </w:r>
          </w:p>
        </w:tc>
        <w:tc>
          <w:tcPr>
            <w:tcW w:w="5459" w:type="dxa"/>
            <w:tcBorders>
              <w:tl2br w:val="nil"/>
              <w:tr2bl w:val="nil"/>
            </w:tcBorders>
            <w:vAlign w:val="center"/>
          </w:tcPr>
          <w:p w14:paraId="7A200B31">
            <w:pPr>
              <w:jc w:val="left"/>
              <w:outlineLvl w:val="9"/>
              <w:rPr>
                <w:rFonts w:hint="eastAsia" w:ascii="宋体" w:hAnsi="宋体" w:eastAsia="宋体" w:cs="宋体"/>
                <w:color w:val="auto"/>
                <w:szCs w:val="21"/>
                <w:highlight w:val="none"/>
              </w:rPr>
            </w:pPr>
            <w:r>
              <w:rPr>
                <w:rFonts w:hint="eastAsia" w:hAnsi="宋体"/>
                <w:color w:val="auto"/>
                <w:highlight w:val="none"/>
              </w:rPr>
              <w:t>■</w:t>
            </w:r>
            <w:r>
              <w:rPr>
                <w:rFonts w:hint="eastAsia" w:ascii="宋体" w:hAnsi="宋体" w:eastAsia="宋体" w:cs="宋体"/>
                <w:color w:val="auto"/>
                <w:szCs w:val="21"/>
                <w:highlight w:val="none"/>
              </w:rPr>
              <w:t>不要求提供</w:t>
            </w:r>
          </w:p>
          <w:p w14:paraId="3A5A5535">
            <w:pPr>
              <w:pStyle w:val="2"/>
              <w:ind w:left="0" w:leftChars="0"/>
              <w:outlineLvl w:val="9"/>
              <w:rPr>
                <w:color w:val="auto"/>
                <w:highlight w:val="none"/>
                <w:u w:val="single"/>
              </w:rPr>
            </w:pPr>
            <w:r>
              <w:rPr>
                <w:rFonts w:hint="eastAsia" w:ascii="宋体" w:hAnsi="宋体" w:cs="宋体"/>
                <w:color w:val="auto"/>
                <w:highlight w:val="none"/>
              </w:rPr>
              <w:t>□要求提供：</w:t>
            </w:r>
          </w:p>
        </w:tc>
      </w:tr>
      <w:tr w14:paraId="6EDB9B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9805" w:type="dxa"/>
            <w:gridSpan w:val="3"/>
            <w:tcBorders>
              <w:tl2br w:val="nil"/>
              <w:tr2bl w:val="nil"/>
            </w:tcBorders>
            <w:vAlign w:val="center"/>
          </w:tcPr>
          <w:p w14:paraId="71268C27">
            <w:pPr>
              <w:ind w:firstLine="422"/>
              <w:jc w:val="left"/>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七、其他规定</w:t>
            </w:r>
          </w:p>
        </w:tc>
      </w:tr>
      <w:tr w14:paraId="10E4C3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1" w:hRule="atLeast"/>
          <w:tblHeader/>
          <w:jc w:val="center"/>
        </w:trPr>
        <w:tc>
          <w:tcPr>
            <w:tcW w:w="1800" w:type="dxa"/>
            <w:tcBorders>
              <w:tl2br w:val="nil"/>
              <w:tr2bl w:val="nil"/>
            </w:tcBorders>
            <w:vAlign w:val="center"/>
          </w:tcPr>
          <w:p w14:paraId="79EEDCEF">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第二章第41.1款</w:t>
            </w:r>
          </w:p>
        </w:tc>
        <w:tc>
          <w:tcPr>
            <w:tcW w:w="2546" w:type="dxa"/>
            <w:tcBorders>
              <w:tl2br w:val="nil"/>
              <w:tr2bl w:val="nil"/>
            </w:tcBorders>
            <w:vAlign w:val="center"/>
          </w:tcPr>
          <w:p w14:paraId="5B9EAE7D">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采购代理服务费</w:t>
            </w:r>
          </w:p>
        </w:tc>
        <w:tc>
          <w:tcPr>
            <w:tcW w:w="5459" w:type="dxa"/>
            <w:tcBorders>
              <w:tl2br w:val="nil"/>
              <w:tr2bl w:val="nil"/>
            </w:tcBorders>
            <w:vAlign w:val="center"/>
          </w:tcPr>
          <w:p w14:paraId="7198E060">
            <w:pPr>
              <w:pStyle w:val="2"/>
              <w:spacing w:after="0"/>
              <w:ind w:left="0" w:leftChars="0"/>
              <w:outlineLvl w:val="9"/>
              <w:rPr>
                <w:color w:val="auto"/>
                <w:highlight w:val="none"/>
              </w:rPr>
            </w:pPr>
            <w:r>
              <w:rPr>
                <w:rFonts w:hint="eastAsia" w:ascii="宋体" w:hAnsi="宋体" w:cs="宋体"/>
                <w:color w:val="auto"/>
                <w:kern w:val="2"/>
                <w:highlight w:val="none"/>
              </w:rPr>
              <w:t>参照《湖南省招标代理服务收费标准》湘招协[2015]6号文收取代理服务费不超过</w:t>
            </w:r>
            <w:r>
              <w:rPr>
                <w:rFonts w:hint="eastAsia" w:ascii="宋体" w:hAnsi="宋体" w:cs="宋体"/>
                <w:color w:val="auto"/>
                <w:kern w:val="2"/>
                <w:highlight w:val="none"/>
                <w:lang w:val="en-US" w:eastAsia="zh-CN"/>
              </w:rPr>
              <w:t>19706</w:t>
            </w:r>
            <w:r>
              <w:rPr>
                <w:rFonts w:hint="eastAsia" w:ascii="宋体" w:hAnsi="宋体" w:cs="宋体"/>
                <w:color w:val="auto"/>
                <w:kern w:val="2"/>
                <w:highlight w:val="none"/>
              </w:rPr>
              <w:t>.00元。</w:t>
            </w:r>
          </w:p>
        </w:tc>
      </w:tr>
      <w:tr w14:paraId="19CC73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11" w:hRule="atLeast"/>
          <w:tblHeader/>
          <w:jc w:val="center"/>
        </w:trPr>
        <w:tc>
          <w:tcPr>
            <w:tcW w:w="1800" w:type="dxa"/>
            <w:tcBorders>
              <w:tl2br w:val="nil"/>
              <w:tr2bl w:val="nil"/>
            </w:tcBorders>
            <w:vAlign w:val="center"/>
          </w:tcPr>
          <w:p w14:paraId="332B074B">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第二章第42.1款</w:t>
            </w:r>
          </w:p>
        </w:tc>
        <w:tc>
          <w:tcPr>
            <w:tcW w:w="2546" w:type="dxa"/>
            <w:tcBorders>
              <w:tl2br w:val="nil"/>
              <w:tr2bl w:val="nil"/>
            </w:tcBorders>
            <w:vAlign w:val="center"/>
          </w:tcPr>
          <w:p w14:paraId="14C38D09">
            <w:pPr>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其他规定</w:t>
            </w:r>
          </w:p>
        </w:tc>
        <w:tc>
          <w:tcPr>
            <w:tcW w:w="5459" w:type="dxa"/>
            <w:tcBorders>
              <w:tl2br w:val="nil"/>
              <w:tr2bl w:val="nil"/>
            </w:tcBorders>
            <w:vAlign w:val="center"/>
          </w:tcPr>
          <w:p w14:paraId="2D063C02">
            <w:pPr>
              <w:jc w:val="left"/>
              <w:outlineLvl w:val="9"/>
              <w:rPr>
                <w:color w:val="auto"/>
                <w:highlight w:val="none"/>
              </w:rPr>
            </w:pPr>
            <w:r>
              <w:rPr>
                <w:rFonts w:hint="eastAsia"/>
                <w:color w:val="auto"/>
                <w:highlight w:val="none"/>
              </w:rPr>
              <w:t>1、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338D2DE">
            <w:pPr>
              <w:jc w:val="left"/>
              <w:outlineLvl w:val="9"/>
              <w:rPr>
                <w:color w:val="auto"/>
                <w:highlight w:val="none"/>
              </w:rPr>
            </w:pPr>
            <w:r>
              <w:rPr>
                <w:rFonts w:hint="eastAsia"/>
                <w:color w:val="auto"/>
                <w:highlight w:val="none"/>
              </w:rPr>
              <w:t>（1）信用信息查询的查询渠道：“信用中国”网站（www.creditchina.gov.cn）或中国湖南政府采购网（www.ccgp.gov.cn）。</w:t>
            </w:r>
          </w:p>
          <w:p w14:paraId="15FE8D0E">
            <w:pPr>
              <w:jc w:val="left"/>
              <w:outlineLvl w:val="9"/>
              <w:rPr>
                <w:color w:val="auto"/>
                <w:highlight w:val="none"/>
              </w:rPr>
            </w:pPr>
            <w:r>
              <w:rPr>
                <w:rFonts w:hint="eastAsia"/>
                <w:color w:val="auto"/>
                <w:highlight w:val="none"/>
              </w:rPr>
              <w:t>（2）信用信息查询的截止时点：公告之日起至本项目首次响应截止时间止。</w:t>
            </w:r>
          </w:p>
          <w:p w14:paraId="617615F8">
            <w:pPr>
              <w:jc w:val="left"/>
              <w:outlineLvl w:val="9"/>
              <w:rPr>
                <w:color w:val="auto"/>
                <w:highlight w:val="none"/>
              </w:rPr>
            </w:pPr>
            <w:r>
              <w:rPr>
                <w:rFonts w:hint="eastAsia"/>
                <w:color w:val="auto"/>
                <w:highlight w:val="none"/>
              </w:rPr>
              <w:t>2、信用信息查询记录具体方式：查询记录的网上打印件。</w:t>
            </w:r>
          </w:p>
          <w:p w14:paraId="0A35BAAA">
            <w:pPr>
              <w:jc w:val="left"/>
              <w:outlineLvl w:val="9"/>
              <w:rPr>
                <w:color w:val="auto"/>
                <w:highlight w:val="none"/>
              </w:rPr>
            </w:pPr>
            <w:r>
              <w:rPr>
                <w:rFonts w:hint="eastAsia"/>
                <w:color w:val="auto"/>
                <w:highlight w:val="none"/>
              </w:rPr>
              <w:t>3、投标人是法定代表人的持法定代表人身份证明、本人二代身份证参加开标会议；</w:t>
            </w:r>
          </w:p>
          <w:p w14:paraId="4A46D0FE">
            <w:pPr>
              <w:jc w:val="left"/>
              <w:outlineLvl w:val="9"/>
              <w:rPr>
                <w:color w:val="auto"/>
                <w:highlight w:val="none"/>
              </w:rPr>
            </w:pPr>
            <w:r>
              <w:rPr>
                <w:rFonts w:hint="eastAsia"/>
                <w:color w:val="auto"/>
                <w:highlight w:val="none"/>
              </w:rPr>
              <w:t>4、投标人是授权委托人的持法人授权书和法定代表人身份证明、本人二代身份证参加开标会议。</w:t>
            </w:r>
          </w:p>
        </w:tc>
      </w:tr>
    </w:tbl>
    <w:p w14:paraId="70A8A674">
      <w:pPr>
        <w:pStyle w:val="27"/>
        <w:shd w:val="clear" w:color="auto" w:fill="FFFFFF"/>
        <w:spacing w:before="0" w:beforeAutospacing="0" w:after="0" w:afterAutospacing="0"/>
        <w:jc w:val="center"/>
        <w:outlineLvl w:val="9"/>
        <w:rPr>
          <w:rFonts w:hint="eastAsia" w:eastAsia="宋体"/>
          <w:b/>
          <w:color w:val="auto"/>
          <w:sz w:val="32"/>
          <w:szCs w:val="32"/>
          <w:highlight w:val="none"/>
        </w:rPr>
      </w:pPr>
    </w:p>
    <w:p w14:paraId="0B1017D5">
      <w:pPr>
        <w:pStyle w:val="27"/>
        <w:shd w:val="clear" w:color="auto" w:fill="FFFFFF"/>
        <w:spacing w:before="0" w:beforeAutospacing="0" w:after="0" w:afterAutospacing="0"/>
        <w:jc w:val="center"/>
        <w:outlineLvl w:val="1"/>
        <w:rPr>
          <w:rFonts w:hint="eastAsia" w:eastAsia="宋体"/>
          <w:b/>
          <w:color w:val="auto"/>
          <w:sz w:val="32"/>
          <w:szCs w:val="32"/>
          <w:highlight w:val="none"/>
        </w:rPr>
      </w:pPr>
      <w:bookmarkStart w:id="5" w:name="_Toc21597"/>
      <w:r>
        <w:rPr>
          <w:rFonts w:hint="eastAsia" w:eastAsia="宋体"/>
          <w:b/>
          <w:color w:val="auto"/>
          <w:sz w:val="32"/>
          <w:szCs w:val="32"/>
          <w:highlight w:val="none"/>
        </w:rPr>
        <w:t>第二节  磋商须知</w:t>
      </w:r>
      <w:bookmarkEnd w:id="5"/>
    </w:p>
    <w:p w14:paraId="036EF523">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一、说明</w:t>
      </w:r>
    </w:p>
    <w:p w14:paraId="52BF0061">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1.适用范围</w:t>
      </w:r>
    </w:p>
    <w:p w14:paraId="047E59B7">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1.1 本磋商文件仅适用于磋商须知前附表(以下简称</w:t>
      </w:r>
      <w:r>
        <w:rPr>
          <w:rFonts w:hint="eastAsia" w:ascii="宋体" w:hAnsi="宋体" w:eastAsia="宋体" w:cs="宋体"/>
          <w:b/>
          <w:color w:val="auto"/>
          <w:sz w:val="24"/>
          <w:highlight w:val="none"/>
        </w:rPr>
        <w:t>磋商须知前附表)</w:t>
      </w:r>
      <w:r>
        <w:rPr>
          <w:rFonts w:hint="eastAsia" w:ascii="宋体" w:hAnsi="宋体" w:eastAsia="宋体" w:cs="宋体"/>
          <w:color w:val="auto"/>
          <w:sz w:val="24"/>
          <w:highlight w:val="none"/>
        </w:rPr>
        <w:t>中所叙述的采购项目。</w:t>
      </w:r>
    </w:p>
    <w:p w14:paraId="7E44781A">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2.定义</w:t>
      </w:r>
    </w:p>
    <w:p w14:paraId="23C0673F">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b/>
          <w:color w:val="auto"/>
          <w:sz w:val="24"/>
          <w:highlight w:val="none"/>
        </w:rPr>
      </w:pPr>
      <w:r>
        <w:rPr>
          <w:rFonts w:hint="eastAsia" w:ascii="宋体" w:hAnsi="宋体" w:eastAsia="宋体" w:cs="宋体"/>
          <w:color w:val="auto"/>
          <w:sz w:val="24"/>
          <w:highlight w:val="none"/>
        </w:rPr>
        <w:t>2.1 “采购人”是指依法进行政府采购的国家机关、事业单位、团体组织。本次政府采购的采购人名称、地址、电话、联系人见</w:t>
      </w:r>
      <w:r>
        <w:rPr>
          <w:rFonts w:hint="eastAsia" w:ascii="宋体" w:hAnsi="宋体" w:eastAsia="宋体" w:cs="宋体"/>
          <w:b/>
          <w:color w:val="auto"/>
          <w:sz w:val="24"/>
          <w:highlight w:val="none"/>
        </w:rPr>
        <w:t>磋商须知前附表</w:t>
      </w:r>
      <w:r>
        <w:rPr>
          <w:rFonts w:hint="eastAsia" w:ascii="宋体" w:hAnsi="宋体" w:eastAsia="宋体" w:cs="宋体"/>
          <w:color w:val="auto"/>
          <w:sz w:val="24"/>
          <w:highlight w:val="none"/>
        </w:rPr>
        <w:t>。</w:t>
      </w:r>
    </w:p>
    <w:p w14:paraId="2745A1A6">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b/>
          <w:color w:val="auto"/>
          <w:sz w:val="24"/>
          <w:highlight w:val="none"/>
        </w:rPr>
      </w:pPr>
      <w:r>
        <w:rPr>
          <w:rFonts w:hint="eastAsia" w:ascii="宋体" w:hAnsi="宋体" w:eastAsia="宋体" w:cs="宋体"/>
          <w:color w:val="auto"/>
          <w:sz w:val="24"/>
          <w:highlight w:val="none"/>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color w:val="auto"/>
          <w:sz w:val="24"/>
          <w:highlight w:val="none"/>
        </w:rPr>
        <w:t>磋商须知前附表。</w:t>
      </w:r>
    </w:p>
    <w:p w14:paraId="355714E7">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bCs/>
          <w:color w:val="auto"/>
          <w:kern w:val="36"/>
          <w:sz w:val="24"/>
          <w:highlight w:val="none"/>
        </w:rPr>
      </w:pPr>
      <w:r>
        <w:rPr>
          <w:rFonts w:hint="eastAsia" w:ascii="宋体" w:hAnsi="宋体" w:eastAsia="宋体" w:cs="宋体"/>
          <w:color w:val="auto"/>
          <w:sz w:val="24"/>
          <w:highlight w:val="none"/>
        </w:rPr>
        <w:t>2.3 “供应商”是指响应磋商文件要求、参加竞争性磋商采购的法人、其他组织或者自然人。本次政府采购项目</w:t>
      </w:r>
      <w:r>
        <w:rPr>
          <w:rFonts w:hint="eastAsia" w:ascii="宋体" w:hAnsi="宋体" w:eastAsia="宋体" w:cs="宋体"/>
          <w:color w:val="auto"/>
          <w:kern w:val="0"/>
          <w:sz w:val="24"/>
          <w:highlight w:val="none"/>
        </w:rPr>
        <w:t>邀请</w:t>
      </w:r>
      <w:r>
        <w:rPr>
          <w:rFonts w:hint="eastAsia" w:ascii="宋体" w:hAnsi="宋体" w:eastAsia="宋体" w:cs="宋体"/>
          <w:color w:val="auto"/>
          <w:sz w:val="24"/>
          <w:highlight w:val="none"/>
        </w:rPr>
        <w:t>的</w:t>
      </w:r>
      <w:r>
        <w:rPr>
          <w:rFonts w:hint="eastAsia" w:ascii="宋体" w:hAnsi="宋体" w:eastAsia="宋体" w:cs="宋体"/>
          <w:color w:val="auto"/>
          <w:kern w:val="0"/>
          <w:sz w:val="24"/>
          <w:highlight w:val="none"/>
        </w:rPr>
        <w:t>供应商通过</w:t>
      </w:r>
      <w:r>
        <w:rPr>
          <w:rFonts w:hint="eastAsia" w:ascii="宋体" w:hAnsi="宋体" w:eastAsia="宋体" w:cs="宋体"/>
          <w:b/>
          <w:color w:val="auto"/>
          <w:sz w:val="24"/>
          <w:highlight w:val="none"/>
        </w:rPr>
        <w:t>磋商须知前附表</w:t>
      </w:r>
      <w:r>
        <w:rPr>
          <w:rFonts w:hint="eastAsia" w:ascii="宋体" w:hAnsi="宋体" w:eastAsia="宋体" w:cs="宋体"/>
          <w:color w:val="auto"/>
          <w:sz w:val="24"/>
          <w:highlight w:val="none"/>
        </w:rPr>
        <w:t>所述方式</w:t>
      </w:r>
      <w:r>
        <w:rPr>
          <w:rFonts w:hint="eastAsia" w:ascii="宋体" w:hAnsi="宋体" w:eastAsia="宋体" w:cs="宋体"/>
          <w:color w:val="auto"/>
          <w:kern w:val="0"/>
          <w:sz w:val="24"/>
          <w:highlight w:val="none"/>
        </w:rPr>
        <w:t>，邀请符合资格条件的供应商提交响应文件（含资格证明资料），参与竞争性磋商采购活动。</w:t>
      </w:r>
    </w:p>
    <w:p w14:paraId="68C9B337">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2.4 “磋商小组”是指</w:t>
      </w:r>
      <w:r>
        <w:rPr>
          <w:rFonts w:hint="eastAsia" w:ascii="宋体" w:hAnsi="宋体" w:eastAsia="宋体" w:cs="宋体"/>
          <w:color w:val="auto"/>
          <w:kern w:val="0"/>
          <w:sz w:val="24"/>
          <w:highlight w:val="none"/>
        </w:rPr>
        <w:t>依据财政部</w:t>
      </w:r>
      <w:r>
        <w:rPr>
          <w:rFonts w:hint="eastAsia" w:ascii="宋体" w:hAnsi="宋体" w:eastAsia="宋体" w:cs="宋体"/>
          <w:bCs/>
          <w:color w:val="auto"/>
          <w:kern w:val="36"/>
          <w:sz w:val="24"/>
          <w:highlight w:val="none"/>
        </w:rPr>
        <w:t>《政府采购竞争性磋商采购方式管理暂行办法》有关规定组建，依法依规</w:t>
      </w:r>
      <w:r>
        <w:rPr>
          <w:rFonts w:hint="eastAsia" w:ascii="宋体" w:hAnsi="宋体" w:eastAsia="宋体" w:cs="宋体"/>
          <w:color w:val="auto"/>
          <w:kern w:val="0"/>
          <w:sz w:val="24"/>
          <w:highlight w:val="none"/>
        </w:rPr>
        <w:t>履行其职责和义务的机构。</w:t>
      </w:r>
    </w:p>
    <w:p w14:paraId="1CED21E5">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2.5 “货物”是指各种形态和种类的物品，包括原资料、燃料、设备、产品等，详见《政府采购品目分类目录》(</w:t>
      </w:r>
      <w:r>
        <w:rPr>
          <w:rStyle w:val="33"/>
          <w:rFonts w:hint="eastAsia" w:ascii="宋体" w:hAnsi="宋体" w:eastAsia="宋体" w:cs="宋体"/>
          <w:b w:val="0"/>
          <w:color w:val="auto"/>
          <w:sz w:val="24"/>
          <w:highlight w:val="none"/>
        </w:rPr>
        <w:t>财库[2013]189号</w:t>
      </w:r>
      <w:r>
        <w:rPr>
          <w:rFonts w:hint="eastAsia" w:ascii="宋体" w:hAnsi="宋体" w:eastAsia="宋体" w:cs="宋体"/>
          <w:color w:val="auto"/>
          <w:sz w:val="24"/>
          <w:highlight w:val="none"/>
        </w:rPr>
        <w:t>)。</w:t>
      </w:r>
    </w:p>
    <w:p w14:paraId="503A0AA8">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2.6 “工程”是指建设工程，包括建筑物和构筑物的新建、改建、扩建、装修、拆除、修缮等，详见《政府采购品目分类目录》(</w:t>
      </w:r>
      <w:r>
        <w:rPr>
          <w:rStyle w:val="33"/>
          <w:rFonts w:hint="eastAsia" w:ascii="宋体" w:hAnsi="宋体" w:eastAsia="宋体" w:cs="宋体"/>
          <w:b w:val="0"/>
          <w:color w:val="auto"/>
          <w:sz w:val="24"/>
          <w:highlight w:val="none"/>
        </w:rPr>
        <w:t>财库[2013]189号</w:t>
      </w:r>
      <w:r>
        <w:rPr>
          <w:rFonts w:hint="eastAsia" w:ascii="宋体" w:hAnsi="宋体" w:eastAsia="宋体" w:cs="宋体"/>
          <w:color w:val="auto"/>
          <w:sz w:val="24"/>
          <w:highlight w:val="none"/>
        </w:rPr>
        <w:t>)。</w:t>
      </w:r>
    </w:p>
    <w:p w14:paraId="5DB7BF46">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2.7 “服务”是指除货物和工程以外的其他政府采购对象，详见《政府采购品目分类目录》(</w:t>
      </w:r>
      <w:r>
        <w:rPr>
          <w:rStyle w:val="33"/>
          <w:rFonts w:hint="eastAsia" w:ascii="宋体" w:hAnsi="宋体" w:eastAsia="宋体" w:cs="宋体"/>
          <w:b w:val="0"/>
          <w:color w:val="auto"/>
          <w:sz w:val="24"/>
          <w:highlight w:val="none"/>
        </w:rPr>
        <w:t>财库[2013]189号</w:t>
      </w:r>
      <w:r>
        <w:rPr>
          <w:rFonts w:hint="eastAsia" w:ascii="宋体" w:hAnsi="宋体" w:eastAsia="宋体" w:cs="宋体"/>
          <w:color w:val="auto"/>
          <w:sz w:val="24"/>
          <w:highlight w:val="none"/>
        </w:rPr>
        <w:t>)。</w:t>
      </w:r>
    </w:p>
    <w:p w14:paraId="6D31BE03">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2.8</w:t>
      </w:r>
      <w:r>
        <w:rPr>
          <w:rFonts w:hint="eastAsia" w:ascii="宋体" w:hAnsi="宋体" w:eastAsia="宋体" w:cs="宋体"/>
          <w:color w:val="auto"/>
          <w:sz w:val="24"/>
          <w:highlight w:val="none"/>
        </w:rPr>
        <w:t xml:space="preserve"> “节能产品”或者“环保产品”是指财政部发布的《节能产品政府采购品目清单》或者《环境标志产品政府采购品目清单》的产品，“两型产品”是指湖南省财政厅发布的《湖南省两型产品政府采购目录》的产品。</w:t>
      </w:r>
    </w:p>
    <w:p w14:paraId="28537446">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2.9</w:t>
      </w:r>
      <w:r>
        <w:rPr>
          <w:rFonts w:hint="eastAsia" w:ascii="宋体" w:hAnsi="宋体" w:eastAsia="宋体" w:cs="宋体"/>
          <w:color w:val="auto"/>
          <w:kern w:val="0"/>
          <w:sz w:val="24"/>
          <w:highlight w:val="none"/>
        </w:rPr>
        <w:t xml:space="preserve"> “进口产品”是指通过中国海关报关验放进入中国境内且产自关境外的产品，详见《关于政府采购进口产品管理有关问题的通知》(财库[2007]119号)。</w:t>
      </w:r>
    </w:p>
    <w:p w14:paraId="24A06C96">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3.供应商的资格要求</w:t>
      </w:r>
    </w:p>
    <w:p w14:paraId="39727116">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3.1供应商应当符合</w:t>
      </w:r>
      <w:r>
        <w:rPr>
          <w:rFonts w:hint="eastAsia" w:ascii="宋体" w:hAnsi="宋体" w:eastAsia="宋体" w:cs="宋体"/>
          <w:b/>
          <w:color w:val="auto"/>
          <w:sz w:val="24"/>
          <w:highlight w:val="none"/>
        </w:rPr>
        <w:t>磋商须知前附表</w:t>
      </w:r>
      <w:r>
        <w:rPr>
          <w:rFonts w:hint="eastAsia" w:ascii="宋体" w:hAnsi="宋体" w:eastAsia="宋体" w:cs="宋体"/>
          <w:color w:val="auto"/>
          <w:sz w:val="24"/>
          <w:highlight w:val="none"/>
        </w:rPr>
        <w:t>中规定的资格条件要求。</w:t>
      </w:r>
    </w:p>
    <w:p w14:paraId="7669347A">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3.2允许联合体响应的，供应商为联合体形式的，除应满足本章第3.1款资格条件要求及第3.3款规定外，还应遵守以下规定：</w:t>
      </w:r>
    </w:p>
    <w:p w14:paraId="3D0F2435">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（1）联合体各方应按磋商文件提供的格式签订联合体协议书，明确联合体牵头人和各方权利义务(含承担工作及工作量比例)；</w:t>
      </w:r>
    </w:p>
    <w:p w14:paraId="08ECD0B6">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（2）联合体中有同类资质的供应商按照联合体分工承担相同工作的，应当按照资质等级较低的供应商确定资质等级；</w:t>
      </w:r>
    </w:p>
    <w:p w14:paraId="000F863A">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（3）以联合体形式参加政府采购活动的，联合体各方不得再单独参加或者与其他供应商另外组成联合体参加同一合同项下的政府采购活动。</w:t>
      </w:r>
    </w:p>
    <w:p w14:paraId="6E9D03B5">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3.3 供应商不得存在下列情形之一：</w:t>
      </w:r>
    </w:p>
    <w:p w14:paraId="18A43024">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（l）与采购人、采购代理机构存在</w:t>
      </w:r>
      <w:r>
        <w:rPr>
          <w:rFonts w:hint="eastAsia" w:ascii="宋体" w:hAnsi="宋体" w:eastAsia="宋体" w:cs="宋体"/>
          <w:bCs/>
          <w:color w:val="auto"/>
          <w:sz w:val="24"/>
          <w:highlight w:val="none"/>
        </w:rPr>
        <w:t>隶属关系或者其他利害关系</w:t>
      </w:r>
      <w:r>
        <w:rPr>
          <w:rFonts w:hint="eastAsia" w:ascii="宋体" w:hAnsi="宋体" w:eastAsia="宋体" w:cs="宋体"/>
          <w:color w:val="auto"/>
          <w:sz w:val="24"/>
          <w:highlight w:val="none"/>
        </w:rPr>
        <w:t>。</w:t>
      </w:r>
    </w:p>
    <w:p w14:paraId="6DD7A03B">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（2）与其他供应商的法定代表人（或者负责人）为同一人，或者与其他供应商存在直接控股、管理关系。</w:t>
      </w:r>
    </w:p>
    <w:p w14:paraId="042AD865">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bCs/>
          <w:color w:val="auto"/>
          <w:sz w:val="24"/>
          <w:highlight w:val="none"/>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eastAsia="宋体" w:cs="宋体"/>
          <w:color w:val="auto"/>
          <w:sz w:val="24"/>
          <w:highlight w:val="none"/>
        </w:rPr>
        <w:t>财政部门认定的其他重大违法记录。</w:t>
      </w:r>
    </w:p>
    <w:p w14:paraId="7ABC4FF6">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4.参与磋商的费用 </w:t>
      </w:r>
    </w:p>
    <w:p w14:paraId="25549631">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4.1 无论磋商的结果如何，供应商应自行承担所有与竞争性磋商采购活动有关的全部费用。</w:t>
      </w:r>
    </w:p>
    <w:p w14:paraId="39129929">
      <w:pPr>
        <w:pStyle w:val="14"/>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hAnsi="宋体" w:eastAsia="宋体" w:cs="宋体"/>
          <w:b/>
          <w:bCs/>
          <w:color w:val="auto"/>
          <w:sz w:val="24"/>
          <w:szCs w:val="24"/>
          <w:highlight w:val="none"/>
        </w:rPr>
      </w:pPr>
      <w:r>
        <w:rPr>
          <w:rFonts w:hint="eastAsia" w:hAnsi="宋体" w:eastAsia="宋体" w:cs="宋体"/>
          <w:b/>
          <w:color w:val="auto"/>
          <w:sz w:val="24"/>
          <w:szCs w:val="24"/>
          <w:highlight w:val="none"/>
        </w:rPr>
        <w:t>5．</w:t>
      </w:r>
      <w:r>
        <w:rPr>
          <w:rFonts w:hint="eastAsia" w:hAnsi="宋体" w:eastAsia="宋体" w:cs="宋体"/>
          <w:b/>
          <w:bCs/>
          <w:color w:val="auto"/>
          <w:sz w:val="24"/>
          <w:szCs w:val="24"/>
          <w:highlight w:val="none"/>
        </w:rPr>
        <w:t>授权委托</w:t>
      </w:r>
    </w:p>
    <w:p w14:paraId="198A9F0D">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5.1供应商代表为供应商法定代表人的，应具备法定代表人身份证明。供应商代表不是供应商法定代表人的，应具备法定代表人授权书，并附法定代表人身份证明。</w:t>
      </w:r>
    </w:p>
    <w:p w14:paraId="76047170">
      <w:pPr>
        <w:pStyle w:val="14"/>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hAnsi="宋体" w:eastAsia="宋体" w:cs="宋体"/>
          <w:b/>
          <w:color w:val="auto"/>
          <w:sz w:val="24"/>
          <w:szCs w:val="24"/>
          <w:highlight w:val="none"/>
        </w:rPr>
      </w:pPr>
      <w:r>
        <w:rPr>
          <w:rFonts w:hint="eastAsia" w:hAnsi="宋体" w:eastAsia="宋体" w:cs="宋体"/>
          <w:b/>
          <w:color w:val="auto"/>
          <w:sz w:val="24"/>
          <w:szCs w:val="24"/>
          <w:highlight w:val="none"/>
        </w:rPr>
        <w:t>6．联合体形式</w:t>
      </w:r>
    </w:p>
    <w:p w14:paraId="2380CCFA">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6.1本次磋商采购不接受为联合体形式的供应商。</w:t>
      </w:r>
    </w:p>
    <w:p w14:paraId="1F444CE4">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6.2供应商为联合体形式的，除应符合本章第3条规定外，还应遵守以下规定：</w:t>
      </w:r>
    </w:p>
    <w:p w14:paraId="1A4697E7">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（l）联合体各方必须签订联合体协议书，明确联合体牵头人和各方的义务、工作、合同工作量比例；</w:t>
      </w:r>
    </w:p>
    <w:p w14:paraId="213E40ED">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（2）联合体各方均应当符合本章第3.1</w:t>
      </w:r>
      <w:r>
        <w:rPr>
          <w:rFonts w:hint="eastAsia" w:ascii="宋体" w:hAnsi="宋体" w:eastAsia="宋体" w:cs="宋体"/>
          <w:color w:val="auto"/>
          <w:kern w:val="0"/>
          <w:sz w:val="24"/>
          <w:highlight w:val="none"/>
          <w:lang w:val="zh-CN"/>
        </w:rPr>
        <w:t>款</w:t>
      </w:r>
      <w:r>
        <w:rPr>
          <w:rFonts w:hint="eastAsia" w:ascii="宋体" w:hAnsi="宋体" w:eastAsia="宋体" w:cs="宋体"/>
          <w:color w:val="auto"/>
          <w:sz w:val="24"/>
          <w:highlight w:val="none"/>
        </w:rPr>
        <w:t>规定的供应商基本资格条件；</w:t>
      </w:r>
    </w:p>
    <w:p w14:paraId="6C4D8CED">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（3）联合体各方中至少有一方应当符合本章第3.1</w:t>
      </w:r>
      <w:r>
        <w:rPr>
          <w:rFonts w:hint="eastAsia" w:ascii="宋体" w:hAnsi="宋体" w:eastAsia="宋体" w:cs="宋体"/>
          <w:color w:val="auto"/>
          <w:kern w:val="0"/>
          <w:sz w:val="24"/>
          <w:highlight w:val="none"/>
          <w:lang w:val="zh-CN"/>
        </w:rPr>
        <w:t>款</w:t>
      </w:r>
      <w:r>
        <w:rPr>
          <w:rFonts w:hint="eastAsia" w:ascii="宋体" w:hAnsi="宋体" w:eastAsia="宋体" w:cs="宋体"/>
          <w:color w:val="auto"/>
          <w:sz w:val="24"/>
          <w:highlight w:val="none"/>
        </w:rPr>
        <w:t>规定的供应商特定资格条件；</w:t>
      </w:r>
    </w:p>
    <w:p w14:paraId="76244F37">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（4）</w:t>
      </w:r>
      <w:r>
        <w:rPr>
          <w:rFonts w:hint="eastAsia" w:ascii="宋体" w:hAnsi="宋体" w:eastAsia="宋体" w:cs="宋体"/>
          <w:color w:val="auto"/>
          <w:kern w:val="0"/>
          <w:sz w:val="24"/>
          <w:highlight w:val="none"/>
          <w:lang w:val="zh-CN"/>
        </w:rPr>
        <w:t>联合体各方不得再单独或与其他供应商组成新的联合体参加同一项目的采购活动。</w:t>
      </w:r>
    </w:p>
    <w:p w14:paraId="69FFD934">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7.现场勘察</w:t>
      </w:r>
    </w:p>
    <w:p w14:paraId="173C9335">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7.1供应商应按</w:t>
      </w:r>
      <w:r>
        <w:rPr>
          <w:rFonts w:hint="eastAsia" w:ascii="宋体" w:hAnsi="宋体" w:eastAsia="宋体" w:cs="宋体"/>
          <w:b/>
          <w:color w:val="auto"/>
          <w:sz w:val="24"/>
          <w:highlight w:val="none"/>
        </w:rPr>
        <w:t>磋商须知前附表</w:t>
      </w:r>
      <w:r>
        <w:rPr>
          <w:rFonts w:hint="eastAsia" w:ascii="宋体" w:hAnsi="宋体" w:eastAsia="宋体" w:cs="宋体"/>
          <w:color w:val="auto"/>
          <w:sz w:val="24"/>
          <w:highlight w:val="none"/>
        </w:rPr>
        <w:t>中规定对采购项目现场和周围环境的现场考察。</w:t>
      </w:r>
    </w:p>
    <w:p w14:paraId="09E820A3">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7.2勘察现场的费用由供应商自己承担，勘察期间所发生的人身伤害及财产损失由供应商自己负责。</w:t>
      </w:r>
    </w:p>
    <w:p w14:paraId="2938D286">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b/>
          <w:color w:val="auto"/>
          <w:sz w:val="24"/>
          <w:highlight w:val="none"/>
        </w:rPr>
      </w:pPr>
      <w:r>
        <w:rPr>
          <w:rFonts w:hint="eastAsia" w:ascii="宋体" w:hAnsi="宋体" w:eastAsia="宋体" w:cs="宋体"/>
          <w:color w:val="auto"/>
          <w:sz w:val="24"/>
          <w:highlight w:val="none"/>
        </w:rPr>
        <w:t>7.3采购人不对供应商据此而做出的推论、理解和结论负责。一旦成交，供应商不得以任何借口，提出额外补偿，或延长合同期限的要求。</w:t>
      </w:r>
    </w:p>
    <w:p w14:paraId="03F13932">
      <w:pPr>
        <w:keepNext w:val="0"/>
        <w:keepLines w:val="0"/>
        <w:pageBreakBefore w:val="0"/>
        <w:kinsoku/>
        <w:wordWrap/>
        <w:overflowPunct/>
        <w:topLinePunct w:val="0"/>
        <w:autoSpaceDE/>
        <w:bidi w:val="0"/>
        <w:adjustRightInd w:val="0"/>
        <w:snapToGrid w:val="0"/>
        <w:spacing w:line="380" w:lineRule="exact"/>
        <w:ind w:left="0" w:right="0" w:rightChars="0" w:firstLine="482"/>
        <w:jc w:val="left"/>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8.采购进口产品</w:t>
      </w:r>
    </w:p>
    <w:p w14:paraId="582BF6D3">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8.1本项目拒绝进口产品投标。</w:t>
      </w:r>
    </w:p>
    <w:p w14:paraId="29A8D751">
      <w:pPr>
        <w:keepNext w:val="0"/>
        <w:keepLines w:val="0"/>
        <w:pageBreakBefore w:val="0"/>
        <w:kinsoku/>
        <w:wordWrap/>
        <w:overflowPunct/>
        <w:topLinePunct w:val="0"/>
        <w:autoSpaceDE/>
        <w:bidi w:val="0"/>
        <w:adjustRightInd w:val="0"/>
        <w:snapToGrid w:val="0"/>
        <w:spacing w:line="380" w:lineRule="exact"/>
        <w:ind w:left="0" w:right="0" w:rightChars="0" w:firstLine="482"/>
        <w:jc w:val="left"/>
        <w:textAlignment w:val="auto"/>
        <w:outlineLvl w:val="9"/>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9.</w:t>
      </w:r>
      <w:r>
        <w:rPr>
          <w:rFonts w:hint="eastAsia" w:ascii="宋体" w:hAnsi="宋体" w:eastAsia="宋体" w:cs="宋体"/>
          <w:b/>
          <w:color w:val="auto"/>
          <w:sz w:val="24"/>
          <w:highlight w:val="none"/>
        </w:rPr>
        <w:t>政府采购政策支持</w:t>
      </w:r>
    </w:p>
    <w:p w14:paraId="4D591006">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9.1对列入财政部、国家发展改革委发布的《节能产品政府采购品目清单》且属于应当“强制采购的节能产品”，按照规定实行强制采购。</w:t>
      </w:r>
    </w:p>
    <w:p w14:paraId="6CC88899">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kern w:val="0"/>
          <w:sz w:val="24"/>
          <w:szCs w:val="24"/>
          <w:highlight w:val="none"/>
        </w:rPr>
        <w:t>9.2对列入财政部、国家发展改革委发布的《节能产品政府采购品目清单》的“非强制采购节能产品”，财政部、环境保护部发布的《环境标志产品政府采购品目清单》的“环境标志产品”，湖南省财政厅、湖南省科学技术厅、湖南省长株潭“两型社会”试验区建设管理委员会发布的《湖南省两型产品政府采购目录》的“两型产品”以及中小企业，实行优先采购，按照省级以上财政部门有关政策规定，评审时进行价格扣除或加分。</w:t>
      </w:r>
    </w:p>
    <w:p w14:paraId="642D4E4A">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9.3符合本章第9.2</w:t>
      </w:r>
      <w:r>
        <w:rPr>
          <w:rFonts w:hint="eastAsia" w:ascii="宋体" w:hAnsi="宋体" w:eastAsia="宋体" w:cs="宋体"/>
          <w:color w:val="auto"/>
          <w:kern w:val="0"/>
          <w:sz w:val="24"/>
          <w:highlight w:val="none"/>
          <w:lang w:val="zh-CN"/>
        </w:rPr>
        <w:t>款</w:t>
      </w:r>
      <w:r>
        <w:rPr>
          <w:rFonts w:hint="eastAsia" w:ascii="宋体" w:hAnsi="宋体" w:eastAsia="宋体" w:cs="宋体"/>
          <w:color w:val="auto"/>
          <w:sz w:val="24"/>
          <w:highlight w:val="none"/>
        </w:rPr>
        <w:t>规定的，应提供相关证明资料。</w:t>
      </w:r>
    </w:p>
    <w:p w14:paraId="39215EB3">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9.4供应商有融资、担保需求的，具体办理流程可向</w:t>
      </w:r>
      <w:r>
        <w:rPr>
          <w:rFonts w:hint="eastAsia" w:ascii="宋体" w:hAnsi="宋体" w:eastAsia="宋体" w:cs="宋体"/>
          <w:b/>
          <w:color w:val="auto"/>
          <w:sz w:val="24"/>
          <w:highlight w:val="none"/>
        </w:rPr>
        <w:t>磋商须知前附表</w:t>
      </w:r>
      <w:r>
        <w:rPr>
          <w:rFonts w:hint="eastAsia" w:ascii="宋体" w:hAnsi="宋体" w:eastAsia="宋体" w:cs="宋体"/>
          <w:color w:val="auto"/>
          <w:sz w:val="24"/>
          <w:highlight w:val="none"/>
        </w:rPr>
        <w:t>所列金融机构和担保机构询问。</w:t>
      </w:r>
    </w:p>
    <w:p w14:paraId="503ACF7E">
      <w:pPr>
        <w:keepNext w:val="0"/>
        <w:keepLines w:val="0"/>
        <w:pageBreakBefore w:val="0"/>
        <w:kinsoku/>
        <w:wordWrap/>
        <w:overflowPunct/>
        <w:topLinePunct w:val="0"/>
        <w:autoSpaceDE/>
        <w:bidi w:val="0"/>
        <w:adjustRightInd w:val="0"/>
        <w:snapToGrid w:val="0"/>
        <w:spacing w:line="380" w:lineRule="exact"/>
        <w:ind w:left="0" w:right="0" w:rightChars="0" w:hanging="906" w:hangingChars="376"/>
        <w:textAlignment w:val="auto"/>
        <w:outlineLvl w:val="9"/>
        <w:rPr>
          <w:rFonts w:hint="eastAsia" w:ascii="宋体" w:hAnsi="宋体" w:eastAsia="宋体" w:cs="宋体"/>
          <w:b/>
          <w:bCs/>
          <w:color w:val="auto"/>
          <w:sz w:val="24"/>
          <w:highlight w:val="none"/>
        </w:rPr>
      </w:pPr>
    </w:p>
    <w:p w14:paraId="7B370623">
      <w:pPr>
        <w:keepNext w:val="0"/>
        <w:keepLines w:val="0"/>
        <w:pageBreakBefore w:val="0"/>
        <w:kinsoku/>
        <w:wordWrap/>
        <w:overflowPunct/>
        <w:topLinePunct w:val="0"/>
        <w:autoSpaceDE/>
        <w:bidi w:val="0"/>
        <w:adjustRightInd w:val="0"/>
        <w:snapToGrid w:val="0"/>
        <w:spacing w:line="380" w:lineRule="exact"/>
        <w:ind w:left="0" w:right="0" w:rightChars="0" w:hanging="906" w:hangingChars="376"/>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二、磋商文件</w:t>
      </w:r>
    </w:p>
    <w:p w14:paraId="08F3661A">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10．磋商文件的组成</w:t>
      </w:r>
    </w:p>
    <w:p w14:paraId="7CA0B0CF">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10.1 磋商文件由下列文件组成：</w:t>
      </w:r>
    </w:p>
    <w:p w14:paraId="3BABEC56">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第一章 磋商邀请</w:t>
      </w:r>
    </w:p>
    <w:p w14:paraId="4D9671E3">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第二章 磋商须知</w:t>
      </w:r>
    </w:p>
    <w:p w14:paraId="1F9BF8B8">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第三章 采购需求</w:t>
      </w:r>
    </w:p>
    <w:p w14:paraId="3DA169DC">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第四章 政府采购合同格式条款</w:t>
      </w:r>
    </w:p>
    <w:p w14:paraId="7466ED8B">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第五章 评审方法及标准</w:t>
      </w:r>
    </w:p>
    <w:p w14:paraId="2BB3D86C">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第六章 响应文件组成</w:t>
      </w:r>
    </w:p>
    <w:p w14:paraId="2D826281">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kern w:val="0"/>
          <w:sz w:val="24"/>
          <w:szCs w:val="24"/>
          <w:highlight w:val="none"/>
        </w:rPr>
      </w:pPr>
      <w:r>
        <w:rPr>
          <w:rFonts w:hint="eastAsia" w:hAnsi="宋体" w:eastAsia="宋体" w:cs="宋体"/>
          <w:color w:val="auto"/>
          <w:sz w:val="24"/>
          <w:szCs w:val="24"/>
          <w:highlight w:val="none"/>
        </w:rPr>
        <w:t>10.2</w:t>
      </w:r>
      <w:r>
        <w:rPr>
          <w:rFonts w:hint="eastAsia" w:hAnsi="宋体" w:eastAsia="宋体" w:cs="宋体"/>
          <w:color w:val="auto"/>
          <w:kern w:val="0"/>
          <w:sz w:val="24"/>
          <w:szCs w:val="24"/>
          <w:highlight w:val="none"/>
        </w:rPr>
        <w:t>磋商小组根据与供应商磋商情况可能实质性变动的内容，包括采购需求中的技术、服务要求以及合同条款，</w:t>
      </w:r>
      <w:r>
        <w:rPr>
          <w:rFonts w:hint="eastAsia" w:hAnsi="宋体" w:eastAsia="宋体" w:cs="宋体"/>
          <w:color w:val="auto"/>
          <w:sz w:val="24"/>
          <w:szCs w:val="24"/>
          <w:highlight w:val="none"/>
        </w:rPr>
        <w:t>在</w:t>
      </w:r>
      <w:r>
        <w:rPr>
          <w:rFonts w:hint="eastAsia" w:hAnsi="宋体" w:eastAsia="宋体" w:cs="宋体"/>
          <w:b/>
          <w:color w:val="auto"/>
          <w:sz w:val="24"/>
          <w:szCs w:val="24"/>
          <w:highlight w:val="none"/>
        </w:rPr>
        <w:t>磋商须知前附表</w:t>
      </w:r>
      <w:r>
        <w:rPr>
          <w:rFonts w:hint="eastAsia" w:hAnsi="宋体" w:eastAsia="宋体" w:cs="宋体"/>
          <w:color w:val="auto"/>
          <w:sz w:val="24"/>
          <w:szCs w:val="24"/>
          <w:highlight w:val="none"/>
        </w:rPr>
        <w:t>中明确。</w:t>
      </w:r>
    </w:p>
    <w:p w14:paraId="7E09BC56">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10.3供应商应仔细阅读</w:t>
      </w:r>
      <w:r>
        <w:rPr>
          <w:rFonts w:hint="eastAsia" w:ascii="宋体" w:hAnsi="宋体" w:eastAsia="宋体" w:cs="宋体"/>
          <w:bCs/>
          <w:color w:val="auto"/>
          <w:sz w:val="24"/>
          <w:highlight w:val="none"/>
        </w:rPr>
        <w:t>磋商</w:t>
      </w:r>
      <w:r>
        <w:rPr>
          <w:rFonts w:hint="eastAsia" w:ascii="宋体" w:hAnsi="宋体" w:eastAsia="宋体" w:cs="宋体"/>
          <w:color w:val="auto"/>
          <w:sz w:val="24"/>
          <w:highlight w:val="none"/>
        </w:rPr>
        <w:t>文件的全部内容，按照</w:t>
      </w:r>
      <w:r>
        <w:rPr>
          <w:rFonts w:hint="eastAsia" w:ascii="宋体" w:hAnsi="宋体" w:eastAsia="宋体" w:cs="宋体"/>
          <w:bCs/>
          <w:color w:val="auto"/>
          <w:sz w:val="24"/>
          <w:highlight w:val="none"/>
        </w:rPr>
        <w:t>磋商</w:t>
      </w:r>
      <w:r>
        <w:rPr>
          <w:rFonts w:hint="eastAsia" w:ascii="宋体" w:hAnsi="宋体" w:eastAsia="宋体" w:cs="宋体"/>
          <w:color w:val="auto"/>
          <w:sz w:val="24"/>
          <w:highlight w:val="none"/>
        </w:rPr>
        <w:t>文件要求编制响应文件。任何对</w:t>
      </w:r>
      <w:r>
        <w:rPr>
          <w:rFonts w:hint="eastAsia" w:ascii="宋体" w:hAnsi="宋体" w:eastAsia="宋体" w:cs="宋体"/>
          <w:bCs/>
          <w:color w:val="auto"/>
          <w:sz w:val="24"/>
          <w:highlight w:val="none"/>
        </w:rPr>
        <w:t>磋商</w:t>
      </w:r>
      <w:r>
        <w:rPr>
          <w:rFonts w:hint="eastAsia" w:ascii="宋体" w:hAnsi="宋体" w:eastAsia="宋体" w:cs="宋体"/>
          <w:color w:val="auto"/>
          <w:sz w:val="24"/>
          <w:highlight w:val="none"/>
        </w:rPr>
        <w:t>文件的忽略或误解不能作为响应文件存在缺陷或瑕疵的理由，其风险由供应商承担。</w:t>
      </w:r>
    </w:p>
    <w:p w14:paraId="568B2866">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11.磋商文件的提供期限</w:t>
      </w:r>
    </w:p>
    <w:p w14:paraId="3399C652">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11.1磋商文件的提供期限自开始发出之日起不得少于五个工作日。具体提供期限见</w:t>
      </w:r>
      <w:r>
        <w:rPr>
          <w:rFonts w:hint="eastAsia" w:ascii="宋体" w:hAnsi="宋体" w:eastAsia="宋体" w:cs="宋体"/>
          <w:b/>
          <w:color w:val="auto"/>
          <w:sz w:val="24"/>
          <w:highlight w:val="none"/>
        </w:rPr>
        <w:t>磋商文件前附表</w:t>
      </w:r>
      <w:r>
        <w:rPr>
          <w:rFonts w:hint="eastAsia" w:ascii="宋体" w:hAnsi="宋体" w:eastAsia="宋体" w:cs="宋体"/>
          <w:color w:val="auto"/>
          <w:sz w:val="24"/>
          <w:highlight w:val="none"/>
        </w:rPr>
        <w:t>。</w:t>
      </w:r>
    </w:p>
    <w:p w14:paraId="2D59F588">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11.2供应商应持</w:t>
      </w:r>
      <w:r>
        <w:rPr>
          <w:rFonts w:hint="eastAsia" w:ascii="宋体" w:hAnsi="宋体" w:eastAsia="宋体" w:cs="宋体"/>
          <w:b/>
          <w:color w:val="auto"/>
          <w:sz w:val="24"/>
          <w:highlight w:val="none"/>
        </w:rPr>
        <w:t>磋商文件前附表</w:t>
      </w:r>
      <w:r>
        <w:rPr>
          <w:rFonts w:hint="eastAsia" w:ascii="宋体" w:hAnsi="宋体" w:eastAsia="宋体" w:cs="宋体"/>
          <w:color w:val="auto"/>
          <w:sz w:val="24"/>
          <w:highlight w:val="none"/>
        </w:rPr>
        <w:t>规定的资料领取磋商文件。</w:t>
      </w:r>
    </w:p>
    <w:p w14:paraId="6F2D2FA8">
      <w:pPr>
        <w:pStyle w:val="14"/>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hAnsi="宋体" w:eastAsia="宋体" w:cs="宋体"/>
          <w:color w:val="auto"/>
          <w:sz w:val="24"/>
          <w:szCs w:val="24"/>
          <w:highlight w:val="none"/>
        </w:rPr>
      </w:pPr>
      <w:r>
        <w:rPr>
          <w:rFonts w:hint="eastAsia" w:hAnsi="宋体" w:eastAsia="宋体" w:cs="宋体"/>
          <w:b/>
          <w:color w:val="auto"/>
          <w:sz w:val="24"/>
          <w:szCs w:val="24"/>
          <w:highlight w:val="none"/>
        </w:rPr>
        <w:t>12.</w:t>
      </w:r>
      <w:r>
        <w:rPr>
          <w:rFonts w:hint="eastAsia" w:hAnsi="宋体" w:eastAsia="宋体" w:cs="宋体"/>
          <w:b/>
          <w:color w:val="auto"/>
          <w:kern w:val="0"/>
          <w:sz w:val="24"/>
          <w:szCs w:val="24"/>
          <w:highlight w:val="none"/>
        </w:rPr>
        <w:t>提交首次响应文件</w:t>
      </w:r>
      <w:r>
        <w:rPr>
          <w:rFonts w:hint="eastAsia" w:hAnsi="宋体" w:eastAsia="宋体" w:cs="宋体"/>
          <w:b/>
          <w:color w:val="auto"/>
          <w:sz w:val="24"/>
          <w:szCs w:val="24"/>
          <w:highlight w:val="none"/>
        </w:rPr>
        <w:t>的</w:t>
      </w:r>
      <w:r>
        <w:rPr>
          <w:rFonts w:hint="eastAsia" w:hAnsi="宋体" w:eastAsia="宋体" w:cs="宋体"/>
          <w:b/>
          <w:color w:val="auto"/>
          <w:kern w:val="0"/>
          <w:sz w:val="24"/>
          <w:szCs w:val="24"/>
          <w:highlight w:val="none"/>
        </w:rPr>
        <w:t>截止</w:t>
      </w:r>
      <w:r>
        <w:rPr>
          <w:rFonts w:hint="eastAsia" w:hAnsi="宋体" w:eastAsia="宋体" w:cs="宋体"/>
          <w:b/>
          <w:color w:val="auto"/>
          <w:sz w:val="24"/>
          <w:szCs w:val="24"/>
          <w:highlight w:val="none"/>
        </w:rPr>
        <w:t>时间</w:t>
      </w:r>
    </w:p>
    <w:p w14:paraId="338A2449">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12.1</w:t>
      </w:r>
      <w:r>
        <w:rPr>
          <w:rFonts w:hint="eastAsia" w:hAnsi="宋体" w:eastAsia="宋体" w:cs="宋体"/>
          <w:color w:val="auto"/>
          <w:kern w:val="0"/>
          <w:sz w:val="24"/>
          <w:szCs w:val="24"/>
          <w:highlight w:val="none"/>
        </w:rPr>
        <w:t>供应商提交首次响应文件截止</w:t>
      </w:r>
      <w:r>
        <w:rPr>
          <w:rFonts w:hint="eastAsia" w:hAnsi="宋体" w:eastAsia="宋体" w:cs="宋体"/>
          <w:color w:val="auto"/>
          <w:sz w:val="24"/>
          <w:szCs w:val="24"/>
          <w:highlight w:val="none"/>
        </w:rPr>
        <w:t>时间见</w:t>
      </w:r>
      <w:r>
        <w:rPr>
          <w:rFonts w:hint="eastAsia" w:hAnsi="宋体" w:eastAsia="宋体" w:cs="宋体"/>
          <w:b/>
          <w:color w:val="auto"/>
          <w:sz w:val="24"/>
          <w:szCs w:val="24"/>
          <w:highlight w:val="none"/>
        </w:rPr>
        <w:t>磋商须知前附表</w:t>
      </w:r>
      <w:r>
        <w:rPr>
          <w:rFonts w:hint="eastAsia" w:hAnsi="宋体" w:eastAsia="宋体" w:cs="宋体"/>
          <w:color w:val="auto"/>
          <w:sz w:val="24"/>
          <w:szCs w:val="24"/>
          <w:highlight w:val="none"/>
        </w:rPr>
        <w:t>。</w:t>
      </w:r>
    </w:p>
    <w:p w14:paraId="559EDFDB">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13.磋商文件的澄清</w:t>
      </w:r>
      <w:r>
        <w:rPr>
          <w:rFonts w:hint="eastAsia" w:ascii="宋体" w:hAnsi="宋体" w:eastAsia="宋体" w:cs="宋体"/>
          <w:b/>
          <w:color w:val="auto"/>
          <w:kern w:val="0"/>
          <w:sz w:val="24"/>
          <w:highlight w:val="none"/>
          <w:lang w:val="zh-CN"/>
        </w:rPr>
        <w:t>或者</w:t>
      </w:r>
      <w:r>
        <w:rPr>
          <w:rFonts w:hint="eastAsia" w:ascii="宋体" w:hAnsi="宋体" w:eastAsia="宋体" w:cs="宋体"/>
          <w:b/>
          <w:bCs/>
          <w:color w:val="auto"/>
          <w:sz w:val="24"/>
          <w:highlight w:val="none"/>
        </w:rPr>
        <w:t>修改</w:t>
      </w:r>
    </w:p>
    <w:p w14:paraId="4AFEBE82">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13.1在</w:t>
      </w:r>
      <w:r>
        <w:rPr>
          <w:rFonts w:hint="eastAsia" w:ascii="宋体" w:hAnsi="宋体" w:eastAsia="宋体" w:cs="宋体"/>
          <w:color w:val="auto"/>
          <w:kern w:val="0"/>
          <w:sz w:val="24"/>
          <w:highlight w:val="none"/>
        </w:rPr>
        <w:t>提交首次响应文件截止之日前，采购人、采购代理机构可以对已发出的磋商文件进行必要的澄清或者修改。</w:t>
      </w:r>
    </w:p>
    <w:p w14:paraId="29DF54EC">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13.2</w:t>
      </w:r>
      <w:r>
        <w:rPr>
          <w:rFonts w:hint="eastAsia" w:ascii="宋体" w:hAnsi="宋体" w:eastAsia="宋体" w:cs="宋体"/>
          <w:color w:val="auto"/>
          <w:kern w:val="0"/>
          <w:sz w:val="24"/>
          <w:highlight w:val="none"/>
        </w:rPr>
        <w:t>澄清或者修改的内容可能影响响应文件编制的，采购人、采购代理机构应当在提交首次响应文件截止之日5个工作日前，以书面形式通知所有接收磋商文件的供应商，不足5个工作日的，顺延供应商提交首次响应文件截止时间。</w:t>
      </w:r>
    </w:p>
    <w:p w14:paraId="77C9B773">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13.2</w:t>
      </w:r>
      <w:r>
        <w:rPr>
          <w:rFonts w:hint="eastAsia" w:hAnsi="宋体" w:eastAsia="宋体" w:cs="宋体"/>
          <w:color w:val="auto"/>
          <w:kern w:val="0"/>
          <w:sz w:val="24"/>
          <w:szCs w:val="24"/>
          <w:highlight w:val="none"/>
        </w:rPr>
        <w:t>提交首次响应文件截止时间前对磋商文件澄清或者修改内容，为磋商文件的组成部分。</w:t>
      </w:r>
    </w:p>
    <w:p w14:paraId="108FAF31">
      <w:pPr>
        <w:keepNext w:val="0"/>
        <w:keepLines w:val="0"/>
        <w:pageBreakBefore w:val="0"/>
        <w:kinsoku/>
        <w:wordWrap/>
        <w:overflowPunct/>
        <w:topLinePunct w:val="0"/>
        <w:autoSpaceDE/>
        <w:bidi w:val="0"/>
        <w:adjustRightInd w:val="0"/>
        <w:snapToGrid w:val="0"/>
        <w:spacing w:line="380" w:lineRule="exact"/>
        <w:ind w:left="0" w:right="0" w:rightChars="0" w:hanging="906" w:hangingChars="376"/>
        <w:textAlignment w:val="auto"/>
        <w:outlineLvl w:val="9"/>
        <w:rPr>
          <w:rFonts w:hint="eastAsia" w:ascii="宋体" w:hAnsi="宋体" w:eastAsia="宋体" w:cs="宋体"/>
          <w:b/>
          <w:bCs/>
          <w:color w:val="auto"/>
          <w:sz w:val="24"/>
          <w:highlight w:val="none"/>
        </w:rPr>
      </w:pPr>
    </w:p>
    <w:p w14:paraId="73409A61">
      <w:pPr>
        <w:keepNext w:val="0"/>
        <w:keepLines w:val="0"/>
        <w:pageBreakBefore w:val="0"/>
        <w:kinsoku/>
        <w:wordWrap/>
        <w:overflowPunct/>
        <w:topLinePunct w:val="0"/>
        <w:autoSpaceDE/>
        <w:bidi w:val="0"/>
        <w:adjustRightInd w:val="0"/>
        <w:snapToGrid w:val="0"/>
        <w:spacing w:line="380" w:lineRule="exact"/>
        <w:ind w:left="0" w:right="0" w:rightChars="0" w:hanging="906" w:hangingChars="376"/>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三、响应文件</w:t>
      </w:r>
    </w:p>
    <w:p w14:paraId="106F6231">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14.一般要求</w:t>
      </w:r>
    </w:p>
    <w:p w14:paraId="1C16BB75">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14.1 供应商应仔细阅读磋商文件的所有内容，按磋商文件的要求编制响应文件，并保证所提供的全部资料的真实性，以使其响应文件对磋商文件做出实质性的响应。</w:t>
      </w:r>
    </w:p>
    <w:p w14:paraId="2F224030">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14.2 </w:t>
      </w:r>
      <w:r>
        <w:rPr>
          <w:rFonts w:hint="eastAsia" w:ascii="宋体" w:hAnsi="宋体" w:eastAsia="宋体" w:cs="宋体"/>
          <w:color w:val="auto"/>
          <w:sz w:val="24"/>
          <w:highlight w:val="none"/>
        </w:rPr>
        <w:t>供应商提交的响应文件及供应商与采购人或采购代理机构、磋商小组就有关磋商的所有来往函电均使用中文。供应商可以提交其它语言的资料，但应附中文注释，在有差异时以中文为准。</w:t>
      </w:r>
    </w:p>
    <w:p w14:paraId="50052C41">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bCs/>
          <w:color w:val="auto"/>
          <w:sz w:val="24"/>
          <w:szCs w:val="24"/>
          <w:highlight w:val="none"/>
        </w:rPr>
        <w:t xml:space="preserve">14.3 </w:t>
      </w:r>
      <w:r>
        <w:rPr>
          <w:rFonts w:hint="eastAsia" w:hAnsi="宋体" w:eastAsia="宋体" w:cs="宋体"/>
          <w:color w:val="auto"/>
          <w:sz w:val="24"/>
          <w:szCs w:val="24"/>
          <w:highlight w:val="none"/>
        </w:rPr>
        <w:t>计量单位应使用我国法定计量单位，未列明时应默认为我国法定计量单位。</w:t>
      </w:r>
    </w:p>
    <w:p w14:paraId="717FAA01">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14.4 响应文件应采用书面形式，电报、传真、电子邮件形式的响应文件概不接受。</w:t>
      </w:r>
    </w:p>
    <w:p w14:paraId="49A9D3E3">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14.5 供应商应按磋商文件中提供的响应文件格式填写。</w:t>
      </w:r>
    </w:p>
    <w:p w14:paraId="1332781F">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w:t>
      </w:r>
      <w:r>
        <w:rPr>
          <w:rFonts w:hint="eastAsia" w:ascii="宋体" w:hAnsi="宋体" w:eastAsia="宋体" w:cs="宋体"/>
          <w:b/>
          <w:color w:val="auto"/>
          <w:sz w:val="24"/>
          <w:highlight w:val="none"/>
        </w:rPr>
        <w:t>响应文件</w:t>
      </w:r>
      <w:r>
        <w:rPr>
          <w:rFonts w:hint="eastAsia" w:ascii="宋体" w:hAnsi="宋体" w:eastAsia="宋体" w:cs="宋体"/>
          <w:b/>
          <w:bCs/>
          <w:color w:val="auto"/>
          <w:sz w:val="24"/>
          <w:highlight w:val="none"/>
        </w:rPr>
        <w:t>的组成</w:t>
      </w:r>
    </w:p>
    <w:p w14:paraId="1236E9C6">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15.1响应文件包括下列内容：</w:t>
      </w:r>
    </w:p>
    <w:p w14:paraId="5FB3005C">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（1)、磋商响应声明</w:t>
      </w:r>
    </w:p>
    <w:p w14:paraId="7121A26F">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（2)、湖南省政府采购供应商资格承诺函（格式）</w:t>
      </w:r>
    </w:p>
    <w:p w14:paraId="3261746F">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（3)、磋商保证金缴纳证明材料</w:t>
      </w:r>
    </w:p>
    <w:p w14:paraId="5FBCA6C1">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（4)、联合体协议(格式)</w:t>
      </w:r>
    </w:p>
    <w:p w14:paraId="6356318C">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（5)、供应商的资格证明资料</w:t>
      </w:r>
    </w:p>
    <w:p w14:paraId="7CB7B63A">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（6)、技术方案</w:t>
      </w:r>
    </w:p>
    <w:p w14:paraId="2ED6BE44">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（7)、技术/商务响应与偏离表</w:t>
      </w:r>
    </w:p>
    <w:p w14:paraId="7F4DFF74">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（8)、提供享受政府采购政策的证明资料和清单表</w:t>
      </w:r>
    </w:p>
    <w:p w14:paraId="6E4E13A7">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（9)、报价一览表及分项价格表</w:t>
      </w:r>
    </w:p>
    <w:p w14:paraId="4454DA17">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(10)、供应商认为需提供的其它资料</w:t>
      </w:r>
    </w:p>
    <w:p w14:paraId="063F77E8">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15.2在磋商过程中，供应商根据</w:t>
      </w:r>
      <w:r>
        <w:rPr>
          <w:rFonts w:hint="eastAsia" w:ascii="宋体" w:hAnsi="宋体" w:eastAsia="宋体" w:cs="宋体"/>
          <w:color w:val="auto"/>
          <w:kern w:val="0"/>
          <w:sz w:val="24"/>
          <w:highlight w:val="none"/>
        </w:rPr>
        <w:t>磋商小组</w:t>
      </w:r>
      <w:r>
        <w:rPr>
          <w:rFonts w:hint="eastAsia" w:ascii="宋体" w:hAnsi="宋体" w:eastAsia="宋体" w:cs="宋体"/>
          <w:bCs/>
          <w:color w:val="auto"/>
          <w:sz w:val="24"/>
          <w:highlight w:val="none"/>
        </w:rPr>
        <w:t>书面形式要求</w:t>
      </w:r>
      <w:r>
        <w:rPr>
          <w:rFonts w:hint="eastAsia" w:ascii="宋体" w:hAnsi="宋体" w:eastAsia="宋体" w:cs="宋体"/>
          <w:color w:val="auto"/>
          <w:kern w:val="0"/>
          <w:sz w:val="24"/>
          <w:highlight w:val="none"/>
        </w:rPr>
        <w:t>提交的</w:t>
      </w:r>
      <w:r>
        <w:rPr>
          <w:rFonts w:hint="eastAsia" w:ascii="宋体" w:hAnsi="宋体" w:eastAsia="宋体" w:cs="宋体"/>
          <w:color w:val="auto"/>
          <w:sz w:val="24"/>
          <w:highlight w:val="none"/>
        </w:rPr>
        <w:t>最后报价(或者</w:t>
      </w:r>
      <w:r>
        <w:rPr>
          <w:rFonts w:hint="eastAsia" w:ascii="宋体" w:hAnsi="宋体" w:eastAsia="宋体" w:cs="宋体"/>
          <w:bCs/>
          <w:color w:val="auto"/>
          <w:sz w:val="24"/>
          <w:highlight w:val="none"/>
        </w:rPr>
        <w:t>重</w:t>
      </w:r>
      <w:r>
        <w:rPr>
          <w:rFonts w:hint="eastAsia" w:ascii="宋体" w:hAnsi="宋体" w:eastAsia="宋体" w:cs="宋体"/>
          <w:color w:val="auto"/>
          <w:kern w:val="0"/>
          <w:sz w:val="24"/>
          <w:highlight w:val="none"/>
        </w:rPr>
        <w:t>新提交的响应文件和</w:t>
      </w:r>
      <w:r>
        <w:rPr>
          <w:rFonts w:hint="eastAsia" w:ascii="宋体" w:hAnsi="宋体" w:eastAsia="宋体" w:cs="宋体"/>
          <w:color w:val="auto"/>
          <w:sz w:val="24"/>
          <w:highlight w:val="none"/>
        </w:rPr>
        <w:t>最后报价)是响应文件的有效组成部分。</w:t>
      </w:r>
    </w:p>
    <w:p w14:paraId="4BE7A0B3">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b/>
          <w:color w:val="auto"/>
          <w:sz w:val="24"/>
          <w:highlight w:val="none"/>
        </w:rPr>
      </w:pPr>
      <w:r>
        <w:rPr>
          <w:rFonts w:hint="eastAsia" w:ascii="宋体" w:hAnsi="宋体" w:eastAsia="宋体" w:cs="宋体"/>
          <w:color w:val="auto"/>
          <w:sz w:val="24"/>
          <w:highlight w:val="none"/>
        </w:rPr>
        <w:t>15.3</w:t>
      </w:r>
      <w:r>
        <w:rPr>
          <w:rFonts w:hint="eastAsia" w:ascii="宋体" w:hAnsi="宋体" w:eastAsia="宋体" w:cs="宋体"/>
          <w:color w:val="auto"/>
          <w:kern w:val="0"/>
          <w:sz w:val="24"/>
          <w:highlight w:val="none"/>
        </w:rPr>
        <w:t>磋商文件规定可能发生实质性变动的，供应商应当在</w:t>
      </w:r>
      <w:r>
        <w:rPr>
          <w:rFonts w:hint="eastAsia" w:ascii="宋体" w:hAnsi="宋体" w:eastAsia="宋体" w:cs="宋体"/>
          <w:color w:val="auto"/>
          <w:sz w:val="24"/>
          <w:highlight w:val="none"/>
        </w:rPr>
        <w:t>《技术/商务响应与偏离表》中对应内容注明。</w:t>
      </w:r>
    </w:p>
    <w:p w14:paraId="100CCD52">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15.4根据《政府采购法》第四十二条的规定，供应商无论成交与否，其响应文件不予退还。</w:t>
      </w:r>
    </w:p>
    <w:p w14:paraId="562D718B">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16.报价</w:t>
      </w:r>
    </w:p>
    <w:p w14:paraId="2869C886">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16.1供应商应当根据磋商文件要求和范围，以</w:t>
      </w:r>
      <w:r>
        <w:rPr>
          <w:rFonts w:hint="eastAsia" w:ascii="宋体" w:hAnsi="宋体" w:eastAsia="宋体" w:cs="宋体"/>
          <w:bCs/>
          <w:color w:val="auto"/>
          <w:sz w:val="24"/>
          <w:highlight w:val="none"/>
        </w:rPr>
        <w:t>人民币</w:t>
      </w:r>
      <w:r>
        <w:rPr>
          <w:rFonts w:hint="eastAsia" w:ascii="宋体" w:hAnsi="宋体" w:eastAsia="宋体" w:cs="宋体"/>
          <w:color w:val="auto"/>
          <w:sz w:val="24"/>
          <w:highlight w:val="none"/>
        </w:rPr>
        <w:t>报价，以元为单位，保留小数点后两位。</w:t>
      </w:r>
    </w:p>
    <w:p w14:paraId="7D3E8D26">
      <w:pPr>
        <w:pStyle w:val="48"/>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16.2供应商应按第六章响应文件组成格式填写。</w:t>
      </w:r>
    </w:p>
    <w:p w14:paraId="63B9EE27">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16.3响应文件中标明的价格在合同执行过程中是固定不变的，不得以任何理由予以变更。以可变动价格提交的报价将被认为是非实质响应而被拒绝。</w:t>
      </w:r>
    </w:p>
    <w:p w14:paraId="6EF2380A">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16.4</w:t>
      </w:r>
      <w:r>
        <w:rPr>
          <w:rFonts w:hint="eastAsia" w:hAnsi="宋体" w:eastAsia="宋体" w:cs="宋体"/>
          <w:color w:val="auto"/>
          <w:kern w:val="0"/>
          <w:sz w:val="24"/>
          <w:szCs w:val="24"/>
          <w:highlight w:val="none"/>
          <w:lang w:val="zh-CN"/>
        </w:rPr>
        <w:t>供应商</w:t>
      </w:r>
      <w:r>
        <w:rPr>
          <w:rFonts w:hint="eastAsia" w:hAnsi="宋体" w:eastAsia="宋体" w:cs="宋体"/>
          <w:color w:val="auto"/>
          <w:sz w:val="24"/>
          <w:szCs w:val="24"/>
          <w:highlight w:val="none"/>
        </w:rPr>
        <w:t>的报价不得超过采购项目预算，采购项目预算或其计算方法见</w:t>
      </w:r>
      <w:r>
        <w:rPr>
          <w:rFonts w:hint="eastAsia" w:hAnsi="宋体" w:eastAsia="宋体" w:cs="宋体"/>
          <w:b/>
          <w:color w:val="auto"/>
          <w:sz w:val="24"/>
          <w:szCs w:val="24"/>
          <w:highlight w:val="none"/>
        </w:rPr>
        <w:t>磋商须知前附表</w:t>
      </w:r>
      <w:r>
        <w:rPr>
          <w:rFonts w:hint="eastAsia" w:hAnsi="宋体" w:eastAsia="宋体" w:cs="宋体"/>
          <w:color w:val="auto"/>
          <w:sz w:val="24"/>
          <w:szCs w:val="24"/>
          <w:highlight w:val="none"/>
        </w:rPr>
        <w:t>。</w:t>
      </w:r>
    </w:p>
    <w:p w14:paraId="5D5CCAB9">
      <w:pPr>
        <w:pStyle w:val="14"/>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hAnsi="宋体" w:eastAsia="宋体" w:cs="宋体"/>
          <w:b/>
          <w:color w:val="auto"/>
          <w:sz w:val="24"/>
          <w:szCs w:val="24"/>
          <w:highlight w:val="none"/>
        </w:rPr>
      </w:pPr>
      <w:r>
        <w:rPr>
          <w:rFonts w:hint="eastAsia" w:hAnsi="宋体" w:eastAsia="宋体" w:cs="宋体"/>
          <w:b/>
          <w:color w:val="auto"/>
          <w:sz w:val="24"/>
          <w:szCs w:val="24"/>
          <w:highlight w:val="none"/>
        </w:rPr>
        <w:t>17.供应商符合磋商文件规定的证明文件</w:t>
      </w:r>
    </w:p>
    <w:p w14:paraId="4BD9F50C">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17.1供应商应提交满足本章第3.1款规定的资格条件要求的证明文件,该证明文件作为响应文件的一部分。</w:t>
      </w:r>
    </w:p>
    <w:p w14:paraId="039A9F09">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17.2如果供应商为联合体，则应提交联合体各方响应文件、联合体协议。否则，在评审时将其视为无效响应。</w:t>
      </w:r>
    </w:p>
    <w:p w14:paraId="5DD3CF4B">
      <w:pPr>
        <w:keepNext w:val="0"/>
        <w:keepLines w:val="0"/>
        <w:pageBreakBefore w:val="0"/>
        <w:kinsoku/>
        <w:wordWrap/>
        <w:overflowPunct/>
        <w:topLinePunct w:val="0"/>
        <w:autoSpaceDE/>
        <w:bidi w:val="0"/>
        <w:adjustRightInd w:val="0"/>
        <w:snapToGrid w:val="0"/>
        <w:spacing w:line="380" w:lineRule="exact"/>
        <w:ind w:left="0" w:right="0" w:rightChars="0" w:firstLine="482"/>
        <w:jc w:val="left"/>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18．样品提供</w:t>
      </w:r>
    </w:p>
    <w:p w14:paraId="21C464D6">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18.1 本项目不需要提交样品。</w:t>
      </w:r>
    </w:p>
    <w:p w14:paraId="065D3180">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19.磋商保证金</w:t>
      </w:r>
    </w:p>
    <w:p w14:paraId="4040A11D">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bCs/>
          <w:color w:val="auto"/>
          <w:sz w:val="24"/>
          <w:szCs w:val="24"/>
          <w:highlight w:val="none"/>
        </w:rPr>
      </w:pPr>
      <w:r>
        <w:rPr>
          <w:rFonts w:hint="eastAsia" w:hAnsi="宋体" w:eastAsia="宋体" w:cs="宋体"/>
          <w:color w:val="auto"/>
          <w:sz w:val="24"/>
          <w:szCs w:val="24"/>
          <w:highlight w:val="none"/>
        </w:rPr>
        <w:t>19.1</w:t>
      </w:r>
      <w:r>
        <w:rPr>
          <w:rFonts w:hint="eastAsia" w:hAnsi="宋体" w:eastAsia="宋体" w:cs="宋体"/>
          <w:b/>
          <w:color w:val="auto"/>
          <w:sz w:val="24"/>
          <w:szCs w:val="24"/>
          <w:highlight w:val="none"/>
        </w:rPr>
        <w:t>磋商须知前附表</w:t>
      </w:r>
      <w:r>
        <w:rPr>
          <w:rFonts w:hint="eastAsia" w:hAnsi="宋体" w:eastAsia="宋体" w:cs="宋体"/>
          <w:color w:val="auto"/>
          <w:sz w:val="24"/>
          <w:szCs w:val="24"/>
          <w:highlight w:val="none"/>
        </w:rPr>
        <w:t>规定交纳磋商</w:t>
      </w:r>
      <w:r>
        <w:rPr>
          <w:rFonts w:hint="eastAsia" w:hAnsi="宋体" w:eastAsia="宋体" w:cs="宋体"/>
          <w:bCs/>
          <w:color w:val="auto"/>
          <w:sz w:val="24"/>
          <w:szCs w:val="24"/>
          <w:highlight w:val="none"/>
        </w:rPr>
        <w:t>保证金的</w:t>
      </w:r>
      <w:r>
        <w:rPr>
          <w:rFonts w:hint="eastAsia" w:hAnsi="宋体" w:eastAsia="宋体" w:cs="宋体"/>
          <w:color w:val="auto"/>
          <w:sz w:val="24"/>
          <w:szCs w:val="24"/>
          <w:highlight w:val="none"/>
        </w:rPr>
        <w:t>，应按</w:t>
      </w:r>
      <w:r>
        <w:rPr>
          <w:rFonts w:hint="eastAsia" w:hAnsi="宋体" w:eastAsia="宋体" w:cs="宋体"/>
          <w:b/>
          <w:color w:val="auto"/>
          <w:sz w:val="24"/>
          <w:szCs w:val="24"/>
          <w:highlight w:val="none"/>
        </w:rPr>
        <w:t>磋商须知前附表</w:t>
      </w:r>
      <w:r>
        <w:rPr>
          <w:rFonts w:hint="eastAsia" w:hAnsi="宋体" w:eastAsia="宋体" w:cs="宋体"/>
          <w:color w:val="auto"/>
          <w:sz w:val="24"/>
          <w:szCs w:val="24"/>
          <w:highlight w:val="none"/>
        </w:rPr>
        <w:t>规定的磋商</w:t>
      </w:r>
      <w:r>
        <w:rPr>
          <w:rFonts w:hint="eastAsia" w:hAnsi="宋体" w:eastAsia="宋体" w:cs="宋体"/>
          <w:bCs/>
          <w:color w:val="auto"/>
          <w:sz w:val="24"/>
          <w:szCs w:val="24"/>
          <w:highlight w:val="none"/>
        </w:rPr>
        <w:t>保证金形式交纳，不得以现金方式交纳</w:t>
      </w:r>
      <w:r>
        <w:rPr>
          <w:rFonts w:hint="eastAsia" w:hAnsi="宋体" w:eastAsia="宋体" w:cs="宋体"/>
          <w:color w:val="auto"/>
          <w:sz w:val="24"/>
          <w:szCs w:val="24"/>
          <w:highlight w:val="none"/>
        </w:rPr>
        <w:t>，在</w:t>
      </w:r>
      <w:r>
        <w:rPr>
          <w:rFonts w:hint="eastAsia" w:hAnsi="宋体" w:eastAsia="宋体" w:cs="宋体"/>
          <w:color w:val="auto"/>
          <w:kern w:val="0"/>
          <w:sz w:val="24"/>
          <w:szCs w:val="24"/>
          <w:highlight w:val="none"/>
        </w:rPr>
        <w:t>提交首次响应文件截止时间</w:t>
      </w:r>
      <w:r>
        <w:rPr>
          <w:rFonts w:hint="eastAsia" w:hAnsi="宋体" w:eastAsia="宋体" w:cs="宋体"/>
          <w:color w:val="auto"/>
          <w:sz w:val="24"/>
          <w:szCs w:val="24"/>
          <w:highlight w:val="none"/>
        </w:rPr>
        <w:t>前，</w:t>
      </w:r>
      <w:r>
        <w:rPr>
          <w:rFonts w:hint="eastAsia" w:hAnsi="宋体" w:eastAsia="宋体" w:cs="宋体"/>
          <w:bCs/>
          <w:color w:val="auto"/>
          <w:sz w:val="24"/>
          <w:szCs w:val="24"/>
          <w:highlight w:val="none"/>
        </w:rPr>
        <w:t>向采购代理机构交纳不超过</w:t>
      </w:r>
      <w:r>
        <w:rPr>
          <w:rFonts w:hint="eastAsia" w:hAnsi="宋体" w:eastAsia="宋体" w:cs="宋体"/>
          <w:color w:val="auto"/>
          <w:kern w:val="0"/>
          <w:sz w:val="24"/>
          <w:szCs w:val="24"/>
          <w:highlight w:val="none"/>
          <w:lang w:val="zh-CN"/>
        </w:rPr>
        <w:t>采购项目预算2﹪</w:t>
      </w:r>
      <w:r>
        <w:rPr>
          <w:rFonts w:hint="eastAsia" w:hAnsi="宋体" w:eastAsia="宋体" w:cs="宋体"/>
          <w:bCs/>
          <w:color w:val="auto"/>
          <w:sz w:val="24"/>
          <w:szCs w:val="24"/>
          <w:highlight w:val="none"/>
        </w:rPr>
        <w:t>的磋商保证金(数额采用四舍五入，计算至元)</w:t>
      </w:r>
      <w:r>
        <w:rPr>
          <w:rFonts w:hint="eastAsia" w:hAnsi="宋体" w:eastAsia="宋体" w:cs="宋体"/>
          <w:color w:val="auto"/>
          <w:sz w:val="24"/>
          <w:szCs w:val="24"/>
          <w:highlight w:val="none"/>
        </w:rPr>
        <w:t>。磋商</w:t>
      </w:r>
      <w:r>
        <w:rPr>
          <w:rFonts w:hint="eastAsia" w:hAnsi="宋体" w:eastAsia="宋体" w:cs="宋体"/>
          <w:bCs/>
          <w:color w:val="auto"/>
          <w:sz w:val="24"/>
          <w:szCs w:val="24"/>
          <w:highlight w:val="none"/>
        </w:rPr>
        <w:t>保证金有效期应当与</w:t>
      </w:r>
      <w:r>
        <w:rPr>
          <w:rFonts w:hint="eastAsia" w:hAnsi="宋体" w:eastAsia="宋体" w:cs="宋体"/>
          <w:color w:val="auto"/>
          <w:sz w:val="24"/>
          <w:szCs w:val="24"/>
          <w:highlight w:val="none"/>
        </w:rPr>
        <w:t>本章第20.1</w:t>
      </w:r>
      <w:r>
        <w:rPr>
          <w:rFonts w:hint="eastAsia" w:hAnsi="宋体" w:eastAsia="宋体" w:cs="宋体"/>
          <w:color w:val="auto"/>
          <w:kern w:val="0"/>
          <w:sz w:val="24"/>
          <w:szCs w:val="24"/>
          <w:highlight w:val="none"/>
          <w:lang w:val="zh-CN"/>
        </w:rPr>
        <w:t>款</w:t>
      </w:r>
      <w:r>
        <w:rPr>
          <w:rFonts w:hint="eastAsia" w:hAnsi="宋体" w:eastAsia="宋体" w:cs="宋体"/>
          <w:color w:val="auto"/>
          <w:sz w:val="24"/>
          <w:szCs w:val="24"/>
          <w:highlight w:val="none"/>
        </w:rPr>
        <w:t>规定的</w:t>
      </w:r>
      <w:r>
        <w:rPr>
          <w:rFonts w:hint="eastAsia" w:hAnsi="宋体" w:eastAsia="宋体" w:cs="宋体"/>
          <w:bCs/>
          <w:color w:val="auto"/>
          <w:sz w:val="24"/>
          <w:szCs w:val="24"/>
          <w:highlight w:val="none"/>
        </w:rPr>
        <w:t>响应文件有效期一致。</w:t>
      </w:r>
    </w:p>
    <w:p w14:paraId="0A71B66C">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b/>
          <w:color w:val="auto"/>
          <w:sz w:val="24"/>
          <w:highlight w:val="none"/>
        </w:rPr>
      </w:pPr>
      <w:r>
        <w:rPr>
          <w:rFonts w:hint="eastAsia" w:ascii="宋体" w:hAnsi="宋体" w:eastAsia="宋体" w:cs="宋体"/>
          <w:color w:val="auto"/>
          <w:sz w:val="24"/>
          <w:highlight w:val="none"/>
        </w:rPr>
        <w:t>19.2允许联合体响应的，</w:t>
      </w:r>
      <w:r>
        <w:rPr>
          <w:rFonts w:hint="eastAsia" w:ascii="宋体" w:hAnsi="宋体" w:eastAsia="宋体" w:cs="宋体"/>
          <w:color w:val="auto"/>
          <w:kern w:val="0"/>
          <w:sz w:val="24"/>
          <w:highlight w:val="none"/>
          <w:lang w:val="zh-CN"/>
        </w:rPr>
        <w:t>供应商为联合体的，可以由联合体中的一方或者共同交纳磋商保证金，其交纳的磋商保证金，对联合体各方均具有约束力。</w:t>
      </w:r>
    </w:p>
    <w:p w14:paraId="476FFB64">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19.3供应商未按照磋商文件要求提交磋商保证金的，响应无效。</w:t>
      </w:r>
    </w:p>
    <w:p w14:paraId="2E0C00F9">
      <w:pPr>
        <w:pStyle w:val="14"/>
        <w:keepNext w:val="0"/>
        <w:keepLines w:val="0"/>
        <w:pageBreakBefore w:val="0"/>
        <w:tabs>
          <w:tab w:val="left" w:pos="6300"/>
        </w:tabs>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19.4采购代理机构在成交通知书发出后5个工作日内退还未成交供应商的磋商保证金；在采购合同签定后5个工作日内退还成交供应商的磋商保证金，但因供应商自身原因导致无法及时退还的除外。</w:t>
      </w:r>
    </w:p>
    <w:p w14:paraId="1D8E1B8A">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kern w:val="0"/>
          <w:sz w:val="24"/>
          <w:szCs w:val="24"/>
          <w:highlight w:val="none"/>
        </w:rPr>
      </w:pPr>
      <w:r>
        <w:rPr>
          <w:rFonts w:hint="eastAsia" w:hAnsi="宋体" w:eastAsia="宋体" w:cs="宋体"/>
          <w:color w:val="auto"/>
          <w:sz w:val="24"/>
          <w:szCs w:val="24"/>
          <w:highlight w:val="none"/>
        </w:rPr>
        <w:t xml:space="preserve">19.5 </w:t>
      </w:r>
      <w:r>
        <w:rPr>
          <w:rFonts w:hint="eastAsia" w:hAnsi="宋体" w:eastAsia="宋体" w:cs="宋体"/>
          <w:color w:val="auto"/>
          <w:kern w:val="0"/>
          <w:sz w:val="24"/>
          <w:szCs w:val="24"/>
          <w:highlight w:val="none"/>
        </w:rPr>
        <w:t>有下列情形之一的，磋商保证金不予退还，并上缴本级财政国库：</w:t>
      </w:r>
    </w:p>
    <w:p w14:paraId="6FC330C1">
      <w:pPr>
        <w:keepNext w:val="0"/>
        <w:keepLines w:val="0"/>
        <w:pageBreakBefore w:val="0"/>
        <w:widowControl/>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（1）供应商在提交首次响应文件截止时间后撤回响应文件的；</w:t>
      </w:r>
    </w:p>
    <w:p w14:paraId="2E326216">
      <w:pPr>
        <w:keepNext w:val="0"/>
        <w:keepLines w:val="0"/>
        <w:pageBreakBefore w:val="0"/>
        <w:widowControl/>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（2）供应商在响应文件中提供虚假资料的；</w:t>
      </w:r>
    </w:p>
    <w:p w14:paraId="5DE9B723">
      <w:pPr>
        <w:keepNext w:val="0"/>
        <w:keepLines w:val="0"/>
        <w:pageBreakBefore w:val="0"/>
        <w:widowControl/>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r>
        <w:rPr>
          <w:rFonts w:hint="eastAsia" w:ascii="宋体" w:hAnsi="宋体" w:eastAsia="宋体" w:cs="宋体"/>
          <w:color w:val="auto"/>
          <w:sz w:val="24"/>
          <w:highlight w:val="none"/>
        </w:rPr>
        <w:t>确定成交结果后，无正当理由放弃成交资格的；</w:t>
      </w:r>
    </w:p>
    <w:p w14:paraId="6A23AF0D">
      <w:pPr>
        <w:keepNext w:val="0"/>
        <w:keepLines w:val="0"/>
        <w:pageBreakBefore w:val="0"/>
        <w:widowControl/>
        <w:kinsoku/>
        <w:wordWrap/>
        <w:overflowPunct/>
        <w:topLinePunct w:val="0"/>
        <w:autoSpaceDE/>
        <w:bidi w:val="0"/>
        <w:adjustRightInd w:val="0"/>
        <w:snapToGrid w:val="0"/>
        <w:spacing w:line="380" w:lineRule="exact"/>
        <w:ind w:left="0" w:right="0" w:rightChars="0" w:firstLine="600" w:firstLineChars="25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 除因不可抗力或磋商文件认可的情形以外，成交供应商不与采购人签订合同的；</w:t>
      </w:r>
    </w:p>
    <w:p w14:paraId="75FF70CB">
      <w:pPr>
        <w:keepNext w:val="0"/>
        <w:keepLines w:val="0"/>
        <w:pageBreakBefore w:val="0"/>
        <w:widowControl/>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（5）供应商与采购人、其他供应商或者采购代理机构恶意串通的；</w:t>
      </w:r>
    </w:p>
    <w:p w14:paraId="63970B3D">
      <w:pPr>
        <w:keepNext w:val="0"/>
        <w:keepLines w:val="0"/>
        <w:pageBreakBefore w:val="0"/>
        <w:widowControl/>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（6）磋商文件规定的其他情形。</w:t>
      </w:r>
    </w:p>
    <w:p w14:paraId="349707CA">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w:t>
      </w:r>
      <w:r>
        <w:rPr>
          <w:rFonts w:hint="eastAsia" w:ascii="宋体" w:hAnsi="宋体" w:eastAsia="宋体" w:cs="宋体"/>
          <w:b/>
          <w:color w:val="auto"/>
          <w:sz w:val="24"/>
          <w:highlight w:val="none"/>
        </w:rPr>
        <w:t>响应文件有效期</w:t>
      </w:r>
    </w:p>
    <w:p w14:paraId="2112A80D">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20.1响应文件有效期见</w:t>
      </w:r>
      <w:r>
        <w:rPr>
          <w:rFonts w:hint="eastAsia" w:ascii="宋体" w:hAnsi="宋体" w:eastAsia="宋体" w:cs="宋体"/>
          <w:b/>
          <w:color w:val="auto"/>
          <w:sz w:val="24"/>
          <w:highlight w:val="none"/>
        </w:rPr>
        <w:t>磋商须知前附表</w:t>
      </w:r>
      <w:r>
        <w:rPr>
          <w:rFonts w:hint="eastAsia" w:ascii="宋体" w:hAnsi="宋体" w:eastAsia="宋体" w:cs="宋体"/>
          <w:color w:val="auto"/>
          <w:sz w:val="24"/>
          <w:highlight w:val="none"/>
        </w:rPr>
        <w:t>，在此期间响应文件对供应商具有法律约束力，从</w:t>
      </w:r>
      <w:r>
        <w:rPr>
          <w:rFonts w:hint="eastAsia" w:ascii="宋体" w:hAnsi="宋体" w:eastAsia="宋体" w:cs="宋体"/>
          <w:color w:val="auto"/>
          <w:kern w:val="0"/>
          <w:sz w:val="24"/>
          <w:highlight w:val="none"/>
        </w:rPr>
        <w:t>提交首次响应文件截止时间</w:t>
      </w:r>
      <w:r>
        <w:rPr>
          <w:rFonts w:hint="eastAsia" w:ascii="宋体" w:hAnsi="宋体" w:eastAsia="宋体" w:cs="宋体"/>
          <w:color w:val="auto"/>
          <w:sz w:val="24"/>
          <w:highlight w:val="none"/>
        </w:rPr>
        <w:t>之日起计算。响应文件有效期不足的将被视为无效响应。</w:t>
      </w:r>
    </w:p>
    <w:p w14:paraId="63C5C221">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21.响应文件的签署及规定</w:t>
      </w:r>
    </w:p>
    <w:p w14:paraId="34B549CD">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21.1响应文件份数见</w:t>
      </w:r>
      <w:r>
        <w:rPr>
          <w:rFonts w:hint="eastAsia" w:ascii="宋体" w:hAnsi="宋体" w:eastAsia="宋体" w:cs="宋体"/>
          <w:b/>
          <w:color w:val="auto"/>
          <w:sz w:val="24"/>
          <w:highlight w:val="none"/>
        </w:rPr>
        <w:t>磋商须知前附表</w:t>
      </w:r>
      <w:r>
        <w:rPr>
          <w:rFonts w:hint="eastAsia" w:ascii="宋体" w:hAnsi="宋体" w:eastAsia="宋体" w:cs="宋体"/>
          <w:color w:val="auto"/>
          <w:sz w:val="24"/>
          <w:highlight w:val="none"/>
        </w:rPr>
        <w:t>。正本和副本的封面上应标记“正本”或“副本”的字样，当正本和副本有差异时，以正本为准。</w:t>
      </w:r>
    </w:p>
    <w:p w14:paraId="29DD00D6">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21.2响应文件正本和副本应按磋商文件要求签章处盖单位章和由法定代表人或其委托代理人签字；任何加行、涂改、增删，应有法定代表人或其委托代理人在旁边签字。否则，将导致响应文件无效。</w:t>
      </w:r>
    </w:p>
    <w:p w14:paraId="1E75D089">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21.3 在磋商过程中，供应商按磋商文件规定和磋商小组要求</w:t>
      </w:r>
      <w:r>
        <w:rPr>
          <w:rFonts w:hint="eastAsia" w:hAnsi="宋体" w:eastAsia="宋体" w:cs="宋体"/>
          <w:color w:val="auto"/>
          <w:kern w:val="0"/>
          <w:sz w:val="24"/>
          <w:szCs w:val="24"/>
          <w:highlight w:val="none"/>
        </w:rPr>
        <w:t>提交的</w:t>
      </w:r>
      <w:r>
        <w:rPr>
          <w:rFonts w:hint="eastAsia" w:hAnsi="宋体" w:eastAsia="宋体" w:cs="宋体"/>
          <w:color w:val="auto"/>
          <w:sz w:val="24"/>
          <w:szCs w:val="24"/>
          <w:highlight w:val="none"/>
        </w:rPr>
        <w:t>最后报价(或者</w:t>
      </w:r>
      <w:r>
        <w:rPr>
          <w:rFonts w:hint="eastAsia" w:hAnsi="宋体" w:eastAsia="宋体" w:cs="宋体"/>
          <w:bCs/>
          <w:color w:val="auto"/>
          <w:sz w:val="24"/>
          <w:szCs w:val="24"/>
          <w:highlight w:val="none"/>
        </w:rPr>
        <w:t>重</w:t>
      </w:r>
      <w:r>
        <w:rPr>
          <w:rFonts w:hint="eastAsia" w:hAnsi="宋体" w:eastAsia="宋体" w:cs="宋体"/>
          <w:color w:val="auto"/>
          <w:kern w:val="0"/>
          <w:sz w:val="24"/>
          <w:szCs w:val="24"/>
          <w:highlight w:val="none"/>
        </w:rPr>
        <w:t>新提交的响应文件和</w:t>
      </w:r>
      <w:r>
        <w:rPr>
          <w:rFonts w:hint="eastAsia" w:hAnsi="宋体" w:eastAsia="宋体" w:cs="宋体"/>
          <w:color w:val="auto"/>
          <w:sz w:val="24"/>
          <w:szCs w:val="24"/>
          <w:highlight w:val="none"/>
        </w:rPr>
        <w:t>最后报价)，一式两份，可打印或用不退色墨水书写，但需经法定代表人或其委托代理人签字，</w:t>
      </w:r>
      <w:r>
        <w:rPr>
          <w:rFonts w:hint="eastAsia" w:hAnsi="宋体" w:eastAsia="宋体" w:cs="宋体"/>
          <w:color w:val="auto"/>
          <w:kern w:val="0"/>
          <w:sz w:val="24"/>
          <w:szCs w:val="24"/>
          <w:highlight w:val="none"/>
        </w:rPr>
        <w:t>或者加盖供应商单位章</w:t>
      </w:r>
      <w:r>
        <w:rPr>
          <w:rFonts w:hint="eastAsia" w:hAnsi="宋体" w:eastAsia="宋体" w:cs="宋体"/>
          <w:color w:val="auto"/>
          <w:sz w:val="24"/>
          <w:szCs w:val="24"/>
          <w:highlight w:val="none"/>
        </w:rPr>
        <w:t>。否则，将导致响应文件无效。</w:t>
      </w:r>
    </w:p>
    <w:p w14:paraId="28CDD37D">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p>
    <w:p w14:paraId="7B373354">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ascii="宋体" w:hAnsi="宋体" w:eastAsia="宋体" w:cs="宋体"/>
          <w:b/>
          <w:bCs/>
          <w:color w:val="auto"/>
          <w:sz w:val="24"/>
          <w:highlight w:val="none"/>
        </w:rPr>
        <w:t>四、</w:t>
      </w:r>
      <w:r>
        <w:rPr>
          <w:rFonts w:hint="eastAsia" w:ascii="宋体" w:hAnsi="宋体" w:eastAsia="宋体" w:cs="宋体"/>
          <w:b/>
          <w:bCs/>
          <w:color w:val="auto"/>
          <w:sz w:val="24"/>
          <w:highlight w:val="none"/>
        </w:rPr>
        <w:t>响应文件的递交</w:t>
      </w:r>
    </w:p>
    <w:p w14:paraId="0FB92451">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22.</w:t>
      </w:r>
      <w:r>
        <w:rPr>
          <w:rFonts w:hint="eastAsia" w:ascii="宋体" w:hAnsi="宋体" w:eastAsia="宋体" w:cs="宋体"/>
          <w:b/>
          <w:color w:val="auto"/>
          <w:sz w:val="24"/>
          <w:highlight w:val="none"/>
        </w:rPr>
        <w:t>响应文件</w:t>
      </w:r>
      <w:r>
        <w:rPr>
          <w:rFonts w:hint="eastAsia" w:ascii="宋体" w:hAnsi="宋体" w:eastAsia="宋体" w:cs="宋体"/>
          <w:b/>
          <w:bCs/>
          <w:color w:val="auto"/>
          <w:sz w:val="24"/>
          <w:highlight w:val="none"/>
        </w:rPr>
        <w:t>的分包和密封标记</w:t>
      </w:r>
    </w:p>
    <w:p w14:paraId="4CB2E236">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22.1响应文件（正副本、电子文件）应密封包装，加贴封条，并在封套的封口处盖供应商单位章或者由法定代表人或其委托代理人签字。</w:t>
      </w:r>
    </w:p>
    <w:p w14:paraId="059D0098">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22.2响应文件封套上应写明的内容见</w:t>
      </w:r>
      <w:r>
        <w:rPr>
          <w:rFonts w:hint="eastAsia" w:ascii="宋体" w:hAnsi="宋体" w:eastAsia="宋体" w:cs="宋体"/>
          <w:b/>
          <w:color w:val="auto"/>
          <w:sz w:val="24"/>
          <w:highlight w:val="none"/>
        </w:rPr>
        <w:t>磋商须知前附表。</w:t>
      </w:r>
    </w:p>
    <w:p w14:paraId="732C8BED">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22.3响应文件如果未按上述规定密封和加写标记，采购人或采购代理机构将拒绝接收。</w:t>
      </w:r>
    </w:p>
    <w:p w14:paraId="0F00F298">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23.响应文件的</w:t>
      </w:r>
      <w:r>
        <w:rPr>
          <w:rFonts w:hint="eastAsia" w:ascii="宋体" w:hAnsi="宋体" w:eastAsia="宋体" w:cs="宋体"/>
          <w:b/>
          <w:color w:val="auto"/>
          <w:kern w:val="0"/>
          <w:sz w:val="24"/>
          <w:highlight w:val="none"/>
          <w:lang w:val="zh-CN"/>
        </w:rPr>
        <w:t>补充、修改或者撤回</w:t>
      </w:r>
    </w:p>
    <w:p w14:paraId="32676F7C">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23.1</w:t>
      </w:r>
      <w:r>
        <w:rPr>
          <w:rFonts w:hint="eastAsia" w:hAnsi="宋体" w:eastAsia="宋体" w:cs="宋体"/>
          <w:color w:val="auto"/>
          <w:kern w:val="0"/>
          <w:sz w:val="24"/>
          <w:szCs w:val="24"/>
          <w:highlight w:val="none"/>
        </w:rPr>
        <w:t>供</w:t>
      </w:r>
      <w:r>
        <w:rPr>
          <w:rFonts w:hint="eastAsia" w:hAnsi="宋体" w:eastAsia="宋体" w:cs="宋体"/>
          <w:color w:val="auto"/>
          <w:spacing w:val="-4"/>
          <w:kern w:val="0"/>
          <w:sz w:val="24"/>
          <w:szCs w:val="24"/>
          <w:highlight w:val="none"/>
        </w:rPr>
        <w:t>应商在提交首次响应文件截止时间前，可以对所提交的首次响应文件进行补充、修改或者撤回，并书面通知采购人、采购代理机构。</w:t>
      </w:r>
      <w:r>
        <w:rPr>
          <w:rFonts w:hint="eastAsia" w:hAnsi="宋体" w:eastAsia="宋体" w:cs="宋体"/>
          <w:color w:val="auto"/>
          <w:spacing w:val="-4"/>
          <w:sz w:val="24"/>
          <w:szCs w:val="24"/>
          <w:highlight w:val="none"/>
        </w:rPr>
        <w:t>该通知应有供应商法定代表人或其委托代理人签字。</w:t>
      </w:r>
    </w:p>
    <w:p w14:paraId="452CBFB7">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23.2</w:t>
      </w:r>
      <w:r>
        <w:rPr>
          <w:rFonts w:hint="eastAsia" w:hAnsi="宋体" w:eastAsia="宋体" w:cs="宋体"/>
          <w:color w:val="auto"/>
          <w:kern w:val="0"/>
          <w:sz w:val="24"/>
          <w:szCs w:val="24"/>
          <w:highlight w:val="none"/>
          <w:lang w:val="zh-CN"/>
        </w:rPr>
        <w:t>补充、修改的内容与响应文件不一致时，以补充、修改的内容为准。</w:t>
      </w:r>
    </w:p>
    <w:p w14:paraId="60C396E3">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24.响应文件的递交与接收</w:t>
      </w:r>
    </w:p>
    <w:p w14:paraId="4A806046">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24.1供应商应在</w:t>
      </w:r>
      <w:r>
        <w:rPr>
          <w:rFonts w:hint="eastAsia" w:ascii="宋体" w:hAnsi="宋体" w:eastAsia="宋体" w:cs="宋体"/>
          <w:color w:val="auto"/>
          <w:kern w:val="0"/>
          <w:sz w:val="24"/>
          <w:highlight w:val="none"/>
        </w:rPr>
        <w:t>提交首次响应文件截止时间</w:t>
      </w:r>
      <w:r>
        <w:rPr>
          <w:rFonts w:hint="eastAsia" w:ascii="宋体" w:hAnsi="宋体" w:eastAsia="宋体" w:cs="宋体"/>
          <w:color w:val="auto"/>
          <w:sz w:val="24"/>
          <w:highlight w:val="none"/>
        </w:rPr>
        <w:t>前，将响应文件送达</w:t>
      </w:r>
      <w:r>
        <w:rPr>
          <w:rFonts w:hint="eastAsia" w:ascii="宋体" w:hAnsi="宋体" w:eastAsia="宋体" w:cs="宋体"/>
          <w:b/>
          <w:color w:val="auto"/>
          <w:sz w:val="24"/>
          <w:highlight w:val="none"/>
        </w:rPr>
        <w:t>磋商须知前附表</w:t>
      </w:r>
      <w:r>
        <w:rPr>
          <w:rFonts w:hint="eastAsia" w:ascii="宋体" w:hAnsi="宋体" w:eastAsia="宋体" w:cs="宋体"/>
          <w:color w:val="auto"/>
          <w:sz w:val="24"/>
          <w:highlight w:val="none"/>
        </w:rPr>
        <w:t>中指定的地点。</w:t>
      </w:r>
      <w:r>
        <w:rPr>
          <w:rFonts w:hint="eastAsia" w:ascii="宋体" w:hAnsi="宋体" w:eastAsia="宋体" w:cs="宋体"/>
          <w:color w:val="auto"/>
          <w:kern w:val="0"/>
          <w:sz w:val="24"/>
          <w:highlight w:val="none"/>
        </w:rPr>
        <w:t>在截止时间后送达的响应文件，采购人、采购代理机构或者磋商小组应当拒收。</w:t>
      </w:r>
    </w:p>
    <w:p w14:paraId="39FA4727">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24.2</w:t>
      </w:r>
      <w:r>
        <w:rPr>
          <w:rFonts w:hint="eastAsia" w:hAnsi="宋体" w:eastAsia="宋体" w:cs="宋体"/>
          <w:color w:val="auto"/>
          <w:kern w:val="0"/>
          <w:sz w:val="24"/>
          <w:szCs w:val="24"/>
          <w:highlight w:val="none"/>
        </w:rPr>
        <w:t>在提交首次响应文件截止时间后，</w:t>
      </w:r>
      <w:r>
        <w:rPr>
          <w:rFonts w:hint="eastAsia" w:hAnsi="宋体" w:eastAsia="宋体" w:cs="宋体"/>
          <w:color w:val="auto"/>
          <w:sz w:val="24"/>
          <w:szCs w:val="24"/>
          <w:highlight w:val="none"/>
        </w:rPr>
        <w:t>由</w:t>
      </w:r>
      <w:r>
        <w:rPr>
          <w:rFonts w:hint="eastAsia" w:hAnsi="宋体" w:eastAsia="宋体" w:cs="宋体"/>
          <w:bCs/>
          <w:color w:val="auto"/>
          <w:sz w:val="24"/>
          <w:szCs w:val="24"/>
          <w:highlight w:val="none"/>
        </w:rPr>
        <w:t>供应商代表</w:t>
      </w:r>
      <w:r>
        <w:rPr>
          <w:rFonts w:hint="eastAsia" w:hAnsi="宋体" w:eastAsia="宋体" w:cs="宋体"/>
          <w:color w:val="auto"/>
          <w:sz w:val="24"/>
          <w:szCs w:val="24"/>
          <w:highlight w:val="none"/>
        </w:rPr>
        <w:t>当场查验</w:t>
      </w:r>
      <w:r>
        <w:rPr>
          <w:rFonts w:hint="eastAsia" w:hAnsi="宋体" w:eastAsia="宋体" w:cs="宋体"/>
          <w:bCs/>
          <w:color w:val="auto"/>
          <w:sz w:val="24"/>
          <w:szCs w:val="24"/>
          <w:highlight w:val="none"/>
        </w:rPr>
        <w:t>响应文件</w:t>
      </w:r>
      <w:r>
        <w:rPr>
          <w:rFonts w:hint="eastAsia" w:hAnsi="宋体" w:eastAsia="宋体" w:cs="宋体"/>
          <w:color w:val="auto"/>
          <w:sz w:val="24"/>
          <w:szCs w:val="24"/>
          <w:highlight w:val="none"/>
        </w:rPr>
        <w:t>的密封状况，采购人或</w:t>
      </w:r>
      <w:r>
        <w:rPr>
          <w:rFonts w:hint="eastAsia" w:hAnsi="宋体" w:eastAsia="宋体" w:cs="宋体"/>
          <w:bCs/>
          <w:color w:val="auto"/>
          <w:sz w:val="24"/>
          <w:szCs w:val="24"/>
          <w:highlight w:val="none"/>
        </w:rPr>
        <w:t>采购代理机构</w:t>
      </w:r>
      <w:r>
        <w:rPr>
          <w:rFonts w:hint="eastAsia" w:hAnsi="宋体" w:eastAsia="宋体" w:cs="宋体"/>
          <w:color w:val="auto"/>
          <w:sz w:val="24"/>
          <w:szCs w:val="24"/>
          <w:highlight w:val="none"/>
        </w:rPr>
        <w:t>不当场拆封</w:t>
      </w:r>
      <w:r>
        <w:rPr>
          <w:rFonts w:hint="eastAsia" w:hAnsi="宋体" w:eastAsia="宋体" w:cs="宋体"/>
          <w:bCs/>
          <w:color w:val="auto"/>
          <w:sz w:val="24"/>
          <w:szCs w:val="24"/>
          <w:highlight w:val="none"/>
        </w:rPr>
        <w:t>响应文件</w:t>
      </w:r>
      <w:r>
        <w:rPr>
          <w:rFonts w:hint="eastAsia" w:hAnsi="宋体" w:eastAsia="宋体" w:cs="宋体"/>
          <w:color w:val="auto"/>
          <w:sz w:val="24"/>
          <w:szCs w:val="24"/>
          <w:highlight w:val="none"/>
        </w:rPr>
        <w:t>。</w:t>
      </w:r>
    </w:p>
    <w:p w14:paraId="51888852">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p>
    <w:p w14:paraId="7DE293DE">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五、响应文件的磋商与评审</w:t>
      </w:r>
    </w:p>
    <w:p w14:paraId="784FA2EE">
      <w:pPr>
        <w:keepNext w:val="0"/>
        <w:keepLines w:val="0"/>
        <w:pageBreakBefore w:val="0"/>
        <w:tabs>
          <w:tab w:val="left" w:pos="0"/>
        </w:tabs>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25.磋商程序</w:t>
      </w:r>
    </w:p>
    <w:p w14:paraId="222A8B42">
      <w:pPr>
        <w:keepNext w:val="0"/>
        <w:keepLines w:val="0"/>
        <w:pageBreakBefore w:val="0"/>
        <w:widowControl/>
        <w:kinsoku/>
        <w:wordWrap/>
        <w:overflowPunct/>
        <w:topLinePunct w:val="0"/>
        <w:autoSpaceDE/>
        <w:bidi w:val="0"/>
        <w:adjustRightInd w:val="0"/>
        <w:snapToGrid w:val="0"/>
        <w:spacing w:line="380" w:lineRule="exact"/>
        <w:ind w:left="0" w:right="0" w:rightChars="0" w:firstLine="480"/>
        <w:jc w:val="left"/>
        <w:textAlignment w:val="auto"/>
        <w:outlineLvl w:val="9"/>
        <w:rPr>
          <w:rFonts w:hint="eastAsia" w:ascii="宋体" w:hAnsi="宋体" w:eastAsia="宋体" w:cs="宋体"/>
          <w:bCs/>
          <w:color w:val="auto"/>
          <w:sz w:val="24"/>
          <w:highlight w:val="none"/>
        </w:rPr>
      </w:pPr>
      <w:r>
        <w:rPr>
          <w:rFonts w:hint="eastAsia" w:ascii="宋体" w:hAnsi="宋体" w:eastAsia="宋体" w:cs="宋体"/>
          <w:color w:val="auto"/>
          <w:kern w:val="0"/>
          <w:sz w:val="24"/>
          <w:highlight w:val="none"/>
        </w:rPr>
        <w:t>25.1磋商程序：响应文件审查、磋商（包括澄清）、响应文件评审、</w:t>
      </w:r>
      <w:r>
        <w:rPr>
          <w:rFonts w:hint="eastAsia" w:ascii="宋体" w:hAnsi="宋体" w:eastAsia="宋体" w:cs="宋体"/>
          <w:bCs/>
          <w:color w:val="auto"/>
          <w:sz w:val="24"/>
          <w:highlight w:val="none"/>
        </w:rPr>
        <w:t>提出成交供应商。其中，</w:t>
      </w:r>
      <w:r>
        <w:rPr>
          <w:rFonts w:hint="eastAsia" w:ascii="宋体" w:hAnsi="宋体" w:eastAsia="宋体" w:cs="宋体"/>
          <w:color w:val="auto"/>
          <w:kern w:val="0"/>
          <w:sz w:val="24"/>
          <w:highlight w:val="none"/>
        </w:rPr>
        <w:t>磋商按</w:t>
      </w:r>
      <w:r>
        <w:rPr>
          <w:rFonts w:hint="eastAsia" w:ascii="宋体" w:hAnsi="宋体" w:eastAsia="宋体" w:cs="宋体"/>
          <w:color w:val="auto"/>
          <w:sz w:val="24"/>
          <w:highlight w:val="none"/>
        </w:rPr>
        <w:t>本章第30.1</w:t>
      </w:r>
      <w:r>
        <w:rPr>
          <w:rFonts w:hint="eastAsia" w:ascii="宋体" w:hAnsi="宋体" w:eastAsia="宋体" w:cs="宋体"/>
          <w:color w:val="auto"/>
          <w:kern w:val="0"/>
          <w:sz w:val="24"/>
          <w:highlight w:val="none"/>
          <w:lang w:val="zh-CN"/>
        </w:rPr>
        <w:t>款或者</w:t>
      </w:r>
      <w:r>
        <w:rPr>
          <w:rFonts w:hint="eastAsia" w:ascii="宋体" w:hAnsi="宋体" w:eastAsia="宋体" w:cs="宋体"/>
          <w:color w:val="auto"/>
          <w:sz w:val="24"/>
          <w:highlight w:val="none"/>
        </w:rPr>
        <w:t>第30.2</w:t>
      </w:r>
      <w:r>
        <w:rPr>
          <w:rFonts w:hint="eastAsia" w:ascii="宋体" w:hAnsi="宋体" w:eastAsia="宋体" w:cs="宋体"/>
          <w:color w:val="auto"/>
          <w:kern w:val="0"/>
          <w:sz w:val="24"/>
          <w:highlight w:val="none"/>
          <w:lang w:val="zh-CN"/>
        </w:rPr>
        <w:t>款</w:t>
      </w:r>
      <w:r>
        <w:rPr>
          <w:rFonts w:hint="eastAsia" w:ascii="宋体" w:hAnsi="宋体" w:eastAsia="宋体" w:cs="宋体"/>
          <w:color w:val="auto"/>
          <w:sz w:val="24"/>
          <w:highlight w:val="none"/>
        </w:rPr>
        <w:t>情形</w:t>
      </w:r>
      <w:r>
        <w:rPr>
          <w:rFonts w:hint="eastAsia" w:ascii="宋体" w:hAnsi="宋体" w:eastAsia="宋体" w:cs="宋体"/>
          <w:bCs/>
          <w:color w:val="auto"/>
          <w:sz w:val="24"/>
          <w:highlight w:val="none"/>
        </w:rPr>
        <w:t>进行。</w:t>
      </w:r>
    </w:p>
    <w:p w14:paraId="552D341F">
      <w:pPr>
        <w:keepNext w:val="0"/>
        <w:keepLines w:val="0"/>
        <w:pageBreakBefore w:val="0"/>
        <w:widowControl/>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rPr>
        <w:t>26.响应文件审查</w:t>
      </w:r>
    </w:p>
    <w:p w14:paraId="42357E9A">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26.1资格性审查：根据本章第3.1项规定的供应商资格条件要求，对响应文件的资格证明等进行审查，以确定供应商是否具备磋商资格条件。</w:t>
      </w:r>
    </w:p>
    <w:p w14:paraId="19469EA8">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26.2符合性审查: 对响应文件(包括首次提交的响应文件、重新提交的响应文件)的有效性、完整性和响应程度进行审查，以确定是否对磋商文件的实质性要求作出响应。</w:t>
      </w:r>
    </w:p>
    <w:p w14:paraId="45415C29">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26.3响应文件审查结束后，磋商小组所有成员集中与单一供应商分别进行磋商，并给予所有参加磋商的供应商平等的磋商机会。供应商应派其法定代表人或委托代理人参加磋商。</w:t>
      </w:r>
    </w:p>
    <w:p w14:paraId="77797585">
      <w:pPr>
        <w:pStyle w:val="14"/>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hAnsi="宋体" w:eastAsia="宋体" w:cs="宋体"/>
          <w:b/>
          <w:color w:val="auto"/>
          <w:kern w:val="0"/>
          <w:sz w:val="24"/>
          <w:szCs w:val="24"/>
          <w:highlight w:val="none"/>
        </w:rPr>
      </w:pPr>
      <w:r>
        <w:rPr>
          <w:rFonts w:hint="eastAsia" w:hAnsi="宋体" w:eastAsia="宋体" w:cs="宋体"/>
          <w:b/>
          <w:color w:val="auto"/>
          <w:kern w:val="0"/>
          <w:sz w:val="24"/>
          <w:szCs w:val="24"/>
          <w:highlight w:val="none"/>
        </w:rPr>
        <w:t>27.实质性响应</w:t>
      </w:r>
    </w:p>
    <w:p w14:paraId="099E6D59">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kern w:val="0"/>
          <w:sz w:val="24"/>
          <w:szCs w:val="24"/>
          <w:highlight w:val="none"/>
          <w:u w:val="single"/>
        </w:rPr>
      </w:pPr>
      <w:r>
        <w:rPr>
          <w:rFonts w:hint="eastAsia" w:hAnsi="宋体" w:eastAsia="宋体" w:cs="宋体"/>
          <w:color w:val="auto"/>
          <w:kern w:val="0"/>
          <w:sz w:val="24"/>
          <w:szCs w:val="24"/>
          <w:highlight w:val="none"/>
        </w:rPr>
        <w:t>27.1</w:t>
      </w:r>
      <w:r>
        <w:rPr>
          <w:rFonts w:hint="eastAsia" w:hAnsi="宋体" w:eastAsia="宋体" w:cs="宋体"/>
          <w:color w:val="auto"/>
          <w:sz w:val="24"/>
          <w:szCs w:val="24"/>
          <w:highlight w:val="none"/>
        </w:rPr>
        <w:t>实质性响应是指响应文件中用“★”符号标明的条款为实质性要求和条件，对其中任何一条的偏离，为实质性偏离，其投标无效。</w:t>
      </w:r>
    </w:p>
    <w:p w14:paraId="1DD5B6E4">
      <w:pPr>
        <w:keepNext w:val="0"/>
        <w:keepLines w:val="0"/>
        <w:pageBreakBefore w:val="0"/>
        <w:tabs>
          <w:tab w:val="left" w:pos="0"/>
          <w:tab w:val="left" w:pos="7560"/>
          <w:tab w:val="left" w:pos="7740"/>
          <w:tab w:val="left" w:pos="7920"/>
        </w:tabs>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27.2响应文件是否实质性响应磋商文件要求由磋商小组依据磋商文件规定认定。</w:t>
      </w:r>
      <w:r>
        <w:rPr>
          <w:rFonts w:hint="eastAsia" w:ascii="宋体" w:hAnsi="宋体" w:eastAsia="宋体" w:cs="宋体"/>
          <w:color w:val="auto"/>
          <w:kern w:val="0"/>
          <w:sz w:val="24"/>
          <w:highlight w:val="none"/>
        </w:rPr>
        <w:t>磋商小组</w:t>
      </w:r>
      <w:r>
        <w:rPr>
          <w:rFonts w:hint="eastAsia" w:ascii="宋体" w:hAnsi="宋体" w:eastAsia="宋体" w:cs="宋体"/>
          <w:color w:val="auto"/>
          <w:sz w:val="24"/>
          <w:highlight w:val="none"/>
        </w:rPr>
        <w:t>决定响应文件的响应性只根据响应文件本身的真实无误的内容，而不依据外部的证据。</w:t>
      </w:r>
    </w:p>
    <w:p w14:paraId="2AD60E37">
      <w:pPr>
        <w:pStyle w:val="14"/>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hAnsi="宋体" w:eastAsia="宋体" w:cs="宋体"/>
          <w:b/>
          <w:color w:val="auto"/>
          <w:kern w:val="0"/>
          <w:sz w:val="24"/>
          <w:szCs w:val="24"/>
          <w:highlight w:val="none"/>
        </w:rPr>
      </w:pPr>
      <w:r>
        <w:rPr>
          <w:rFonts w:hint="eastAsia" w:hAnsi="宋体" w:eastAsia="宋体" w:cs="宋体"/>
          <w:b/>
          <w:color w:val="auto"/>
          <w:kern w:val="0"/>
          <w:sz w:val="24"/>
          <w:szCs w:val="24"/>
          <w:highlight w:val="none"/>
        </w:rPr>
        <w:t xml:space="preserve">28.无效响应 </w:t>
      </w:r>
    </w:p>
    <w:p w14:paraId="70EC0F19">
      <w:pPr>
        <w:pStyle w:val="14"/>
        <w:keepNext w:val="0"/>
        <w:keepLines w:val="0"/>
        <w:pageBreakBefore w:val="0"/>
        <w:kinsoku/>
        <w:wordWrap/>
        <w:overflowPunct/>
        <w:topLinePunct w:val="0"/>
        <w:autoSpaceDE/>
        <w:bidi w:val="0"/>
        <w:adjustRightInd w:val="0"/>
        <w:snapToGrid w:val="0"/>
        <w:spacing w:line="380" w:lineRule="exact"/>
        <w:ind w:left="0" w:right="0" w:rightChars="0" w:firstLine="470" w:firstLineChars="196"/>
        <w:textAlignment w:val="auto"/>
        <w:outlineLvl w:val="9"/>
        <w:rPr>
          <w:rFonts w:hint="eastAsia" w:hAnsi="宋体" w:eastAsia="宋体" w:cs="宋体"/>
          <w:b/>
          <w:color w:val="auto"/>
          <w:kern w:val="0"/>
          <w:sz w:val="24"/>
          <w:szCs w:val="24"/>
          <w:highlight w:val="none"/>
        </w:rPr>
      </w:pPr>
      <w:r>
        <w:rPr>
          <w:rFonts w:hint="eastAsia" w:hAnsi="宋体" w:eastAsia="宋体" w:cs="宋体"/>
          <w:color w:val="auto"/>
          <w:kern w:val="0"/>
          <w:sz w:val="24"/>
          <w:szCs w:val="24"/>
          <w:highlight w:val="none"/>
        </w:rPr>
        <w:t>28.1</w:t>
      </w:r>
      <w:r>
        <w:rPr>
          <w:rFonts w:hint="eastAsia" w:hAnsi="宋体" w:eastAsia="宋体" w:cs="宋体"/>
          <w:color w:val="auto"/>
          <w:sz w:val="24"/>
          <w:szCs w:val="24"/>
          <w:highlight w:val="none"/>
        </w:rPr>
        <w:t>磋商小组在对资格性和符合性进行审查时，有下列情况之一的，属无效响应，</w:t>
      </w:r>
      <w:r>
        <w:rPr>
          <w:rFonts w:hint="eastAsia" w:hAnsi="宋体" w:eastAsia="宋体" w:cs="宋体"/>
          <w:color w:val="auto"/>
          <w:kern w:val="0"/>
          <w:sz w:val="24"/>
          <w:szCs w:val="24"/>
          <w:highlight w:val="none"/>
        </w:rPr>
        <w:t>磋商小组应当告知有关供应商</w:t>
      </w:r>
      <w:r>
        <w:rPr>
          <w:rFonts w:hint="eastAsia" w:hAnsi="宋体" w:eastAsia="宋体" w:cs="宋体"/>
          <w:color w:val="auto"/>
          <w:sz w:val="24"/>
          <w:szCs w:val="24"/>
          <w:highlight w:val="none"/>
        </w:rPr>
        <w:t>：</w:t>
      </w:r>
    </w:p>
    <w:p w14:paraId="2B0C17FC">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（1）供应商不具备本章第3.1款规定的供应商资格条件要求，或存在本章第3.3款情形的；</w:t>
      </w:r>
    </w:p>
    <w:p w14:paraId="0A00F997">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（2）联合体不符合本章第3.2款规定的；</w:t>
      </w:r>
    </w:p>
    <w:p w14:paraId="6273BD91">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（3）应交未交磋商保证金或金额不足、磋商保证金缴纳形式不符合磋商文件要求的；</w:t>
      </w:r>
    </w:p>
    <w:p w14:paraId="0D3C47DC">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（4）响应文件未按照磋商文件要求签署、盖章的；</w:t>
      </w:r>
    </w:p>
    <w:p w14:paraId="5C9D70C7">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（4）响应文件不满足本章第27.1款规定的实质性要求的；</w:t>
      </w:r>
    </w:p>
    <w:p w14:paraId="1EFC626E">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（5）报价超过采购项目预算的；</w:t>
      </w:r>
    </w:p>
    <w:p w14:paraId="5358CB29">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（6）响应文件有效期不足的；</w:t>
      </w:r>
    </w:p>
    <w:p w14:paraId="1076BC63">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（7）响应文件不符合法律、规章、规范性文件和磋商文件规定及要求的。</w:t>
      </w:r>
    </w:p>
    <w:p w14:paraId="3625E94C">
      <w:pPr>
        <w:keepNext w:val="0"/>
        <w:keepLines w:val="0"/>
        <w:pageBreakBefore w:val="0"/>
        <w:widowControl/>
        <w:kinsoku/>
        <w:wordWrap/>
        <w:overflowPunct/>
        <w:topLinePunct w:val="0"/>
        <w:autoSpaceDE/>
        <w:bidi w:val="0"/>
        <w:adjustRightInd w:val="0"/>
        <w:snapToGrid w:val="0"/>
        <w:spacing w:line="380" w:lineRule="exact"/>
        <w:ind w:left="0" w:right="0" w:rightChars="0" w:firstLine="482"/>
        <w:jc w:val="left"/>
        <w:textAlignment w:val="auto"/>
        <w:outlineLvl w:val="9"/>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29.澄清</w:t>
      </w:r>
    </w:p>
    <w:p w14:paraId="6773DF73">
      <w:pPr>
        <w:keepNext w:val="0"/>
        <w:keepLines w:val="0"/>
        <w:pageBreakBefore w:val="0"/>
        <w:widowControl/>
        <w:kinsoku/>
        <w:wordWrap/>
        <w:overflowPunct/>
        <w:topLinePunct w:val="0"/>
        <w:autoSpaceDE/>
        <w:bidi w:val="0"/>
        <w:adjustRightInd w:val="0"/>
        <w:snapToGrid w:val="0"/>
        <w:spacing w:line="380" w:lineRule="exact"/>
        <w:ind w:left="0" w:right="0" w:rightChars="0" w:firstLine="48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63502C9F">
      <w:pPr>
        <w:keepNext w:val="0"/>
        <w:keepLines w:val="0"/>
        <w:pageBreakBefore w:val="0"/>
        <w:widowControl/>
        <w:kinsoku/>
        <w:wordWrap/>
        <w:overflowPunct/>
        <w:topLinePunct w:val="0"/>
        <w:autoSpaceDE/>
        <w:bidi w:val="0"/>
        <w:adjustRightInd w:val="0"/>
        <w:snapToGrid w:val="0"/>
        <w:spacing w:line="380" w:lineRule="exact"/>
        <w:ind w:left="0" w:right="0" w:rightChars="0" w:firstLine="48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15CCB48B">
      <w:pPr>
        <w:keepNext w:val="0"/>
        <w:keepLines w:val="0"/>
        <w:pageBreakBefore w:val="0"/>
        <w:widowControl/>
        <w:kinsoku/>
        <w:wordWrap/>
        <w:overflowPunct/>
        <w:topLinePunct w:val="0"/>
        <w:autoSpaceDE/>
        <w:bidi w:val="0"/>
        <w:adjustRightInd w:val="0"/>
        <w:snapToGrid w:val="0"/>
        <w:spacing w:line="380" w:lineRule="exact"/>
        <w:ind w:left="0" w:right="0" w:rightChars="0" w:firstLine="482"/>
        <w:jc w:val="left"/>
        <w:textAlignment w:val="auto"/>
        <w:outlineLvl w:val="9"/>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30.磋商</w:t>
      </w:r>
    </w:p>
    <w:p w14:paraId="6936F7BC">
      <w:pPr>
        <w:keepNext w:val="0"/>
        <w:keepLines w:val="0"/>
        <w:pageBreakBefore w:val="0"/>
        <w:widowControl/>
        <w:kinsoku/>
        <w:wordWrap/>
        <w:overflowPunct/>
        <w:topLinePunct w:val="0"/>
        <w:autoSpaceDE/>
        <w:bidi w:val="0"/>
        <w:adjustRightInd w:val="0"/>
        <w:snapToGrid w:val="0"/>
        <w:spacing w:line="380" w:lineRule="exact"/>
        <w:ind w:left="0" w:right="0" w:rightChars="0" w:firstLine="480"/>
        <w:jc w:val="left"/>
        <w:textAlignment w:val="auto"/>
        <w:outlineLvl w:val="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rPr>
        <w:t>30.1</w:t>
      </w:r>
      <w:r>
        <w:rPr>
          <w:rFonts w:hint="eastAsia" w:ascii="宋体" w:hAnsi="宋体" w:eastAsia="宋体" w:cs="宋体"/>
          <w:color w:val="auto"/>
          <w:sz w:val="24"/>
          <w:highlight w:val="none"/>
        </w:rPr>
        <w:t>本章第10.2项</w:t>
      </w:r>
      <w:r>
        <w:rPr>
          <w:rFonts w:hint="eastAsia" w:ascii="宋体" w:hAnsi="宋体" w:eastAsia="宋体" w:cs="宋体"/>
          <w:color w:val="auto"/>
          <w:kern w:val="0"/>
          <w:sz w:val="24"/>
          <w:highlight w:val="none"/>
        </w:rPr>
        <w:t>未明确磋商文件实质性变动内容的，或者磋商文件明确了可能发生实质性变动内容，但在磋商过程中，</w:t>
      </w:r>
      <w:r>
        <w:rPr>
          <w:rFonts w:hint="eastAsia" w:ascii="宋体" w:hAnsi="宋体" w:eastAsia="宋体" w:cs="宋体"/>
          <w:bCs/>
          <w:color w:val="auto"/>
          <w:sz w:val="24"/>
          <w:highlight w:val="none"/>
        </w:rPr>
        <w:t>磋商小组</w:t>
      </w:r>
      <w:r>
        <w:rPr>
          <w:rFonts w:hint="eastAsia" w:ascii="宋体" w:hAnsi="宋体" w:eastAsia="宋体" w:cs="宋体"/>
          <w:color w:val="auto"/>
          <w:kern w:val="0"/>
          <w:sz w:val="24"/>
          <w:highlight w:val="none"/>
        </w:rPr>
        <w:t>根据磋商情况</w:t>
      </w:r>
      <w:r>
        <w:rPr>
          <w:rFonts w:hint="eastAsia" w:ascii="宋体" w:hAnsi="宋体" w:eastAsia="宋体" w:cs="宋体"/>
          <w:bCs/>
          <w:color w:val="auto"/>
          <w:sz w:val="24"/>
          <w:highlight w:val="none"/>
        </w:rPr>
        <w:t>认为</w:t>
      </w:r>
      <w:r>
        <w:rPr>
          <w:rFonts w:hint="eastAsia" w:ascii="宋体" w:hAnsi="宋体" w:eastAsia="宋体" w:cs="宋体"/>
          <w:color w:val="auto"/>
          <w:kern w:val="0"/>
          <w:sz w:val="24"/>
          <w:highlight w:val="none"/>
        </w:rPr>
        <w:t>磋商文件无需发生实质性变动的，磋商小组应当直接与响应文件审查合格的供应商就价格组织多轮磋商。</w:t>
      </w:r>
    </w:p>
    <w:p w14:paraId="7CCACCD2">
      <w:pPr>
        <w:keepNext w:val="0"/>
        <w:keepLines w:val="0"/>
        <w:pageBreakBefore w:val="0"/>
        <w:widowControl/>
        <w:tabs>
          <w:tab w:val="left" w:pos="1080"/>
          <w:tab w:val="left" w:pos="1260"/>
        </w:tabs>
        <w:kinsoku/>
        <w:wordWrap/>
        <w:overflowPunct/>
        <w:topLinePunct w:val="0"/>
        <w:autoSpaceDE/>
        <w:bidi w:val="0"/>
        <w:adjustRightInd w:val="0"/>
        <w:snapToGrid w:val="0"/>
        <w:spacing w:line="380" w:lineRule="exact"/>
        <w:ind w:left="0" w:right="0" w:rightChars="0" w:firstLine="48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（1）磋商结束后，磋商小组应当要求所有继续参加磋商的供应商在磋商小组规定时间内提交最后报价。</w:t>
      </w:r>
    </w:p>
    <w:p w14:paraId="0B209937">
      <w:pPr>
        <w:keepNext w:val="0"/>
        <w:keepLines w:val="0"/>
        <w:pageBreakBefore w:val="0"/>
        <w:widowControl/>
        <w:tabs>
          <w:tab w:val="left" w:pos="1080"/>
          <w:tab w:val="left" w:pos="1260"/>
        </w:tabs>
        <w:kinsoku/>
        <w:wordWrap/>
        <w:overflowPunct/>
        <w:topLinePunct w:val="0"/>
        <w:autoSpaceDE/>
        <w:bidi w:val="0"/>
        <w:adjustRightInd w:val="0"/>
        <w:snapToGrid w:val="0"/>
        <w:spacing w:line="380" w:lineRule="exact"/>
        <w:ind w:left="0" w:right="0" w:rightChars="0" w:firstLine="48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（2）磋商文件明确可能发生实质性变动，但在磋商过程中</w:t>
      </w:r>
      <w:r>
        <w:rPr>
          <w:rFonts w:hint="eastAsia" w:ascii="宋体" w:hAnsi="宋体" w:eastAsia="宋体" w:cs="宋体"/>
          <w:bCs/>
          <w:color w:val="auto"/>
          <w:sz w:val="24"/>
          <w:highlight w:val="none"/>
        </w:rPr>
        <w:t>磋商小组</w:t>
      </w:r>
      <w:r>
        <w:rPr>
          <w:rFonts w:hint="eastAsia" w:ascii="宋体" w:hAnsi="宋体" w:eastAsia="宋体" w:cs="宋体"/>
          <w:color w:val="auto"/>
          <w:kern w:val="0"/>
          <w:sz w:val="24"/>
          <w:highlight w:val="none"/>
        </w:rPr>
        <w:t>根据磋商情况</w:t>
      </w:r>
      <w:r>
        <w:rPr>
          <w:rFonts w:hint="eastAsia" w:ascii="宋体" w:hAnsi="宋体" w:eastAsia="宋体" w:cs="宋体"/>
          <w:bCs/>
          <w:color w:val="auto"/>
          <w:sz w:val="24"/>
          <w:highlight w:val="none"/>
        </w:rPr>
        <w:t>认为</w:t>
      </w:r>
      <w:r>
        <w:rPr>
          <w:rFonts w:hint="eastAsia" w:ascii="宋体" w:hAnsi="宋体" w:eastAsia="宋体" w:cs="宋体"/>
          <w:color w:val="auto"/>
          <w:kern w:val="0"/>
          <w:sz w:val="24"/>
          <w:highlight w:val="none"/>
        </w:rPr>
        <w:t>磋商文件无需发生实质性变动的，磋商小组不另行通知。</w:t>
      </w:r>
    </w:p>
    <w:p w14:paraId="7CA28F72">
      <w:pPr>
        <w:keepNext w:val="0"/>
        <w:keepLines w:val="0"/>
        <w:pageBreakBefore w:val="0"/>
        <w:widowControl/>
        <w:kinsoku/>
        <w:wordWrap/>
        <w:overflowPunct/>
        <w:topLinePunct w:val="0"/>
        <w:autoSpaceDE/>
        <w:bidi w:val="0"/>
        <w:adjustRightInd w:val="0"/>
        <w:snapToGrid w:val="0"/>
        <w:spacing w:line="380" w:lineRule="exact"/>
        <w:ind w:left="0" w:right="0" w:rightChars="0" w:firstLine="48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30.2</w:t>
      </w:r>
      <w:r>
        <w:rPr>
          <w:rFonts w:hint="eastAsia" w:ascii="宋体" w:hAnsi="宋体" w:eastAsia="宋体" w:cs="宋体"/>
          <w:color w:val="auto"/>
          <w:sz w:val="24"/>
          <w:highlight w:val="none"/>
        </w:rPr>
        <w:t>本章第10.2</w:t>
      </w:r>
      <w:r>
        <w:rPr>
          <w:rFonts w:hint="eastAsia" w:ascii="宋体" w:hAnsi="宋体" w:eastAsia="宋体" w:cs="宋体"/>
          <w:color w:val="auto"/>
          <w:kern w:val="0"/>
          <w:sz w:val="24"/>
          <w:highlight w:val="none"/>
          <w:lang w:val="zh-CN"/>
        </w:rPr>
        <w:t>款</w:t>
      </w:r>
      <w:r>
        <w:rPr>
          <w:rFonts w:hint="eastAsia" w:ascii="宋体" w:hAnsi="宋体" w:eastAsia="宋体" w:cs="宋体"/>
          <w:color w:val="auto"/>
          <w:kern w:val="0"/>
          <w:sz w:val="24"/>
          <w:highlight w:val="none"/>
        </w:rPr>
        <w:t>明确磋商文件实质性变动内容的，</w:t>
      </w:r>
      <w:r>
        <w:rPr>
          <w:rFonts w:hint="eastAsia" w:ascii="宋体" w:hAnsi="宋体" w:eastAsia="宋体" w:cs="宋体"/>
          <w:bCs/>
          <w:color w:val="auto"/>
          <w:sz w:val="24"/>
          <w:highlight w:val="none"/>
        </w:rPr>
        <w:t>磋商小组</w:t>
      </w:r>
      <w:r>
        <w:rPr>
          <w:rFonts w:hint="eastAsia" w:ascii="宋体" w:hAnsi="宋体" w:eastAsia="宋体" w:cs="宋体"/>
          <w:color w:val="auto"/>
          <w:kern w:val="0"/>
          <w:sz w:val="24"/>
          <w:highlight w:val="none"/>
        </w:rPr>
        <w:t>可以组织多轮磋商。</w:t>
      </w:r>
      <w:r>
        <w:rPr>
          <w:rFonts w:hint="eastAsia" w:ascii="宋体" w:hAnsi="宋体" w:eastAsia="宋体" w:cs="宋体"/>
          <w:bCs/>
          <w:color w:val="auto"/>
          <w:sz w:val="24"/>
          <w:highlight w:val="none"/>
        </w:rPr>
        <w:t>在每一轮磋商中，磋商小组</w:t>
      </w:r>
      <w:r>
        <w:rPr>
          <w:rFonts w:hint="eastAsia" w:ascii="宋体" w:hAnsi="宋体" w:eastAsia="宋体" w:cs="宋体"/>
          <w:color w:val="auto"/>
          <w:kern w:val="0"/>
          <w:sz w:val="24"/>
          <w:highlight w:val="none"/>
        </w:rPr>
        <w:t>可以根据磋商文件规定和磋商情况，</w:t>
      </w:r>
      <w:r>
        <w:rPr>
          <w:rFonts w:hint="eastAsia" w:ascii="宋体" w:hAnsi="宋体" w:eastAsia="宋体" w:cs="宋体"/>
          <w:bCs/>
          <w:color w:val="auto"/>
          <w:sz w:val="24"/>
          <w:highlight w:val="none"/>
        </w:rPr>
        <w:t>对磋商文件的</w:t>
      </w:r>
      <w:r>
        <w:rPr>
          <w:rFonts w:hint="eastAsia" w:ascii="宋体" w:hAnsi="宋体" w:eastAsia="宋体" w:cs="宋体"/>
          <w:color w:val="auto"/>
          <w:kern w:val="0"/>
          <w:sz w:val="24"/>
          <w:highlight w:val="none"/>
        </w:rPr>
        <w:t>采购需求中的技术、服务要求以及合同草案条款</w:t>
      </w:r>
      <w:r>
        <w:rPr>
          <w:rFonts w:hint="eastAsia" w:ascii="宋体" w:hAnsi="宋体" w:eastAsia="宋体" w:cs="宋体"/>
          <w:bCs/>
          <w:color w:val="auto"/>
          <w:sz w:val="24"/>
          <w:highlight w:val="none"/>
        </w:rPr>
        <w:t>作实质性变动(磋商文件的实质性变动内容为磋商文件的组成部分)，并以书面形式要求</w:t>
      </w:r>
      <w:r>
        <w:rPr>
          <w:rFonts w:hint="eastAsia" w:ascii="宋体" w:hAnsi="宋体" w:eastAsia="宋体" w:cs="宋体"/>
          <w:color w:val="auto"/>
          <w:kern w:val="0"/>
          <w:sz w:val="24"/>
          <w:highlight w:val="none"/>
        </w:rPr>
        <w:t>响应文件审查合格</w:t>
      </w:r>
      <w:r>
        <w:rPr>
          <w:rFonts w:hint="eastAsia" w:ascii="宋体" w:hAnsi="宋体" w:eastAsia="宋体" w:cs="宋体"/>
          <w:bCs/>
          <w:color w:val="auto"/>
          <w:sz w:val="24"/>
          <w:highlight w:val="none"/>
        </w:rPr>
        <w:t>的供应商，在规定的</w:t>
      </w:r>
      <w:r>
        <w:rPr>
          <w:rFonts w:hint="eastAsia" w:ascii="宋体" w:hAnsi="宋体" w:eastAsia="宋体" w:cs="宋体"/>
          <w:color w:val="auto"/>
          <w:kern w:val="0"/>
          <w:sz w:val="24"/>
          <w:highlight w:val="none"/>
        </w:rPr>
        <w:t>截止时间前</w:t>
      </w:r>
      <w:r>
        <w:rPr>
          <w:rFonts w:hint="eastAsia" w:ascii="宋体" w:hAnsi="宋体" w:eastAsia="宋体" w:cs="宋体"/>
          <w:bCs/>
          <w:color w:val="auto"/>
          <w:sz w:val="24"/>
          <w:highlight w:val="none"/>
        </w:rPr>
        <w:t>重</w:t>
      </w:r>
      <w:r>
        <w:rPr>
          <w:rFonts w:hint="eastAsia" w:ascii="宋体" w:hAnsi="宋体" w:eastAsia="宋体" w:cs="宋体"/>
          <w:color w:val="auto"/>
          <w:kern w:val="0"/>
          <w:sz w:val="24"/>
          <w:highlight w:val="none"/>
        </w:rPr>
        <w:t>新提交响应文件</w:t>
      </w:r>
      <w:r>
        <w:rPr>
          <w:rFonts w:hint="eastAsia" w:ascii="宋体" w:hAnsi="宋体" w:eastAsia="宋体" w:cs="宋体"/>
          <w:bCs/>
          <w:color w:val="auto"/>
          <w:sz w:val="24"/>
          <w:highlight w:val="none"/>
        </w:rPr>
        <w:t>。</w:t>
      </w:r>
      <w:r>
        <w:rPr>
          <w:rFonts w:hint="eastAsia" w:ascii="宋体" w:hAnsi="宋体" w:eastAsia="宋体" w:cs="宋体"/>
          <w:color w:val="auto"/>
          <w:kern w:val="0"/>
          <w:sz w:val="24"/>
          <w:highlight w:val="none"/>
        </w:rPr>
        <w:t>磋商小组应当</w:t>
      </w:r>
      <w:r>
        <w:rPr>
          <w:rFonts w:hint="eastAsia" w:ascii="宋体" w:hAnsi="宋体" w:eastAsia="宋体" w:cs="宋体"/>
          <w:color w:val="auto"/>
          <w:sz w:val="24"/>
          <w:highlight w:val="none"/>
        </w:rPr>
        <w:t>根据本章第26.2</w:t>
      </w:r>
      <w:r>
        <w:rPr>
          <w:rFonts w:hint="eastAsia" w:ascii="宋体" w:hAnsi="宋体" w:eastAsia="宋体" w:cs="宋体"/>
          <w:color w:val="auto"/>
          <w:kern w:val="0"/>
          <w:sz w:val="24"/>
          <w:highlight w:val="none"/>
          <w:lang w:val="zh-CN"/>
        </w:rPr>
        <w:t>款</w:t>
      </w:r>
      <w:r>
        <w:rPr>
          <w:rFonts w:hint="eastAsia" w:ascii="宋体" w:hAnsi="宋体" w:eastAsia="宋体" w:cs="宋体"/>
          <w:color w:val="auto"/>
          <w:sz w:val="24"/>
          <w:highlight w:val="none"/>
        </w:rPr>
        <w:t>规定</w:t>
      </w:r>
      <w:r>
        <w:rPr>
          <w:rFonts w:hint="eastAsia" w:ascii="宋体" w:hAnsi="宋体" w:eastAsia="宋体" w:cs="宋体"/>
          <w:color w:val="auto"/>
          <w:kern w:val="0"/>
          <w:sz w:val="24"/>
          <w:highlight w:val="none"/>
        </w:rPr>
        <w:t>对供应商重新提交的响应文件进行审查。供应商重新提交的响应文件审查不合格的，不得进入下一轮磋商，也不得要求提交最后报价。</w:t>
      </w:r>
    </w:p>
    <w:p w14:paraId="0365F8A9">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（1）磋商文件能够详细列明采购需求的技术、服务要求的，磋商结束后，磋商小组应当要求所有继续参加磋商的供应商在规定时间内提交最后报价，提交最后报价的供应商不得少于3家。</w:t>
      </w:r>
    </w:p>
    <w:p w14:paraId="7A0122C3">
      <w:pPr>
        <w:keepNext w:val="0"/>
        <w:keepLines w:val="0"/>
        <w:pageBreakBefore w:val="0"/>
        <w:widowControl/>
        <w:kinsoku/>
        <w:wordWrap/>
        <w:overflowPunct/>
        <w:topLinePunct w:val="0"/>
        <w:autoSpaceDE/>
        <w:bidi w:val="0"/>
        <w:adjustRightInd w:val="0"/>
        <w:snapToGrid w:val="0"/>
        <w:spacing w:line="380" w:lineRule="exact"/>
        <w:ind w:left="0" w:right="0" w:rightChars="0" w:firstLine="48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189F9BF6">
      <w:pPr>
        <w:keepNext w:val="0"/>
        <w:keepLines w:val="0"/>
        <w:pageBreakBefore w:val="0"/>
        <w:widowControl/>
        <w:kinsoku/>
        <w:wordWrap/>
        <w:overflowPunct/>
        <w:topLinePunct w:val="0"/>
        <w:autoSpaceDE/>
        <w:bidi w:val="0"/>
        <w:adjustRightInd w:val="0"/>
        <w:snapToGrid w:val="0"/>
        <w:spacing w:line="380" w:lineRule="exact"/>
        <w:ind w:left="0" w:right="0" w:rightChars="0" w:firstLine="480"/>
        <w:jc w:val="left"/>
        <w:textAlignment w:val="auto"/>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30.3重</w:t>
      </w:r>
      <w:r>
        <w:rPr>
          <w:rFonts w:hint="eastAsia" w:ascii="宋体" w:hAnsi="宋体" w:eastAsia="宋体" w:cs="宋体"/>
          <w:color w:val="auto"/>
          <w:kern w:val="0"/>
          <w:sz w:val="24"/>
          <w:highlight w:val="none"/>
        </w:rPr>
        <w:t>新提交的响应文件</w:t>
      </w:r>
      <w:r>
        <w:rPr>
          <w:rFonts w:hint="eastAsia" w:ascii="宋体" w:hAnsi="宋体" w:eastAsia="宋体" w:cs="宋体"/>
          <w:color w:val="auto"/>
          <w:sz w:val="24"/>
          <w:highlight w:val="none"/>
        </w:rPr>
        <w:t>或者最后报价应按</w:t>
      </w:r>
      <w:r>
        <w:rPr>
          <w:rFonts w:hint="eastAsia" w:ascii="宋体" w:hAnsi="宋体" w:eastAsia="宋体" w:cs="宋体"/>
          <w:color w:val="auto"/>
          <w:kern w:val="0"/>
          <w:sz w:val="24"/>
          <w:highlight w:val="none"/>
        </w:rPr>
        <w:t>本章第</w:t>
      </w:r>
      <w:r>
        <w:rPr>
          <w:rFonts w:hint="eastAsia" w:ascii="宋体" w:hAnsi="宋体" w:eastAsia="宋体" w:cs="宋体"/>
          <w:color w:val="auto"/>
          <w:sz w:val="24"/>
          <w:highlight w:val="none"/>
        </w:rPr>
        <w:t>21.3</w:t>
      </w:r>
      <w:r>
        <w:rPr>
          <w:rFonts w:hint="eastAsia" w:ascii="宋体" w:hAnsi="宋体" w:eastAsia="宋体" w:cs="宋体"/>
          <w:color w:val="auto"/>
          <w:kern w:val="0"/>
          <w:sz w:val="24"/>
          <w:highlight w:val="none"/>
          <w:lang w:val="zh-CN"/>
        </w:rPr>
        <w:t>款</w:t>
      </w:r>
      <w:r>
        <w:rPr>
          <w:rFonts w:hint="eastAsia" w:ascii="宋体" w:hAnsi="宋体" w:eastAsia="宋体" w:cs="宋体"/>
          <w:color w:val="auto"/>
          <w:sz w:val="24"/>
          <w:highlight w:val="none"/>
        </w:rPr>
        <w:t>规定，</w:t>
      </w:r>
      <w:r>
        <w:rPr>
          <w:rFonts w:hint="eastAsia" w:ascii="宋体" w:hAnsi="宋体" w:eastAsia="宋体" w:cs="宋体"/>
          <w:color w:val="auto"/>
          <w:kern w:val="0"/>
          <w:sz w:val="24"/>
          <w:highlight w:val="none"/>
        </w:rPr>
        <w:t>由其法定代表人或其委托代理人签字或者加盖供应商单位章，在规定时间内密封递交给磋商小组</w:t>
      </w:r>
      <w:r>
        <w:rPr>
          <w:rFonts w:hint="eastAsia" w:ascii="宋体" w:hAnsi="宋体" w:eastAsia="宋体" w:cs="宋体"/>
          <w:bCs/>
          <w:color w:val="auto"/>
          <w:sz w:val="24"/>
          <w:highlight w:val="none"/>
        </w:rPr>
        <w:t>。</w:t>
      </w:r>
    </w:p>
    <w:p w14:paraId="3E2EEF6E">
      <w:pPr>
        <w:keepNext w:val="0"/>
        <w:keepLines w:val="0"/>
        <w:pageBreakBefore w:val="0"/>
        <w:widowControl/>
        <w:kinsoku/>
        <w:wordWrap/>
        <w:overflowPunct/>
        <w:topLinePunct w:val="0"/>
        <w:autoSpaceDE/>
        <w:bidi w:val="0"/>
        <w:adjustRightInd w:val="0"/>
        <w:snapToGrid w:val="0"/>
        <w:spacing w:line="380" w:lineRule="exact"/>
        <w:ind w:left="0" w:right="0" w:rightChars="0" w:firstLine="48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30.4</w:t>
      </w:r>
      <w:r>
        <w:rPr>
          <w:rFonts w:hint="eastAsia" w:ascii="宋体" w:hAnsi="宋体" w:eastAsia="宋体" w:cs="宋体"/>
          <w:color w:val="auto"/>
          <w:kern w:val="0"/>
          <w:sz w:val="24"/>
          <w:highlight w:val="none"/>
          <w:lang w:val="zh-CN"/>
        </w:rPr>
        <w:t>供应商的</w:t>
      </w:r>
      <w:r>
        <w:rPr>
          <w:rFonts w:hint="eastAsia" w:ascii="宋体" w:hAnsi="宋体" w:eastAsia="宋体" w:cs="宋体"/>
          <w:bCs/>
          <w:color w:val="auto"/>
          <w:sz w:val="24"/>
          <w:highlight w:val="none"/>
        </w:rPr>
        <w:t>最</w:t>
      </w:r>
      <w:r>
        <w:rPr>
          <w:rFonts w:hint="eastAsia" w:ascii="宋体" w:hAnsi="宋体" w:eastAsia="宋体" w:cs="宋体"/>
          <w:color w:val="auto"/>
          <w:kern w:val="0"/>
          <w:sz w:val="24"/>
          <w:highlight w:val="none"/>
          <w:lang w:val="zh-CN"/>
        </w:rPr>
        <w:t>后</w:t>
      </w:r>
      <w:r>
        <w:rPr>
          <w:rFonts w:hint="eastAsia" w:ascii="宋体" w:hAnsi="宋体" w:eastAsia="宋体" w:cs="宋体"/>
          <w:bCs/>
          <w:color w:val="auto"/>
          <w:sz w:val="24"/>
          <w:highlight w:val="none"/>
        </w:rPr>
        <w:t>报价及</w:t>
      </w:r>
      <w:r>
        <w:rPr>
          <w:rFonts w:hint="eastAsia" w:ascii="宋体" w:hAnsi="宋体" w:eastAsia="宋体" w:cs="宋体"/>
          <w:color w:val="auto"/>
          <w:kern w:val="0"/>
          <w:sz w:val="24"/>
          <w:highlight w:val="none"/>
        </w:rPr>
        <w:t>政府采购政策规定的价格扣除情况，磋商小组应召集所有参加最后报价的供应商当场开封</w:t>
      </w:r>
      <w:r>
        <w:rPr>
          <w:rFonts w:hint="eastAsia" w:ascii="宋体" w:hAnsi="宋体" w:eastAsia="宋体" w:cs="宋体"/>
          <w:bCs/>
          <w:color w:val="auto"/>
          <w:sz w:val="24"/>
          <w:highlight w:val="none"/>
        </w:rPr>
        <w:t>公布，并由供应商代表签字确认。</w:t>
      </w:r>
    </w:p>
    <w:p w14:paraId="29A4183E">
      <w:pPr>
        <w:keepNext w:val="0"/>
        <w:keepLines w:val="0"/>
        <w:pageBreakBefore w:val="0"/>
        <w:widowControl/>
        <w:kinsoku/>
        <w:wordWrap/>
        <w:overflowPunct/>
        <w:topLinePunct w:val="0"/>
        <w:autoSpaceDE/>
        <w:bidi w:val="0"/>
        <w:adjustRightInd w:val="0"/>
        <w:snapToGrid w:val="0"/>
        <w:spacing w:line="380" w:lineRule="exact"/>
        <w:ind w:left="0" w:right="0" w:rightChars="0" w:firstLine="48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30.5提交首次响应文件的供应商，在提交最后报价之前，可以根据磋商情况退出磋商，并书面通知采购代理机构或者磋商小组。</w:t>
      </w:r>
      <w:r>
        <w:rPr>
          <w:rFonts w:hint="eastAsia" w:ascii="宋体" w:hAnsi="宋体" w:eastAsia="宋体" w:cs="宋体"/>
          <w:color w:val="auto"/>
          <w:sz w:val="24"/>
          <w:highlight w:val="none"/>
        </w:rPr>
        <w:t>该通知由供应商法定代表人或其委托代理人签字。</w:t>
      </w:r>
      <w:r>
        <w:rPr>
          <w:rFonts w:hint="eastAsia" w:ascii="宋体" w:hAnsi="宋体" w:eastAsia="宋体" w:cs="宋体"/>
          <w:color w:val="auto"/>
          <w:kern w:val="0"/>
          <w:sz w:val="24"/>
          <w:highlight w:val="none"/>
        </w:rPr>
        <w:t>采购代理机构按本章第</w:t>
      </w:r>
      <w:r>
        <w:rPr>
          <w:rFonts w:hint="eastAsia" w:ascii="宋体" w:hAnsi="宋体" w:eastAsia="宋体" w:cs="宋体"/>
          <w:color w:val="auto"/>
          <w:sz w:val="24"/>
          <w:highlight w:val="none"/>
        </w:rPr>
        <w:t>19.4</w:t>
      </w:r>
      <w:r>
        <w:rPr>
          <w:rFonts w:hint="eastAsia" w:ascii="宋体" w:hAnsi="宋体" w:eastAsia="宋体" w:cs="宋体"/>
          <w:color w:val="auto"/>
          <w:kern w:val="0"/>
          <w:sz w:val="24"/>
          <w:highlight w:val="none"/>
          <w:lang w:val="zh-CN"/>
        </w:rPr>
        <w:t>款</w:t>
      </w:r>
      <w:r>
        <w:rPr>
          <w:rFonts w:hint="eastAsia" w:ascii="宋体" w:hAnsi="宋体" w:eastAsia="宋体" w:cs="宋体"/>
          <w:color w:val="auto"/>
          <w:sz w:val="24"/>
          <w:highlight w:val="none"/>
        </w:rPr>
        <w:t>规定</w:t>
      </w:r>
      <w:r>
        <w:rPr>
          <w:rFonts w:hint="eastAsia" w:ascii="宋体" w:hAnsi="宋体" w:eastAsia="宋体" w:cs="宋体"/>
          <w:color w:val="auto"/>
          <w:kern w:val="0"/>
          <w:sz w:val="24"/>
          <w:highlight w:val="none"/>
        </w:rPr>
        <w:t>退还退出磋商的供应商的磋商保证金。</w:t>
      </w:r>
    </w:p>
    <w:p w14:paraId="1742CEBA">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kern w:val="0"/>
          <w:sz w:val="24"/>
          <w:highlight w:val="none"/>
        </w:rPr>
      </w:pPr>
      <w:r>
        <w:rPr>
          <w:rFonts w:hint="eastAsia" w:ascii="宋体" w:hAnsi="宋体" w:eastAsia="宋体" w:cs="宋体"/>
          <w:bCs/>
          <w:color w:val="auto"/>
          <w:sz w:val="24"/>
          <w:highlight w:val="none"/>
        </w:rPr>
        <w:t>30.6</w:t>
      </w:r>
      <w:r>
        <w:rPr>
          <w:rFonts w:hint="eastAsia" w:ascii="宋体" w:hAnsi="宋体" w:eastAsia="宋体" w:cs="宋体"/>
          <w:color w:val="auto"/>
          <w:kern w:val="0"/>
          <w:sz w:val="24"/>
          <w:highlight w:val="none"/>
        </w:rPr>
        <w:t>提交首次响应文件的供应商，未按磋商文件规定及磋商小组要求提交最后报价(或者</w:t>
      </w:r>
      <w:r>
        <w:rPr>
          <w:rFonts w:hint="eastAsia" w:ascii="宋体" w:hAnsi="宋体" w:eastAsia="宋体" w:cs="宋体"/>
          <w:bCs/>
          <w:color w:val="auto"/>
          <w:sz w:val="24"/>
          <w:highlight w:val="none"/>
        </w:rPr>
        <w:t>重</w:t>
      </w:r>
      <w:r>
        <w:rPr>
          <w:rFonts w:hint="eastAsia" w:ascii="宋体" w:hAnsi="宋体" w:eastAsia="宋体" w:cs="宋体"/>
          <w:color w:val="auto"/>
          <w:kern w:val="0"/>
          <w:sz w:val="24"/>
          <w:highlight w:val="none"/>
        </w:rPr>
        <w:t>新提交的响应文件和最后报价)，且又未按本章第</w:t>
      </w:r>
      <w:r>
        <w:rPr>
          <w:rFonts w:hint="eastAsia" w:ascii="宋体" w:hAnsi="宋体" w:eastAsia="宋体" w:cs="宋体"/>
          <w:color w:val="auto"/>
          <w:sz w:val="24"/>
          <w:highlight w:val="none"/>
        </w:rPr>
        <w:t>30.5</w:t>
      </w:r>
      <w:r>
        <w:rPr>
          <w:rFonts w:hint="eastAsia" w:ascii="宋体" w:hAnsi="宋体" w:eastAsia="宋体" w:cs="宋体"/>
          <w:color w:val="auto"/>
          <w:kern w:val="0"/>
          <w:sz w:val="24"/>
          <w:highlight w:val="none"/>
          <w:lang w:val="zh-CN"/>
        </w:rPr>
        <w:t>款</w:t>
      </w:r>
      <w:r>
        <w:rPr>
          <w:rFonts w:hint="eastAsia" w:ascii="宋体" w:hAnsi="宋体" w:eastAsia="宋体" w:cs="宋体"/>
          <w:color w:val="auto"/>
          <w:sz w:val="24"/>
          <w:highlight w:val="none"/>
        </w:rPr>
        <w:t>规定</w:t>
      </w:r>
      <w:r>
        <w:rPr>
          <w:rFonts w:hint="eastAsia" w:ascii="宋体" w:hAnsi="宋体" w:eastAsia="宋体" w:cs="宋体"/>
          <w:color w:val="auto"/>
          <w:kern w:val="0"/>
          <w:sz w:val="24"/>
          <w:highlight w:val="none"/>
        </w:rPr>
        <w:t>退出磋商的，供应商的磋商保证金不予退还。</w:t>
      </w:r>
    </w:p>
    <w:p w14:paraId="790184FE">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30.7磋商文件在磋商过程中未发生实质性变动的，参加磋商供应商的次轮报价不得高于上轮报价，否则视为无效响应。</w:t>
      </w:r>
    </w:p>
    <w:p w14:paraId="4A57F2CB">
      <w:pPr>
        <w:keepNext w:val="0"/>
        <w:keepLines w:val="0"/>
        <w:pageBreakBefore w:val="0"/>
        <w:widowControl/>
        <w:kinsoku/>
        <w:wordWrap/>
        <w:overflowPunct/>
        <w:topLinePunct w:val="0"/>
        <w:autoSpaceDE/>
        <w:bidi w:val="0"/>
        <w:adjustRightInd w:val="0"/>
        <w:snapToGrid w:val="0"/>
        <w:spacing w:line="380" w:lineRule="exact"/>
        <w:ind w:left="0" w:right="0" w:rightChars="0" w:firstLine="482"/>
        <w:jc w:val="left"/>
        <w:textAlignment w:val="auto"/>
        <w:outlineLvl w:val="9"/>
        <w:rPr>
          <w:rFonts w:hint="eastAsia" w:ascii="宋体" w:hAnsi="宋体" w:eastAsia="宋体" w:cs="宋体"/>
          <w:b/>
          <w:bCs/>
          <w:color w:val="auto"/>
          <w:sz w:val="24"/>
          <w:highlight w:val="none"/>
        </w:rPr>
      </w:pPr>
      <w:r>
        <w:rPr>
          <w:rFonts w:hint="eastAsia" w:ascii="宋体" w:hAnsi="宋体" w:eastAsia="宋体" w:cs="宋体"/>
          <w:b/>
          <w:color w:val="auto"/>
          <w:kern w:val="0"/>
          <w:sz w:val="24"/>
          <w:highlight w:val="none"/>
        </w:rPr>
        <w:t>31.响应文件评审</w:t>
      </w:r>
    </w:p>
    <w:p w14:paraId="2B0A2C97">
      <w:pPr>
        <w:keepNext w:val="0"/>
        <w:keepLines w:val="0"/>
        <w:pageBreakBefore w:val="0"/>
        <w:widowControl/>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31.1经磋商确定最终采购需求和提交最后报价的供应商后，由磋商小组采用综合评分法对提交最后报价的供应商的响应文件和最后报价进行综合评价。</w:t>
      </w:r>
    </w:p>
    <w:p w14:paraId="405D6456">
      <w:pPr>
        <w:keepNext w:val="0"/>
        <w:keepLines w:val="0"/>
        <w:pageBreakBefore w:val="0"/>
        <w:widowControl/>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color w:val="auto"/>
          <w:sz w:val="24"/>
          <w:highlight w:val="none"/>
        </w:rPr>
        <w:t>磋商须知前附表。</w:t>
      </w:r>
    </w:p>
    <w:p w14:paraId="59DF1C05">
      <w:pPr>
        <w:keepNext w:val="0"/>
        <w:keepLines w:val="0"/>
        <w:pageBreakBefore w:val="0"/>
        <w:widowControl/>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bCs/>
          <w:color w:val="auto"/>
          <w:sz w:val="24"/>
          <w:highlight w:val="none"/>
        </w:rPr>
      </w:pPr>
      <w:r>
        <w:rPr>
          <w:rFonts w:hint="eastAsia" w:ascii="宋体" w:hAnsi="宋体" w:eastAsia="宋体" w:cs="宋体"/>
          <w:color w:val="auto"/>
          <w:kern w:val="0"/>
          <w:sz w:val="24"/>
          <w:highlight w:val="none"/>
        </w:rPr>
        <w:t>31.3</w:t>
      </w:r>
      <w:r>
        <w:rPr>
          <w:rFonts w:hint="eastAsia" w:ascii="宋体" w:hAnsi="宋体" w:eastAsia="宋体" w:cs="宋体"/>
          <w:color w:val="auto"/>
          <w:sz w:val="24"/>
          <w:highlight w:val="none"/>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color w:val="auto"/>
          <w:sz w:val="24"/>
          <w:highlight w:val="none"/>
        </w:rPr>
        <w:t>磋商须知前附表</w:t>
      </w:r>
      <w:r>
        <w:rPr>
          <w:rFonts w:hint="eastAsia" w:ascii="宋体" w:hAnsi="宋体" w:eastAsia="宋体" w:cs="宋体"/>
          <w:color w:val="auto"/>
          <w:sz w:val="24"/>
          <w:highlight w:val="none"/>
        </w:rPr>
        <w:t>。</w:t>
      </w:r>
    </w:p>
    <w:p w14:paraId="5F42D16B">
      <w:pPr>
        <w:keepNext w:val="0"/>
        <w:keepLines w:val="0"/>
        <w:pageBreakBefore w:val="0"/>
        <w:widowControl/>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31.4综</w:t>
      </w:r>
      <w:r>
        <w:rPr>
          <w:rFonts w:hint="eastAsia" w:ascii="宋体" w:hAnsi="宋体" w:eastAsia="宋体" w:cs="宋体"/>
          <w:color w:val="auto"/>
          <w:spacing w:val="-4"/>
          <w:kern w:val="0"/>
          <w:sz w:val="24"/>
          <w:highlight w:val="none"/>
        </w:rPr>
        <w:t>合评分法中的价格分采用低价优先法计算，即满足磋商文件要求且经调整后的最后报价最低的供应商的价格为磋商基准价，其价格分为满分。其他供应商的价格分按照下列公式计算：</w:t>
      </w:r>
    </w:p>
    <w:p w14:paraId="2168DB67">
      <w:pPr>
        <w:keepNext w:val="0"/>
        <w:keepLines w:val="0"/>
        <w:pageBreakBefore w:val="0"/>
        <w:widowControl/>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cs="宋体"/>
          <w:color w:val="auto"/>
          <w:kern w:val="0"/>
          <w:sz w:val="24"/>
          <w:highlight w:val="none"/>
        </w:rPr>
      </w:pPr>
      <w:r>
        <w:rPr>
          <w:rFonts w:hint="eastAsia" w:ascii="宋体" w:hAnsi="宋体" w:cs="宋体"/>
          <w:color w:val="auto"/>
          <w:kern w:val="0"/>
          <w:sz w:val="24"/>
          <w:highlight w:val="none"/>
        </w:rPr>
        <w:t>磋商报价得分=（磋商基准价/最后磋商报价）×价格权值×100</w:t>
      </w:r>
    </w:p>
    <w:p w14:paraId="4EB5B69D">
      <w:pPr>
        <w:keepNext w:val="0"/>
        <w:keepLines w:val="0"/>
        <w:pageBreakBefore w:val="0"/>
        <w:widowControl/>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项目评审过程中，不得去掉最后报价中的最高报价和最低报价。</w:t>
      </w:r>
    </w:p>
    <w:p w14:paraId="2C2B87B8">
      <w:pPr>
        <w:keepNext w:val="0"/>
        <w:keepLines w:val="0"/>
        <w:pageBreakBefore w:val="0"/>
        <w:widowControl/>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bCs/>
          <w:color w:val="auto"/>
          <w:sz w:val="24"/>
          <w:highlight w:val="none"/>
        </w:rPr>
        <w:t>31.5</w:t>
      </w:r>
      <w:r>
        <w:rPr>
          <w:rFonts w:hint="eastAsia" w:ascii="宋体" w:hAnsi="宋体" w:eastAsia="宋体" w:cs="宋体"/>
          <w:color w:val="auto"/>
          <w:sz w:val="24"/>
          <w:highlight w:val="none"/>
        </w:rPr>
        <w:t>涉及政府采购政策优惠对供应商分值进行调整的，</w:t>
      </w:r>
      <w:r>
        <w:rPr>
          <w:rFonts w:hint="eastAsia" w:ascii="宋体" w:hAnsi="宋体" w:eastAsia="宋体" w:cs="宋体"/>
          <w:bCs/>
          <w:color w:val="auto"/>
          <w:sz w:val="24"/>
          <w:highlight w:val="none"/>
        </w:rPr>
        <w:t>按</w:t>
      </w:r>
      <w:r>
        <w:rPr>
          <w:rFonts w:hint="eastAsia" w:ascii="宋体" w:hAnsi="宋体" w:eastAsia="宋体" w:cs="宋体"/>
          <w:b/>
          <w:color w:val="auto"/>
          <w:sz w:val="24"/>
          <w:highlight w:val="none"/>
        </w:rPr>
        <w:t>磋商须知前附表</w:t>
      </w:r>
      <w:r>
        <w:rPr>
          <w:rFonts w:hint="eastAsia" w:ascii="宋体" w:hAnsi="宋体" w:eastAsia="宋体" w:cs="宋体"/>
          <w:bCs/>
          <w:color w:val="auto"/>
          <w:sz w:val="24"/>
          <w:highlight w:val="none"/>
        </w:rPr>
        <w:t>规定</w:t>
      </w:r>
      <w:r>
        <w:rPr>
          <w:rFonts w:hint="eastAsia" w:ascii="宋体" w:hAnsi="宋体" w:eastAsia="宋体" w:cs="宋体"/>
          <w:color w:val="auto"/>
          <w:sz w:val="24"/>
          <w:highlight w:val="none"/>
        </w:rPr>
        <w:t>调整供应商的技术、商务、价格</w:t>
      </w:r>
      <w:r>
        <w:rPr>
          <w:rFonts w:hint="eastAsia" w:ascii="宋体" w:hAnsi="宋体" w:eastAsia="宋体" w:cs="宋体"/>
          <w:color w:val="auto"/>
          <w:kern w:val="0"/>
          <w:sz w:val="24"/>
          <w:highlight w:val="none"/>
        </w:rPr>
        <w:t>得分或总得分</w:t>
      </w:r>
      <w:r>
        <w:rPr>
          <w:rFonts w:hint="eastAsia" w:ascii="宋体" w:hAnsi="宋体" w:eastAsia="宋体" w:cs="宋体"/>
          <w:color w:val="auto"/>
          <w:sz w:val="24"/>
          <w:highlight w:val="none"/>
        </w:rPr>
        <w:t>。</w:t>
      </w:r>
    </w:p>
    <w:p w14:paraId="1D0259CA">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31.6涉及多处或部分获得政府采购政策优惠的，其多处或部分享受政府采购优惠政策的计算方法见</w:t>
      </w:r>
      <w:r>
        <w:rPr>
          <w:rFonts w:hint="eastAsia" w:ascii="宋体" w:hAnsi="宋体" w:eastAsia="宋体" w:cs="宋体"/>
          <w:b/>
          <w:color w:val="auto"/>
          <w:sz w:val="24"/>
          <w:highlight w:val="none"/>
        </w:rPr>
        <w:t>磋商须知前附表</w:t>
      </w:r>
      <w:r>
        <w:rPr>
          <w:rFonts w:hint="eastAsia" w:ascii="宋体" w:hAnsi="宋体" w:eastAsia="宋体" w:cs="宋体"/>
          <w:color w:val="auto"/>
          <w:sz w:val="24"/>
          <w:highlight w:val="none"/>
        </w:rPr>
        <w:t>相关规定。</w:t>
      </w:r>
    </w:p>
    <w:p w14:paraId="7E3B59D8">
      <w:pPr>
        <w:keepNext w:val="0"/>
        <w:keepLines w:val="0"/>
        <w:pageBreakBefore w:val="0"/>
        <w:widowControl/>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31.7</w:t>
      </w:r>
      <w:r>
        <w:rPr>
          <w:rFonts w:hint="eastAsia" w:ascii="宋体" w:hAnsi="宋体" w:eastAsia="宋体" w:cs="宋体"/>
          <w:color w:val="auto"/>
          <w:sz w:val="24"/>
          <w:highlight w:val="none"/>
        </w:rPr>
        <w:t>评审</w:t>
      </w:r>
      <w:r>
        <w:rPr>
          <w:rFonts w:hint="eastAsia" w:ascii="宋体" w:hAnsi="宋体" w:eastAsia="宋体" w:cs="宋体"/>
          <w:color w:val="auto"/>
          <w:spacing w:val="-4"/>
          <w:sz w:val="24"/>
          <w:highlight w:val="none"/>
        </w:rPr>
        <w:t>时，磋商小组各成员应当独立对每个供应商的</w:t>
      </w:r>
      <w:r>
        <w:rPr>
          <w:rFonts w:hint="eastAsia" w:ascii="宋体" w:hAnsi="宋体" w:eastAsia="宋体" w:cs="宋体"/>
          <w:bCs/>
          <w:color w:val="auto"/>
          <w:spacing w:val="-4"/>
          <w:sz w:val="24"/>
          <w:highlight w:val="none"/>
        </w:rPr>
        <w:t>响应文件</w:t>
      </w:r>
      <w:r>
        <w:rPr>
          <w:rFonts w:hint="eastAsia" w:ascii="宋体" w:hAnsi="宋体" w:eastAsia="宋体" w:cs="宋体"/>
          <w:color w:val="auto"/>
          <w:spacing w:val="-4"/>
          <w:sz w:val="24"/>
          <w:highlight w:val="none"/>
        </w:rPr>
        <w:t>进行评价、评分，并按照政府采购优惠政策</w:t>
      </w:r>
      <w:r>
        <w:rPr>
          <w:rFonts w:hint="eastAsia" w:ascii="宋体" w:hAnsi="宋体" w:eastAsia="宋体" w:cs="宋体"/>
          <w:color w:val="auto"/>
          <w:sz w:val="24"/>
          <w:highlight w:val="none"/>
        </w:rPr>
        <w:t>对最后报价进行价格扣除和技术、商务、价格加分后，汇总各供应商的总得分。</w:t>
      </w:r>
    </w:p>
    <w:p w14:paraId="45F2ADE7">
      <w:pPr>
        <w:keepNext w:val="0"/>
        <w:keepLines w:val="0"/>
        <w:pageBreakBefore w:val="0"/>
        <w:widowControl/>
        <w:kinsoku/>
        <w:wordWrap/>
        <w:overflowPunct/>
        <w:topLinePunct w:val="0"/>
        <w:autoSpaceDE/>
        <w:bidi w:val="0"/>
        <w:adjustRightInd w:val="0"/>
        <w:snapToGrid w:val="0"/>
        <w:spacing w:line="380" w:lineRule="exact"/>
        <w:ind w:left="0" w:right="0" w:rightChars="0" w:firstLine="482"/>
        <w:jc w:val="left"/>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w:t>
      </w:r>
      <w:r>
        <w:rPr>
          <w:rFonts w:hint="eastAsia" w:ascii="宋体" w:hAnsi="宋体" w:eastAsia="宋体" w:cs="宋体"/>
          <w:b/>
          <w:color w:val="auto"/>
          <w:kern w:val="0"/>
          <w:sz w:val="24"/>
          <w:highlight w:val="none"/>
        </w:rPr>
        <w:t>.</w:t>
      </w:r>
      <w:r>
        <w:rPr>
          <w:rFonts w:hint="eastAsia" w:ascii="宋体" w:hAnsi="宋体" w:eastAsia="宋体" w:cs="宋体"/>
          <w:b/>
          <w:bCs/>
          <w:color w:val="auto"/>
          <w:sz w:val="24"/>
          <w:highlight w:val="none"/>
        </w:rPr>
        <w:t>提出成交供应商</w:t>
      </w:r>
    </w:p>
    <w:p w14:paraId="0A064945">
      <w:pPr>
        <w:keepNext w:val="0"/>
        <w:keepLines w:val="0"/>
        <w:pageBreakBefore w:val="0"/>
        <w:widowControl/>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32.1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和《财政部关于政府采购竞争性磋商采购方式管理暂行办法有关问题的补充通知》（财库〔2015〕124号）所列“政府购买服务项目（含政府和社会资本合作项目）、市场竞争不充分的科研项目以及需要扶持的科技成果转化项目”情形的，可以推荐2家成交候选供应商。</w:t>
      </w:r>
    </w:p>
    <w:p w14:paraId="2E358115">
      <w:pPr>
        <w:keepNext w:val="0"/>
        <w:keepLines w:val="0"/>
        <w:pageBreakBefore w:val="0"/>
        <w:tabs>
          <w:tab w:val="left" w:pos="0"/>
        </w:tabs>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33.确定成交供应商</w:t>
      </w:r>
    </w:p>
    <w:p w14:paraId="55A5D220">
      <w:pPr>
        <w:keepNext w:val="0"/>
        <w:keepLines w:val="0"/>
        <w:pageBreakBefore w:val="0"/>
        <w:widowControl/>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33.1采购代理机构应当在评审结束后2个工作日内将评审报告送采购人确认。</w:t>
      </w:r>
    </w:p>
    <w:p w14:paraId="557B0B1D">
      <w:pPr>
        <w:keepNext w:val="0"/>
        <w:keepLines w:val="0"/>
        <w:pageBreakBefore w:val="0"/>
        <w:widowControl/>
        <w:kinsoku/>
        <w:wordWrap/>
        <w:overflowPunct/>
        <w:topLinePunct w:val="0"/>
        <w:autoSpaceDE/>
        <w:bidi w:val="0"/>
        <w:adjustRightInd w:val="0"/>
        <w:snapToGrid w:val="0"/>
        <w:spacing w:line="380" w:lineRule="exact"/>
        <w:ind w:left="0" w:right="0" w:rightChars="0" w:firstLine="48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33.2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C662A2E">
      <w:pPr>
        <w:pStyle w:val="14"/>
        <w:keepNext w:val="0"/>
        <w:keepLines w:val="0"/>
        <w:pageBreakBefore w:val="0"/>
        <w:kinsoku/>
        <w:wordWrap/>
        <w:overflowPunct/>
        <w:topLinePunct w:val="0"/>
        <w:autoSpaceDE/>
        <w:bidi w:val="0"/>
        <w:adjustRightInd w:val="0"/>
        <w:snapToGrid w:val="0"/>
        <w:spacing w:line="380" w:lineRule="exact"/>
        <w:ind w:left="0" w:right="0" w:rightChars="0" w:hanging="723" w:hangingChars="300"/>
        <w:textAlignment w:val="auto"/>
        <w:outlineLvl w:val="9"/>
        <w:rPr>
          <w:rFonts w:hint="eastAsia" w:hAnsi="宋体" w:eastAsia="宋体" w:cs="宋体"/>
          <w:b/>
          <w:color w:val="auto"/>
          <w:sz w:val="24"/>
          <w:szCs w:val="24"/>
          <w:highlight w:val="none"/>
        </w:rPr>
      </w:pPr>
      <w:r>
        <w:rPr>
          <w:rFonts w:hint="eastAsia" w:hAnsi="宋体" w:eastAsia="宋体" w:cs="宋体"/>
          <w:b/>
          <w:color w:val="auto"/>
          <w:sz w:val="24"/>
          <w:szCs w:val="24"/>
          <w:highlight w:val="none"/>
        </w:rPr>
        <w:t>34.磋商终止</w:t>
      </w:r>
    </w:p>
    <w:p w14:paraId="266D0DF7">
      <w:pPr>
        <w:keepNext w:val="0"/>
        <w:keepLines w:val="0"/>
        <w:pageBreakBefore w:val="0"/>
        <w:widowControl/>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bCs/>
          <w:color w:val="auto"/>
          <w:sz w:val="24"/>
          <w:highlight w:val="none"/>
        </w:rPr>
        <w:t>34.1</w:t>
      </w:r>
      <w:r>
        <w:rPr>
          <w:rFonts w:hint="eastAsia" w:ascii="宋体" w:hAnsi="宋体" w:eastAsia="宋体" w:cs="宋体"/>
          <w:color w:val="auto"/>
          <w:kern w:val="0"/>
          <w:sz w:val="24"/>
          <w:highlight w:val="none"/>
        </w:rPr>
        <w:t>出现下列情形之一的，采购人或者采购代理机构应当终止竞争性磋商采购活动，</w:t>
      </w:r>
      <w:r>
        <w:rPr>
          <w:rFonts w:hint="eastAsia" w:ascii="宋体" w:hAnsi="宋体" w:eastAsia="宋体" w:cs="宋体"/>
          <w:color w:val="auto"/>
          <w:sz w:val="24"/>
          <w:highlight w:val="none"/>
        </w:rPr>
        <w:t>在本章第37.1款指定的媒体上</w:t>
      </w:r>
      <w:r>
        <w:rPr>
          <w:rFonts w:hint="eastAsia" w:ascii="宋体" w:hAnsi="宋体" w:eastAsia="宋体" w:cs="宋体"/>
          <w:color w:val="auto"/>
          <w:kern w:val="0"/>
          <w:sz w:val="24"/>
          <w:highlight w:val="none"/>
        </w:rPr>
        <w:t xml:space="preserve">发布项目终止公告并说明原因，重新开展采购活动： </w:t>
      </w:r>
    </w:p>
    <w:p w14:paraId="40BD7BE5">
      <w:pPr>
        <w:keepNext w:val="0"/>
        <w:keepLines w:val="0"/>
        <w:pageBreakBefore w:val="0"/>
        <w:widowControl/>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（1）因情况变化，不再符合规定的竞争性磋商采购方式适用情形的；</w:t>
      </w:r>
    </w:p>
    <w:p w14:paraId="4046DEC0">
      <w:pPr>
        <w:keepNext w:val="0"/>
        <w:keepLines w:val="0"/>
        <w:pageBreakBefore w:val="0"/>
        <w:widowControl/>
        <w:kinsoku/>
        <w:wordWrap/>
        <w:overflowPunct/>
        <w:topLinePunct w:val="0"/>
        <w:autoSpaceDE/>
        <w:bidi w:val="0"/>
        <w:adjustRightInd w:val="0"/>
        <w:snapToGrid w:val="0"/>
        <w:spacing w:line="380" w:lineRule="exact"/>
        <w:ind w:left="0" w:right="0" w:rightChars="0" w:firstLine="48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（2）出现影响采购公正的违法、违规行为的；</w:t>
      </w:r>
    </w:p>
    <w:p w14:paraId="79DC4E6D">
      <w:pPr>
        <w:keepNext w:val="0"/>
        <w:keepLines w:val="0"/>
        <w:pageBreakBefore w:val="0"/>
        <w:widowControl/>
        <w:kinsoku/>
        <w:wordWrap/>
        <w:overflowPunct/>
        <w:topLinePunct w:val="0"/>
        <w:autoSpaceDE/>
        <w:bidi w:val="0"/>
        <w:adjustRightInd w:val="0"/>
        <w:snapToGrid w:val="0"/>
        <w:spacing w:line="380" w:lineRule="exact"/>
        <w:ind w:left="0" w:right="0" w:rightChars="0" w:firstLine="480"/>
        <w:jc w:val="left"/>
        <w:textAlignment w:val="auto"/>
        <w:outlineLvl w:val="9"/>
        <w:rPr>
          <w:rFonts w:hint="eastAsia" w:ascii="宋体" w:hAnsi="宋体" w:eastAsia="宋体" w:cs="宋体"/>
          <w:bCs/>
          <w:color w:val="auto"/>
          <w:sz w:val="24"/>
          <w:highlight w:val="none"/>
        </w:rPr>
      </w:pPr>
      <w:r>
        <w:rPr>
          <w:rFonts w:hint="eastAsia" w:ascii="宋体" w:hAnsi="宋体" w:eastAsia="宋体" w:cs="宋体"/>
          <w:color w:val="auto"/>
          <w:kern w:val="0"/>
          <w:sz w:val="24"/>
          <w:highlight w:val="none"/>
        </w:rPr>
        <w:t>（3）</w:t>
      </w:r>
      <w:r>
        <w:rPr>
          <w:rFonts w:hint="eastAsia" w:ascii="宋体" w:hAnsi="宋体" w:eastAsia="宋体" w:cs="宋体"/>
          <w:bCs/>
          <w:color w:val="auto"/>
          <w:sz w:val="24"/>
          <w:highlight w:val="none"/>
        </w:rPr>
        <w:t>除《政府采购竞争性磋商采购方式管理暂行办法》(财库〔2014〕214号)</w:t>
      </w:r>
      <w:r>
        <w:rPr>
          <w:rFonts w:hint="eastAsia" w:ascii="宋体" w:hAnsi="宋体" w:eastAsia="宋体" w:cs="宋体"/>
          <w:color w:val="auto"/>
          <w:kern w:val="0"/>
          <w:sz w:val="24"/>
          <w:highlight w:val="none"/>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color w:val="auto"/>
          <w:sz w:val="24"/>
          <w:highlight w:val="none"/>
        </w:rPr>
        <w:t>情形外，在采购过程中符合要求的供应商或者报价未超过采购预算的供应商不足3家的；</w:t>
      </w:r>
    </w:p>
    <w:p w14:paraId="13B9B445">
      <w:pPr>
        <w:keepNext w:val="0"/>
        <w:keepLines w:val="0"/>
        <w:pageBreakBefore w:val="0"/>
        <w:widowControl/>
        <w:kinsoku/>
        <w:wordWrap/>
        <w:overflowPunct/>
        <w:topLinePunct w:val="0"/>
        <w:autoSpaceDE/>
        <w:bidi w:val="0"/>
        <w:adjustRightInd w:val="0"/>
        <w:snapToGrid w:val="0"/>
        <w:spacing w:line="380" w:lineRule="exact"/>
        <w:ind w:left="0" w:right="0" w:rightChars="0" w:firstLine="480"/>
        <w:jc w:val="left"/>
        <w:textAlignment w:val="auto"/>
        <w:outlineLvl w:val="9"/>
        <w:rPr>
          <w:rFonts w:hint="eastAsia" w:ascii="宋体" w:hAnsi="宋体" w:eastAsia="宋体" w:cs="宋体"/>
          <w:bCs/>
          <w:color w:val="auto"/>
          <w:sz w:val="24"/>
          <w:highlight w:val="none"/>
        </w:rPr>
      </w:pPr>
      <w:r>
        <w:rPr>
          <w:rFonts w:hint="eastAsia" w:ascii="宋体" w:hAnsi="宋体" w:eastAsia="宋体" w:cs="宋体"/>
          <w:color w:val="auto"/>
          <w:kern w:val="0"/>
          <w:sz w:val="24"/>
          <w:highlight w:val="none"/>
        </w:rPr>
        <w:t>（4）因重大变故，采购任务取消的。</w:t>
      </w:r>
    </w:p>
    <w:p w14:paraId="56457A88">
      <w:pPr>
        <w:keepNext w:val="0"/>
        <w:keepLines w:val="0"/>
        <w:pageBreakBefore w:val="0"/>
        <w:widowControl/>
        <w:kinsoku/>
        <w:wordWrap/>
        <w:overflowPunct/>
        <w:topLinePunct w:val="0"/>
        <w:autoSpaceDE/>
        <w:bidi w:val="0"/>
        <w:adjustRightInd w:val="0"/>
        <w:snapToGrid w:val="0"/>
        <w:spacing w:line="380" w:lineRule="exact"/>
        <w:ind w:left="0" w:right="0" w:rightChars="0" w:firstLine="482"/>
        <w:jc w:val="left"/>
        <w:textAlignment w:val="auto"/>
        <w:outlineLvl w:val="9"/>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35．重新评审</w:t>
      </w:r>
    </w:p>
    <w:p w14:paraId="427A877A">
      <w:pPr>
        <w:keepNext w:val="0"/>
        <w:keepLines w:val="0"/>
        <w:pageBreakBefore w:val="0"/>
        <w:widowControl/>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71AC2584">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36.保密及串通行为</w:t>
      </w:r>
    </w:p>
    <w:p w14:paraId="74281CC1">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36.1磋商小组成员以及与评审工作有关的人员不得泄露评审情况以及评审过程中获悉的国家秘密、商业秘密。</w:t>
      </w:r>
    </w:p>
    <w:p w14:paraId="41E41638">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36.2</w:t>
      </w:r>
      <w:r>
        <w:rPr>
          <w:rFonts w:hint="eastAsia" w:ascii="宋体" w:hAnsi="宋体" w:eastAsia="宋体" w:cs="宋体"/>
          <w:color w:val="auto"/>
          <w:kern w:val="0"/>
          <w:sz w:val="24"/>
          <w:highlight w:val="none"/>
        </w:rPr>
        <w:t>供应商</w:t>
      </w:r>
      <w:r>
        <w:rPr>
          <w:rFonts w:hint="eastAsia" w:ascii="宋体" w:hAnsi="宋体" w:eastAsia="宋体" w:cs="宋体"/>
          <w:color w:val="auto"/>
          <w:sz w:val="24"/>
          <w:highlight w:val="none"/>
        </w:rPr>
        <w:t>不得与</w:t>
      </w:r>
      <w:r>
        <w:rPr>
          <w:rFonts w:hint="eastAsia" w:ascii="宋体" w:hAnsi="宋体" w:eastAsia="宋体" w:cs="宋体"/>
          <w:color w:val="auto"/>
          <w:kern w:val="0"/>
          <w:sz w:val="24"/>
          <w:highlight w:val="none"/>
        </w:rPr>
        <w:t>采购人、采购代理机构、其他供应商恶意</w:t>
      </w:r>
      <w:r>
        <w:rPr>
          <w:rFonts w:hint="eastAsia" w:ascii="宋体" w:hAnsi="宋体" w:eastAsia="宋体" w:cs="宋体"/>
          <w:color w:val="auto"/>
          <w:sz w:val="24"/>
          <w:highlight w:val="none"/>
        </w:rPr>
        <w:t>串通；不得向</w:t>
      </w:r>
      <w:r>
        <w:rPr>
          <w:rFonts w:hint="eastAsia" w:ascii="宋体" w:hAnsi="宋体" w:eastAsia="宋体" w:cs="宋体"/>
          <w:color w:val="auto"/>
          <w:kern w:val="0"/>
          <w:sz w:val="24"/>
          <w:highlight w:val="none"/>
        </w:rPr>
        <w:t>采购人、采购代理机构</w:t>
      </w:r>
      <w:r>
        <w:rPr>
          <w:rFonts w:hint="eastAsia" w:ascii="宋体" w:hAnsi="宋体" w:eastAsia="宋体" w:cs="宋体"/>
          <w:color w:val="auto"/>
          <w:sz w:val="24"/>
          <w:highlight w:val="none"/>
        </w:rPr>
        <w:t>或者磋商小组成员行贿或者提供其他不正当利益；不得提供虚假资料谋取成交；不得以任何方式干扰、影响采购工作。</w:t>
      </w:r>
    </w:p>
    <w:p w14:paraId="663530CB">
      <w:pPr>
        <w:pStyle w:val="27"/>
        <w:keepNext w:val="0"/>
        <w:keepLines w:val="0"/>
        <w:pageBreakBefore w:val="0"/>
        <w:kinsoku/>
        <w:wordWrap/>
        <w:overflowPunct/>
        <w:topLinePunct w:val="0"/>
        <w:autoSpaceDE/>
        <w:bidi w:val="0"/>
        <w:adjustRightInd w:val="0"/>
        <w:snapToGrid w:val="0"/>
        <w:spacing w:before="0" w:beforeAutospacing="0" w:after="0" w:afterAutospacing="0" w:line="380" w:lineRule="exact"/>
        <w:ind w:left="0" w:right="0" w:rightChars="0" w:firstLine="480" w:firstLineChars="200"/>
        <w:textAlignment w:val="auto"/>
        <w:outlineLvl w:val="9"/>
        <w:rPr>
          <w:rFonts w:hint="eastAsia" w:eastAsia="宋体"/>
          <w:color w:val="auto"/>
          <w:highlight w:val="none"/>
          <w:lang w:val="zh-CN"/>
        </w:rPr>
      </w:pPr>
      <w:r>
        <w:rPr>
          <w:rFonts w:hint="eastAsia" w:eastAsia="宋体"/>
          <w:color w:val="auto"/>
          <w:highlight w:val="none"/>
        </w:rPr>
        <w:t>36.3</w:t>
      </w:r>
      <w:r>
        <w:rPr>
          <w:rFonts w:hint="eastAsia" w:eastAsia="宋体"/>
          <w:color w:val="auto"/>
          <w:highlight w:val="none"/>
          <w:lang w:val="zh-CN"/>
        </w:rPr>
        <w:t>有下列情形之一的，属于恶意串通，对供应商依照政府采购法第七十七条第一款的规定追究法律责任：</w:t>
      </w:r>
    </w:p>
    <w:p w14:paraId="219DBC68">
      <w:pPr>
        <w:pStyle w:val="27"/>
        <w:keepNext w:val="0"/>
        <w:keepLines w:val="0"/>
        <w:pageBreakBefore w:val="0"/>
        <w:kinsoku/>
        <w:wordWrap/>
        <w:overflowPunct/>
        <w:topLinePunct w:val="0"/>
        <w:autoSpaceDE/>
        <w:bidi w:val="0"/>
        <w:adjustRightInd w:val="0"/>
        <w:snapToGrid w:val="0"/>
        <w:spacing w:before="0" w:beforeAutospacing="0" w:after="0" w:afterAutospacing="0" w:line="380" w:lineRule="exact"/>
        <w:ind w:left="0" w:right="0" w:rightChars="0" w:firstLine="480" w:firstLineChars="200"/>
        <w:textAlignment w:val="auto"/>
        <w:outlineLvl w:val="9"/>
        <w:rPr>
          <w:rFonts w:hint="eastAsia" w:eastAsia="宋体"/>
          <w:color w:val="auto"/>
          <w:highlight w:val="none"/>
          <w:lang w:val="zh-CN"/>
        </w:rPr>
      </w:pPr>
      <w:r>
        <w:rPr>
          <w:rFonts w:hint="eastAsia" w:eastAsia="宋体"/>
          <w:color w:val="auto"/>
          <w:highlight w:val="none"/>
          <w:lang w:val="zh-CN"/>
        </w:rPr>
        <w:t>（一）供应商直接或者间接从采购人或者采购代理机构处获得其他供应商的相关情况并修改其响应文件或者响应文件；</w:t>
      </w:r>
    </w:p>
    <w:p w14:paraId="3B51A165">
      <w:pPr>
        <w:pStyle w:val="27"/>
        <w:keepNext w:val="0"/>
        <w:keepLines w:val="0"/>
        <w:pageBreakBefore w:val="0"/>
        <w:kinsoku/>
        <w:wordWrap/>
        <w:overflowPunct/>
        <w:topLinePunct w:val="0"/>
        <w:autoSpaceDE/>
        <w:bidi w:val="0"/>
        <w:adjustRightInd w:val="0"/>
        <w:snapToGrid w:val="0"/>
        <w:spacing w:before="0" w:beforeAutospacing="0" w:after="0" w:afterAutospacing="0" w:line="380" w:lineRule="exact"/>
        <w:ind w:left="0" w:right="0" w:rightChars="0" w:firstLine="480" w:firstLineChars="200"/>
        <w:textAlignment w:val="auto"/>
        <w:outlineLvl w:val="9"/>
        <w:rPr>
          <w:rFonts w:hint="eastAsia" w:eastAsia="宋体"/>
          <w:color w:val="auto"/>
          <w:highlight w:val="none"/>
          <w:lang w:val="zh-CN"/>
        </w:rPr>
      </w:pPr>
      <w:r>
        <w:rPr>
          <w:rFonts w:hint="eastAsia" w:eastAsia="宋体"/>
          <w:color w:val="auto"/>
          <w:highlight w:val="none"/>
          <w:lang w:val="zh-CN"/>
        </w:rPr>
        <w:t>（二）供应商按照采购人或者采购代理机构的授意撤换、修改响应文件或者响应文件；</w:t>
      </w:r>
    </w:p>
    <w:p w14:paraId="45A981B3">
      <w:pPr>
        <w:pStyle w:val="27"/>
        <w:keepNext w:val="0"/>
        <w:keepLines w:val="0"/>
        <w:pageBreakBefore w:val="0"/>
        <w:kinsoku/>
        <w:wordWrap/>
        <w:overflowPunct/>
        <w:topLinePunct w:val="0"/>
        <w:autoSpaceDE/>
        <w:bidi w:val="0"/>
        <w:adjustRightInd w:val="0"/>
        <w:snapToGrid w:val="0"/>
        <w:spacing w:before="0" w:beforeAutospacing="0" w:after="0" w:afterAutospacing="0" w:line="380" w:lineRule="exact"/>
        <w:ind w:left="0" w:right="0" w:rightChars="0" w:firstLine="480" w:firstLineChars="200"/>
        <w:textAlignment w:val="auto"/>
        <w:outlineLvl w:val="9"/>
        <w:rPr>
          <w:rFonts w:hint="eastAsia" w:eastAsia="宋体"/>
          <w:color w:val="auto"/>
          <w:highlight w:val="none"/>
          <w:lang w:val="zh-CN"/>
        </w:rPr>
      </w:pPr>
      <w:r>
        <w:rPr>
          <w:rFonts w:hint="eastAsia" w:eastAsia="宋体"/>
          <w:color w:val="auto"/>
          <w:highlight w:val="none"/>
          <w:lang w:val="zh-CN"/>
        </w:rPr>
        <w:t>（三）供应商之间协商报价、技术方案等响应文件或者响应文件的实质性内容；</w:t>
      </w:r>
    </w:p>
    <w:p w14:paraId="12E179FC">
      <w:pPr>
        <w:pStyle w:val="27"/>
        <w:keepNext w:val="0"/>
        <w:keepLines w:val="0"/>
        <w:pageBreakBefore w:val="0"/>
        <w:kinsoku/>
        <w:wordWrap/>
        <w:overflowPunct/>
        <w:topLinePunct w:val="0"/>
        <w:autoSpaceDE/>
        <w:bidi w:val="0"/>
        <w:adjustRightInd w:val="0"/>
        <w:snapToGrid w:val="0"/>
        <w:spacing w:before="0" w:beforeAutospacing="0" w:after="0" w:afterAutospacing="0" w:line="380" w:lineRule="exact"/>
        <w:ind w:left="0" w:right="0" w:rightChars="0" w:firstLine="480" w:firstLineChars="200"/>
        <w:textAlignment w:val="auto"/>
        <w:outlineLvl w:val="9"/>
        <w:rPr>
          <w:rFonts w:hint="eastAsia" w:eastAsia="宋体"/>
          <w:color w:val="auto"/>
          <w:highlight w:val="none"/>
          <w:lang w:val="zh-CN"/>
        </w:rPr>
      </w:pPr>
      <w:r>
        <w:rPr>
          <w:rFonts w:hint="eastAsia" w:eastAsia="宋体"/>
          <w:color w:val="auto"/>
          <w:highlight w:val="none"/>
          <w:lang w:val="zh-CN"/>
        </w:rPr>
        <w:t>（四）属</w:t>
      </w:r>
      <w:r>
        <w:rPr>
          <w:rFonts w:hint="eastAsia" w:eastAsia="宋体"/>
          <w:color w:val="auto"/>
          <w:spacing w:val="-8"/>
          <w:highlight w:val="none"/>
          <w:lang w:val="zh-CN"/>
        </w:rPr>
        <w:t>于同一集团、协会、商会等组织成员的供应商按照该组织要求协同参加政府采购活动；</w:t>
      </w:r>
    </w:p>
    <w:p w14:paraId="6F1176BC">
      <w:pPr>
        <w:pStyle w:val="27"/>
        <w:keepNext w:val="0"/>
        <w:keepLines w:val="0"/>
        <w:pageBreakBefore w:val="0"/>
        <w:kinsoku/>
        <w:wordWrap/>
        <w:overflowPunct/>
        <w:topLinePunct w:val="0"/>
        <w:autoSpaceDE/>
        <w:bidi w:val="0"/>
        <w:adjustRightInd w:val="0"/>
        <w:snapToGrid w:val="0"/>
        <w:spacing w:before="0" w:beforeAutospacing="0" w:after="0" w:afterAutospacing="0" w:line="380" w:lineRule="exact"/>
        <w:ind w:left="0" w:right="0" w:rightChars="0" w:firstLine="480" w:firstLineChars="200"/>
        <w:textAlignment w:val="auto"/>
        <w:outlineLvl w:val="9"/>
        <w:rPr>
          <w:rFonts w:hint="eastAsia" w:eastAsia="宋体"/>
          <w:color w:val="auto"/>
          <w:highlight w:val="none"/>
          <w:lang w:val="zh-CN"/>
        </w:rPr>
      </w:pPr>
      <w:r>
        <w:rPr>
          <w:rFonts w:hint="eastAsia" w:eastAsia="宋体"/>
          <w:color w:val="auto"/>
          <w:highlight w:val="none"/>
          <w:lang w:val="zh-CN"/>
        </w:rPr>
        <w:t>（五）供应商之间事先约定由某一特定供应商中标、成交；</w:t>
      </w:r>
    </w:p>
    <w:p w14:paraId="0C05015D">
      <w:pPr>
        <w:pStyle w:val="27"/>
        <w:keepNext w:val="0"/>
        <w:keepLines w:val="0"/>
        <w:pageBreakBefore w:val="0"/>
        <w:kinsoku/>
        <w:wordWrap/>
        <w:overflowPunct/>
        <w:topLinePunct w:val="0"/>
        <w:autoSpaceDE/>
        <w:bidi w:val="0"/>
        <w:adjustRightInd w:val="0"/>
        <w:snapToGrid w:val="0"/>
        <w:spacing w:before="0" w:beforeAutospacing="0" w:after="0" w:afterAutospacing="0" w:line="380" w:lineRule="exact"/>
        <w:ind w:left="0" w:right="0" w:rightChars="0" w:firstLine="480" w:firstLineChars="200"/>
        <w:textAlignment w:val="auto"/>
        <w:outlineLvl w:val="9"/>
        <w:rPr>
          <w:rFonts w:hint="eastAsia" w:eastAsia="宋体"/>
          <w:color w:val="auto"/>
          <w:highlight w:val="none"/>
          <w:lang w:val="zh-CN"/>
        </w:rPr>
      </w:pPr>
      <w:r>
        <w:rPr>
          <w:rFonts w:hint="eastAsia" w:eastAsia="宋体"/>
          <w:color w:val="auto"/>
          <w:highlight w:val="none"/>
          <w:lang w:val="zh-CN"/>
        </w:rPr>
        <w:t>（六）供应商之间商定部分供应商放弃参加政府采购活动或者放弃中标、成交；</w:t>
      </w:r>
    </w:p>
    <w:p w14:paraId="3711F207">
      <w:pPr>
        <w:pStyle w:val="27"/>
        <w:keepNext w:val="0"/>
        <w:keepLines w:val="0"/>
        <w:pageBreakBefore w:val="0"/>
        <w:kinsoku/>
        <w:wordWrap/>
        <w:overflowPunct/>
        <w:topLinePunct w:val="0"/>
        <w:autoSpaceDE/>
        <w:bidi w:val="0"/>
        <w:adjustRightInd w:val="0"/>
        <w:snapToGrid w:val="0"/>
        <w:spacing w:before="0" w:beforeAutospacing="0" w:after="0" w:afterAutospacing="0" w:line="380" w:lineRule="exact"/>
        <w:ind w:left="0" w:right="0" w:rightChars="0" w:firstLine="480" w:firstLineChars="200"/>
        <w:textAlignment w:val="auto"/>
        <w:outlineLvl w:val="9"/>
        <w:rPr>
          <w:rFonts w:hint="eastAsia" w:eastAsia="宋体"/>
          <w:color w:val="auto"/>
          <w:highlight w:val="none"/>
          <w:lang w:val="zh-CN"/>
        </w:rPr>
      </w:pPr>
      <w:r>
        <w:rPr>
          <w:rFonts w:hint="eastAsia" w:eastAsia="宋体"/>
          <w:color w:val="auto"/>
          <w:highlight w:val="none"/>
          <w:lang w:val="zh-CN"/>
        </w:rPr>
        <w:t>（七）供应商与采购人或者采购代理机构之间、供应商相互之间，为谋求特定供应商中标、成交或者排斥其他供应商的其他串通行为。</w:t>
      </w:r>
    </w:p>
    <w:p w14:paraId="467EB495">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p>
    <w:p w14:paraId="05E2A142">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六、成交结果信息公布与授予合同</w:t>
      </w:r>
    </w:p>
    <w:p w14:paraId="62510E62">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37.成交信息的公布</w:t>
      </w:r>
    </w:p>
    <w:p w14:paraId="5AA1A249">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37.1成交供应商确定后2个工作日内，成交结果信息将在</w:t>
      </w:r>
      <w:r>
        <w:rPr>
          <w:rFonts w:hint="eastAsia" w:hAnsi="宋体" w:eastAsia="宋体" w:cs="宋体"/>
          <w:b/>
          <w:color w:val="auto"/>
          <w:sz w:val="24"/>
          <w:szCs w:val="24"/>
          <w:highlight w:val="none"/>
        </w:rPr>
        <w:t>磋商须知前附表</w:t>
      </w:r>
      <w:r>
        <w:rPr>
          <w:rFonts w:hint="eastAsia" w:hAnsi="宋体" w:eastAsia="宋体" w:cs="宋体"/>
          <w:color w:val="auto"/>
          <w:sz w:val="24"/>
          <w:szCs w:val="24"/>
          <w:highlight w:val="none"/>
        </w:rPr>
        <w:t>指定的媒体上公布。</w:t>
      </w:r>
    </w:p>
    <w:p w14:paraId="05DBBED0">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38.询问及质疑</w:t>
      </w:r>
    </w:p>
    <w:p w14:paraId="5A33E171">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38.1供应商对政府采购活动事项有疑问的，可以向采购人或采购代理机构提出询问。</w:t>
      </w:r>
    </w:p>
    <w:p w14:paraId="135C8884">
      <w:pPr>
        <w:keepNext w:val="0"/>
        <w:keepLines w:val="0"/>
        <w:pageBreakBefore w:val="0"/>
        <w:kinsoku/>
        <w:wordWrap/>
        <w:overflowPunct/>
        <w:topLinePunct w:val="0"/>
        <w:autoSpaceDE/>
        <w:bidi w:val="0"/>
        <w:adjustRightInd w:val="0"/>
        <w:snapToGrid w:val="0"/>
        <w:spacing w:line="380" w:lineRule="exact"/>
        <w:ind w:left="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38.2供应商若认为磋商文件、采购过程和成交结果使自己的权益受到损害，可以按法律、行政法规及湖南省财政厅规范性文件规定向采购人或采购代理机构提出质疑。</w:t>
      </w:r>
    </w:p>
    <w:p w14:paraId="5FEDE8F9">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39.成交通知</w:t>
      </w:r>
    </w:p>
    <w:p w14:paraId="450F7B10">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39.1成交供应商确定后，采购人或采购代理机构将以书面形式向成交供应商发出成交通知书。成交通知书对采购人和成交供应商具有同等法律效力。</w:t>
      </w:r>
    </w:p>
    <w:p w14:paraId="7DF0F026">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39.2 成交通知书是合同文件的组成部分。</w:t>
      </w:r>
    </w:p>
    <w:p w14:paraId="1F39CBC1">
      <w:pPr>
        <w:keepNext w:val="0"/>
        <w:keepLines w:val="0"/>
        <w:pageBreakBefore w:val="0"/>
        <w:tabs>
          <w:tab w:val="left" w:pos="7560"/>
          <w:tab w:val="left" w:pos="7740"/>
          <w:tab w:val="left" w:pos="7920"/>
        </w:tabs>
        <w:kinsoku/>
        <w:wordWrap/>
        <w:overflowPunct/>
        <w:topLinePunct w:val="0"/>
        <w:autoSpaceDE/>
        <w:autoSpaceDN w:val="0"/>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xml:space="preserve">39.3 </w:t>
      </w:r>
      <w:r>
        <w:rPr>
          <w:rFonts w:hint="eastAsia" w:ascii="宋体" w:hAnsi="宋体" w:eastAsia="宋体" w:cs="宋体"/>
          <w:color w:val="auto"/>
          <w:sz w:val="24"/>
          <w:highlight w:val="none"/>
        </w:rPr>
        <w:t>成</w:t>
      </w:r>
      <w:r>
        <w:rPr>
          <w:rFonts w:hint="eastAsia" w:ascii="宋体" w:hAnsi="宋体" w:eastAsia="宋体" w:cs="宋体"/>
          <w:color w:val="auto"/>
          <w:spacing w:val="-4"/>
          <w:sz w:val="24"/>
          <w:highlight w:val="none"/>
        </w:rPr>
        <w:t>交供应商在收到采购代理机构的成交通知书后10日内，应按照</w:t>
      </w:r>
      <w:r>
        <w:rPr>
          <w:rFonts w:hint="eastAsia" w:ascii="宋体" w:hAnsi="宋体" w:eastAsia="宋体" w:cs="宋体"/>
          <w:b/>
          <w:color w:val="auto"/>
          <w:spacing w:val="-4"/>
          <w:sz w:val="24"/>
          <w:highlight w:val="none"/>
        </w:rPr>
        <w:t>磋商须知前附表</w:t>
      </w:r>
      <w:r>
        <w:rPr>
          <w:rFonts w:hint="eastAsia" w:ascii="宋体" w:hAnsi="宋体" w:eastAsia="宋体" w:cs="宋体"/>
          <w:color w:val="auto"/>
          <w:spacing w:val="-4"/>
          <w:sz w:val="24"/>
          <w:highlight w:val="none"/>
        </w:rPr>
        <w:t>的规定，向采购人提交履约担保。联合体成交的，履约担保由联合体各方或联合体中牵头人的名义提交。</w:t>
      </w:r>
    </w:p>
    <w:p w14:paraId="074A7EF6">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39.4 成交供应商</w:t>
      </w:r>
      <w:r>
        <w:rPr>
          <w:rFonts w:hint="eastAsia" w:hAnsi="宋体" w:eastAsia="宋体" w:cs="宋体"/>
          <w:color w:val="auto"/>
          <w:spacing w:val="4"/>
          <w:sz w:val="24"/>
          <w:szCs w:val="24"/>
          <w:highlight w:val="none"/>
        </w:rPr>
        <w:t>没有按照本章第39.3</w:t>
      </w:r>
      <w:r>
        <w:rPr>
          <w:rFonts w:hint="eastAsia" w:hAnsi="宋体" w:eastAsia="宋体" w:cs="宋体"/>
          <w:color w:val="auto"/>
          <w:kern w:val="0"/>
          <w:sz w:val="24"/>
          <w:szCs w:val="24"/>
          <w:highlight w:val="none"/>
          <w:lang w:val="zh-CN"/>
        </w:rPr>
        <w:t>款</w:t>
      </w:r>
      <w:r>
        <w:rPr>
          <w:rFonts w:hint="eastAsia" w:hAnsi="宋体" w:eastAsia="宋体" w:cs="宋体"/>
          <w:color w:val="auto"/>
          <w:spacing w:val="4"/>
          <w:sz w:val="24"/>
          <w:szCs w:val="24"/>
          <w:highlight w:val="none"/>
        </w:rPr>
        <w:t>规定</w:t>
      </w:r>
      <w:r>
        <w:rPr>
          <w:rFonts w:hint="eastAsia" w:hAnsi="宋体" w:eastAsia="宋体" w:cs="宋体"/>
          <w:color w:val="auto"/>
          <w:sz w:val="24"/>
          <w:szCs w:val="24"/>
          <w:highlight w:val="none"/>
        </w:rPr>
        <w:t>提交履约担保的</w:t>
      </w:r>
      <w:r>
        <w:rPr>
          <w:rFonts w:hint="eastAsia" w:hAnsi="宋体" w:eastAsia="宋体" w:cs="宋体"/>
          <w:color w:val="auto"/>
          <w:spacing w:val="4"/>
          <w:sz w:val="24"/>
          <w:szCs w:val="24"/>
          <w:highlight w:val="none"/>
        </w:rPr>
        <w:t>，视为放弃</w:t>
      </w:r>
      <w:r>
        <w:rPr>
          <w:rFonts w:hint="eastAsia" w:hAnsi="宋体" w:eastAsia="宋体" w:cs="宋体"/>
          <w:color w:val="auto"/>
          <w:sz w:val="24"/>
          <w:szCs w:val="24"/>
          <w:highlight w:val="none"/>
        </w:rPr>
        <w:t>成交资格</w:t>
      </w:r>
      <w:r>
        <w:rPr>
          <w:rFonts w:hint="eastAsia" w:hAnsi="宋体" w:eastAsia="宋体" w:cs="宋体"/>
          <w:color w:val="auto"/>
          <w:spacing w:val="4"/>
          <w:sz w:val="24"/>
          <w:szCs w:val="24"/>
          <w:highlight w:val="none"/>
        </w:rPr>
        <w:t>，</w:t>
      </w:r>
      <w:r>
        <w:rPr>
          <w:rFonts w:hint="eastAsia" w:hAnsi="宋体" w:eastAsia="宋体" w:cs="宋体"/>
          <w:color w:val="auto"/>
          <w:spacing w:val="2"/>
          <w:sz w:val="24"/>
          <w:szCs w:val="24"/>
          <w:highlight w:val="none"/>
        </w:rPr>
        <w:t>其保证金不予退还。</w:t>
      </w:r>
    </w:p>
    <w:p w14:paraId="4FF560A8">
      <w:pPr>
        <w:keepNext w:val="0"/>
        <w:keepLines w:val="0"/>
        <w:pageBreakBefore w:val="0"/>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40.签订合同</w:t>
      </w:r>
    </w:p>
    <w:p w14:paraId="1389FD34">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40.1成交供应商应当在成交通知书发出之日起30日内与采购人签订政府采购合同。</w:t>
      </w:r>
    </w:p>
    <w:p w14:paraId="2FC36425">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40.2磋商文件、成交供应商的响应文件等均为签订政府采购合同的依据。</w:t>
      </w:r>
    </w:p>
    <w:p w14:paraId="75E5B861">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40.3 成交供应商应当按照合同约定履行义务。成交供应商不得向他人转让成交项目，也不得将成交项目分包后分别向他人转让。</w:t>
      </w:r>
    </w:p>
    <w:p w14:paraId="08DF5262">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40.4 成交供应商有下列情形之一的，责令限期改正，情节严重的，列入不良行为记录名单，在1至3年内禁止参加政府采购活动，并予以通报：</w:t>
      </w:r>
    </w:p>
    <w:p w14:paraId="7A6837DD">
      <w:pPr>
        <w:pStyle w:val="14"/>
        <w:keepNext w:val="0"/>
        <w:keepLines w:val="0"/>
        <w:pageBreakBefore w:val="0"/>
        <w:kinsoku/>
        <w:wordWrap/>
        <w:overflowPunct/>
        <w:topLinePunct w:val="0"/>
        <w:autoSpaceDE/>
        <w:bidi w:val="0"/>
        <w:adjustRightInd w:val="0"/>
        <w:snapToGrid w:val="0"/>
        <w:spacing w:line="380" w:lineRule="exact"/>
        <w:ind w:left="0" w:right="0" w:rightChars="0" w:firstLine="412"/>
        <w:textAlignment w:val="auto"/>
        <w:outlineLvl w:val="9"/>
        <w:rPr>
          <w:rFonts w:hint="eastAsia" w:hAnsi="宋体" w:eastAsia="宋体" w:cs="宋体"/>
          <w:color w:val="auto"/>
          <w:sz w:val="24"/>
          <w:szCs w:val="24"/>
          <w:highlight w:val="none"/>
        </w:rPr>
      </w:pPr>
      <w:r>
        <w:rPr>
          <w:rFonts w:hint="eastAsia" w:hAnsi="宋体" w:eastAsia="宋体" w:cs="宋体"/>
          <w:color w:val="auto"/>
          <w:spacing w:val="-17"/>
          <w:sz w:val="24"/>
          <w:szCs w:val="24"/>
          <w:highlight w:val="none"/>
        </w:rPr>
        <w:t>（</w:t>
      </w:r>
      <w:r>
        <w:rPr>
          <w:rFonts w:hint="eastAsia" w:hAnsi="宋体" w:eastAsia="宋体" w:cs="宋体"/>
          <w:color w:val="auto"/>
          <w:sz w:val="24"/>
          <w:szCs w:val="24"/>
          <w:highlight w:val="none"/>
        </w:rPr>
        <w:t>一）成交后无正当理由不与采购人签订合同的；</w:t>
      </w:r>
    </w:p>
    <w:p w14:paraId="0B341751">
      <w:pPr>
        <w:pStyle w:val="14"/>
        <w:keepNext w:val="0"/>
        <w:keepLines w:val="0"/>
        <w:pageBreakBefore w:val="0"/>
        <w:kinsoku/>
        <w:wordWrap/>
        <w:overflowPunct/>
        <w:topLinePunct w:val="0"/>
        <w:autoSpaceDE/>
        <w:bidi w:val="0"/>
        <w:adjustRightInd w:val="0"/>
        <w:snapToGrid w:val="0"/>
        <w:spacing w:line="380" w:lineRule="exact"/>
        <w:ind w:left="0" w:right="0" w:rightChars="0" w:firstLine="48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（二）未按照采购文件确定的事项签订政府采购合同，或者与采购人另行订立背离合同实质性内容的协议的；</w:t>
      </w:r>
    </w:p>
    <w:p w14:paraId="686F45FB">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（三）拒绝履行合同义务的；</w:t>
      </w:r>
    </w:p>
    <w:p w14:paraId="0FDC99EF">
      <w:pPr>
        <w:pStyle w:val="14"/>
        <w:keepNext w:val="0"/>
        <w:keepLines w:val="0"/>
        <w:pageBreakBefore w:val="0"/>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（四）违反法律、规章、规范性文件规定的。</w:t>
      </w:r>
    </w:p>
    <w:p w14:paraId="1D0A20F2">
      <w:pPr>
        <w:keepNext w:val="0"/>
        <w:keepLines w:val="0"/>
        <w:pageBreakBefore w:val="0"/>
        <w:kinsoku/>
        <w:wordWrap/>
        <w:overflowPunct/>
        <w:topLinePunct w:val="0"/>
        <w:autoSpaceDE/>
        <w:bidi w:val="0"/>
        <w:adjustRightInd w:val="0"/>
        <w:snapToGrid w:val="0"/>
        <w:spacing w:line="380" w:lineRule="exact"/>
        <w:ind w:left="0" w:right="0" w:rightChars="0" w:firstLine="414"/>
        <w:textAlignment w:val="auto"/>
        <w:outlineLvl w:val="9"/>
        <w:rPr>
          <w:rFonts w:hint="eastAsia" w:ascii="宋体" w:hAnsi="宋体" w:eastAsia="宋体" w:cs="宋体"/>
          <w:b/>
          <w:bCs/>
          <w:color w:val="auto"/>
          <w:spacing w:val="-17"/>
          <w:sz w:val="24"/>
          <w:highlight w:val="none"/>
        </w:rPr>
      </w:pPr>
    </w:p>
    <w:p w14:paraId="289EA374">
      <w:pPr>
        <w:keepNext w:val="0"/>
        <w:keepLines w:val="0"/>
        <w:pageBreakBefore w:val="0"/>
        <w:kinsoku/>
        <w:wordWrap/>
        <w:overflowPunct/>
        <w:topLinePunct w:val="0"/>
        <w:autoSpaceDE/>
        <w:bidi w:val="0"/>
        <w:adjustRightInd w:val="0"/>
        <w:snapToGrid w:val="0"/>
        <w:spacing w:line="380" w:lineRule="exact"/>
        <w:ind w:left="0" w:right="0" w:rightChars="0" w:firstLine="414"/>
        <w:textAlignment w:val="auto"/>
        <w:outlineLvl w:val="9"/>
        <w:rPr>
          <w:rFonts w:hint="eastAsia" w:ascii="宋体" w:hAnsi="宋体" w:eastAsia="宋体" w:cs="宋体"/>
          <w:b/>
          <w:bCs/>
          <w:color w:val="auto"/>
          <w:spacing w:val="-17"/>
          <w:sz w:val="24"/>
          <w:highlight w:val="none"/>
        </w:rPr>
      </w:pPr>
      <w:r>
        <w:rPr>
          <w:rFonts w:hint="eastAsia" w:ascii="宋体" w:hAnsi="宋体" w:eastAsia="宋体" w:cs="宋体"/>
          <w:b/>
          <w:bCs/>
          <w:color w:val="auto"/>
          <w:spacing w:val="-17"/>
          <w:sz w:val="24"/>
          <w:highlight w:val="none"/>
        </w:rPr>
        <w:t>七、其他规定</w:t>
      </w:r>
    </w:p>
    <w:p w14:paraId="68F1742D">
      <w:pPr>
        <w:keepNext w:val="0"/>
        <w:keepLines w:val="0"/>
        <w:pageBreakBefore w:val="0"/>
        <w:kinsoku/>
        <w:wordWrap/>
        <w:overflowPunct/>
        <w:topLinePunct w:val="0"/>
        <w:autoSpaceDE/>
        <w:bidi w:val="0"/>
        <w:adjustRightInd w:val="0"/>
        <w:snapToGrid w:val="0"/>
        <w:spacing w:line="380" w:lineRule="exact"/>
        <w:ind w:left="0" w:right="0" w:rightChars="0" w:firstLine="482"/>
        <w:jc w:val="left"/>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41.1采购代理服务费</w:t>
      </w:r>
    </w:p>
    <w:p w14:paraId="1202D6CA">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41.1采购代理机构应按</w:t>
      </w:r>
      <w:r>
        <w:rPr>
          <w:rFonts w:hint="eastAsia" w:ascii="宋体" w:hAnsi="宋体" w:eastAsia="宋体" w:cs="宋体"/>
          <w:b/>
          <w:color w:val="auto"/>
          <w:sz w:val="24"/>
          <w:highlight w:val="none"/>
        </w:rPr>
        <w:t>磋商须知前附表</w:t>
      </w:r>
      <w:r>
        <w:rPr>
          <w:rFonts w:hint="eastAsia" w:ascii="宋体" w:hAnsi="宋体" w:eastAsia="宋体" w:cs="宋体"/>
          <w:color w:val="auto"/>
          <w:sz w:val="24"/>
          <w:highlight w:val="none"/>
        </w:rPr>
        <w:t>规定收取采购代理服务费。</w:t>
      </w:r>
    </w:p>
    <w:p w14:paraId="11F6C134">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41.2集中采购机构不得收取采购代理服务费。</w:t>
      </w:r>
    </w:p>
    <w:p w14:paraId="425E95BF">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380" w:lineRule="exact"/>
        <w:ind w:left="0" w:right="0" w:rightChars="0" w:firstLine="482"/>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42. 其他规定</w:t>
      </w:r>
    </w:p>
    <w:p w14:paraId="41A3A085">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380" w:lineRule="exact"/>
        <w:ind w:left="0" w:right="0" w:rightChars="0"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42.1磋商文件的其他规定见</w:t>
      </w:r>
      <w:r>
        <w:rPr>
          <w:rFonts w:hint="eastAsia" w:ascii="宋体" w:hAnsi="宋体" w:eastAsia="宋体" w:cs="宋体"/>
          <w:b/>
          <w:color w:val="auto"/>
          <w:sz w:val="24"/>
          <w:highlight w:val="none"/>
        </w:rPr>
        <w:t>磋商须知前附表</w:t>
      </w:r>
      <w:r>
        <w:rPr>
          <w:rFonts w:hint="eastAsia" w:ascii="宋体" w:hAnsi="宋体" w:eastAsia="宋体" w:cs="宋体"/>
          <w:color w:val="auto"/>
          <w:sz w:val="24"/>
          <w:highlight w:val="none"/>
        </w:rPr>
        <w:t>。</w:t>
      </w:r>
    </w:p>
    <w:p w14:paraId="3D51E9E1">
      <w:pPr>
        <w:spacing w:line="360" w:lineRule="auto"/>
        <w:ind w:firstLine="40"/>
        <w:outlineLvl w:val="9"/>
        <w:rPr>
          <w:rFonts w:hint="eastAsia" w:ascii="宋体" w:hAnsi="宋体" w:eastAsia="宋体" w:cs="宋体"/>
          <w:b/>
          <w:color w:val="auto"/>
          <w:sz w:val="2"/>
          <w:szCs w:val="32"/>
          <w:highlight w:val="none"/>
        </w:rPr>
      </w:pPr>
      <w:r>
        <w:rPr>
          <w:rFonts w:hint="eastAsia" w:ascii="宋体" w:hAnsi="宋体" w:eastAsia="宋体" w:cs="宋体"/>
          <w:b/>
          <w:color w:val="auto"/>
          <w:sz w:val="2"/>
          <w:szCs w:val="32"/>
          <w:highlight w:val="none"/>
        </w:rPr>
        <w:br w:type="page"/>
      </w:r>
    </w:p>
    <w:p w14:paraId="706414DC">
      <w:pPr>
        <w:pStyle w:val="2"/>
        <w:ind w:left="0" w:leftChars="0" w:firstLine="643"/>
        <w:jc w:val="center"/>
        <w:outlineLvl w:val="0"/>
        <w:rPr>
          <w:rFonts w:hint="eastAsia" w:ascii="宋体" w:hAnsi="宋体" w:cs="宋体"/>
          <w:b/>
          <w:color w:val="auto"/>
          <w:sz w:val="32"/>
          <w:szCs w:val="32"/>
          <w:highlight w:val="none"/>
        </w:rPr>
      </w:pPr>
      <w:bookmarkStart w:id="6" w:name="_Toc12470"/>
      <w:r>
        <w:rPr>
          <w:rFonts w:hint="eastAsia"/>
          <w:b/>
          <w:bCs/>
          <w:color w:val="auto"/>
          <w:sz w:val="32"/>
          <w:szCs w:val="40"/>
          <w:highlight w:val="none"/>
        </w:rPr>
        <w:t>第三章、采购需求</w:t>
      </w:r>
      <w:bookmarkEnd w:id="6"/>
    </w:p>
    <w:p w14:paraId="4E0FE053">
      <w:pPr>
        <w:keepNext w:val="0"/>
        <w:keepLines w:val="0"/>
        <w:pageBreakBefore w:val="0"/>
        <w:kinsoku/>
        <w:wordWrap/>
        <w:overflowPunct/>
        <w:topLinePunct w:val="0"/>
        <w:bidi w:val="0"/>
        <w:adjustRightInd w:val="0"/>
        <w:snapToGrid w:val="0"/>
        <w:spacing w:line="360" w:lineRule="auto"/>
        <w:ind w:left="0" w:leftChars="0" w:right="0" w:rightChars="0" w:firstLine="422" w:firstLineChars="200"/>
        <w:jc w:val="left"/>
        <w:textAlignment w:val="auto"/>
        <w:outlineLvl w:val="9"/>
        <w:rPr>
          <w:rFonts w:hint="eastAsia" w:ascii="宋体" w:hAnsi="宋体" w:eastAsia="宋体" w:cs="宋体"/>
          <w:b/>
          <w:snapToGrid w:val="0"/>
          <w:color w:val="auto"/>
          <w:kern w:val="0"/>
          <w:sz w:val="21"/>
          <w:szCs w:val="21"/>
          <w:highlight w:val="none"/>
          <w:lang w:eastAsia="zh-CN"/>
        </w:rPr>
      </w:pPr>
      <w:r>
        <w:rPr>
          <w:rFonts w:hint="eastAsia" w:ascii="宋体" w:hAnsi="宋体" w:eastAsia="宋体" w:cs="宋体"/>
          <w:b/>
          <w:snapToGrid w:val="0"/>
          <w:color w:val="auto"/>
          <w:kern w:val="0"/>
          <w:sz w:val="21"/>
          <w:szCs w:val="21"/>
          <w:highlight w:val="none"/>
          <w:lang w:eastAsia="zh-CN"/>
        </w:rPr>
        <w:t>一、项目名称</w:t>
      </w:r>
    </w:p>
    <w:p w14:paraId="24409C74">
      <w:pPr>
        <w:pStyle w:val="2"/>
        <w:keepNext w:val="0"/>
        <w:keepLines w:val="0"/>
        <w:pageBreakBefore w:val="0"/>
        <w:kinsoku/>
        <w:wordWrap/>
        <w:overflowPunct/>
        <w:topLinePunct w:val="0"/>
        <w:bidi w:val="0"/>
        <w:adjustRightInd w:val="0"/>
        <w:snapToGrid w:val="0"/>
        <w:spacing w:after="0"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lang w:eastAsia="zh-CN"/>
        </w:rPr>
      </w:pPr>
      <w:r>
        <w:rPr>
          <w:rFonts w:hint="eastAsia" w:ascii="宋体" w:hAnsi="宋体" w:cs="宋体"/>
          <w:color w:val="auto"/>
          <w:kern w:val="0"/>
          <w:sz w:val="21"/>
          <w:szCs w:val="21"/>
          <w:highlight w:val="none"/>
          <w:u w:val="none"/>
          <w:lang w:eastAsia="zh-CN"/>
        </w:rPr>
        <w:t>溆浦县低庄镇中心小学（下校区）食堂工程（第二次）</w:t>
      </w:r>
    </w:p>
    <w:p w14:paraId="2CC4E72A">
      <w:pPr>
        <w:keepNext w:val="0"/>
        <w:keepLines w:val="0"/>
        <w:pageBreakBefore w:val="0"/>
        <w:kinsoku/>
        <w:wordWrap/>
        <w:overflowPunct/>
        <w:topLinePunct w:val="0"/>
        <w:bidi w:val="0"/>
        <w:adjustRightInd w:val="0"/>
        <w:snapToGrid w:val="0"/>
        <w:spacing w:line="360" w:lineRule="auto"/>
        <w:ind w:left="0" w:leftChars="0" w:right="0" w:rightChars="0" w:firstLine="422" w:firstLineChars="200"/>
        <w:jc w:val="left"/>
        <w:textAlignment w:val="auto"/>
        <w:outlineLvl w:val="9"/>
        <w:rPr>
          <w:rFonts w:hint="eastAsia" w:ascii="宋体" w:hAnsi="宋体" w:eastAsia="宋体" w:cs="宋体"/>
          <w:b/>
          <w:snapToGrid w:val="0"/>
          <w:color w:val="auto"/>
          <w:kern w:val="0"/>
          <w:sz w:val="21"/>
          <w:szCs w:val="21"/>
          <w:highlight w:val="none"/>
        </w:rPr>
      </w:pPr>
      <w:r>
        <w:rPr>
          <w:rFonts w:hint="eastAsia" w:ascii="宋体" w:hAnsi="宋体" w:eastAsia="宋体" w:cs="宋体"/>
          <w:b/>
          <w:snapToGrid w:val="0"/>
          <w:color w:val="auto"/>
          <w:kern w:val="0"/>
          <w:sz w:val="21"/>
          <w:szCs w:val="21"/>
          <w:highlight w:val="none"/>
          <w:lang w:eastAsia="zh-CN"/>
        </w:rPr>
        <w:t>二</w:t>
      </w:r>
      <w:r>
        <w:rPr>
          <w:rFonts w:hint="eastAsia" w:ascii="宋体" w:hAnsi="宋体" w:eastAsia="宋体" w:cs="宋体"/>
          <w:b/>
          <w:snapToGrid w:val="0"/>
          <w:color w:val="auto"/>
          <w:kern w:val="0"/>
          <w:sz w:val="21"/>
          <w:szCs w:val="21"/>
          <w:highlight w:val="none"/>
        </w:rPr>
        <w:t>、</w:t>
      </w:r>
      <w:r>
        <w:rPr>
          <w:rFonts w:hint="eastAsia" w:ascii="宋体" w:hAnsi="宋体" w:eastAsia="宋体" w:cs="宋体"/>
          <w:b/>
          <w:color w:val="auto"/>
          <w:kern w:val="0"/>
          <w:sz w:val="21"/>
          <w:szCs w:val="21"/>
        </w:rPr>
        <w:t>工程概况及要求</w:t>
      </w:r>
    </w:p>
    <w:p w14:paraId="0735F405">
      <w:pPr>
        <w:keepNext w:val="0"/>
        <w:keepLines w:val="0"/>
        <w:pageBreakBefore w:val="0"/>
        <w:kinsoku/>
        <w:wordWrap/>
        <w:overflowPunct/>
        <w:topLinePunct w:val="0"/>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墙面涂料、地面砖、天棚涂料、外墙真石漆等。</w:t>
      </w:r>
      <w:r>
        <w:rPr>
          <w:rFonts w:hint="eastAsia" w:ascii="宋体" w:hAnsi="宋体" w:eastAsia="宋体" w:cs="宋体"/>
          <w:color w:val="auto"/>
          <w:kern w:val="0"/>
          <w:sz w:val="21"/>
          <w:szCs w:val="21"/>
          <w:lang w:val="en-US" w:eastAsia="zh-CN"/>
        </w:rPr>
        <w:t>（</w:t>
      </w:r>
      <w:r>
        <w:rPr>
          <w:rFonts w:hint="eastAsia" w:ascii="宋体" w:hAnsi="宋体" w:eastAsia="宋体" w:cs="宋体"/>
          <w:color w:val="auto"/>
          <w:kern w:val="0"/>
          <w:sz w:val="21"/>
          <w:szCs w:val="21"/>
          <w:lang w:eastAsia="zh-CN"/>
        </w:rPr>
        <w:t>具体内容以工程量清单为准。）</w:t>
      </w:r>
    </w:p>
    <w:p w14:paraId="0EBBBC50">
      <w:pPr>
        <w:keepNext w:val="0"/>
        <w:keepLines w:val="0"/>
        <w:pageBreakBefore w:val="0"/>
        <w:kinsoku/>
        <w:wordWrap/>
        <w:overflowPunct/>
        <w:topLinePunct w:val="0"/>
        <w:bidi w:val="0"/>
        <w:adjustRightInd w:val="0"/>
        <w:snapToGrid w:val="0"/>
        <w:spacing w:line="360" w:lineRule="auto"/>
        <w:ind w:left="0" w:leftChars="0" w:right="0" w:rightChars="0" w:firstLine="422" w:firstLineChars="200"/>
        <w:jc w:val="left"/>
        <w:textAlignment w:val="auto"/>
        <w:outlineLvl w:val="9"/>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三、项目清单及说明：（含工程量清单表、说明、标准等）</w:t>
      </w:r>
    </w:p>
    <w:p w14:paraId="3156C379">
      <w:pPr>
        <w:keepNext w:val="0"/>
        <w:keepLines w:val="0"/>
        <w:pageBreakBefore w:val="0"/>
        <w:kinsoku/>
        <w:wordWrap/>
        <w:overflowPunct/>
        <w:topLinePunct w:val="0"/>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highlight w:val="yellow"/>
          <w:lang w:eastAsia="zh-CN"/>
        </w:rPr>
      </w:pPr>
      <w:r>
        <w:rPr>
          <w:rFonts w:hint="eastAsia" w:ascii="宋体" w:hAnsi="宋体" w:eastAsia="宋体" w:cs="宋体"/>
          <w:color w:val="auto"/>
          <w:kern w:val="0"/>
          <w:sz w:val="21"/>
          <w:szCs w:val="21"/>
        </w:rPr>
        <w:t>工程量清单以提供的电子版工程量清单为准，请各</w:t>
      </w:r>
      <w:r>
        <w:rPr>
          <w:rFonts w:hint="eastAsia" w:ascii="宋体" w:hAnsi="宋体" w:eastAsia="宋体" w:cs="宋体"/>
          <w:color w:val="auto"/>
          <w:kern w:val="0"/>
          <w:sz w:val="21"/>
          <w:szCs w:val="21"/>
          <w:lang w:eastAsia="zh-CN"/>
        </w:rPr>
        <w:t>供应商</w:t>
      </w:r>
      <w:r>
        <w:rPr>
          <w:rFonts w:hint="eastAsia" w:ascii="宋体" w:hAnsi="宋体" w:eastAsia="宋体" w:cs="宋体"/>
          <w:color w:val="auto"/>
          <w:kern w:val="0"/>
          <w:sz w:val="21"/>
          <w:szCs w:val="21"/>
        </w:rPr>
        <w:t>根据采购人发布的工程量清单进行投标报价，并单独根据采购人发布的工程量清单编制投标报价书，编制投标报价书时不得缺项漏项并完整响应发布的工程量清单内容。</w:t>
      </w:r>
      <w:r>
        <w:rPr>
          <w:rFonts w:hint="eastAsia" w:ascii="宋体" w:hAnsi="宋体" w:eastAsia="宋体" w:cs="宋体"/>
          <w:color w:val="auto"/>
          <w:kern w:val="0"/>
          <w:sz w:val="21"/>
          <w:szCs w:val="21"/>
          <w:highlight w:val="none"/>
          <w:lang w:bidi="ar"/>
        </w:rPr>
        <w:t>提供给投标人的工程量清单中的不可预见费、暂列金额、暂估价金额不得优惠和调整，投标人必须按工程量清单子母项进行投标报价，并计入投标报价中</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rPr>
        <w:t>电子图纸领取磋商文件时提供。</w:t>
      </w:r>
      <w:bookmarkStart w:id="7" w:name="_Toc225336549"/>
    </w:p>
    <w:p w14:paraId="657C4CFB">
      <w:pPr>
        <w:pStyle w:val="11"/>
        <w:keepNext w:val="0"/>
        <w:keepLines w:val="0"/>
        <w:pageBreakBefore w:val="0"/>
        <w:kinsoku/>
        <w:wordWrap/>
        <w:overflowPunct/>
        <w:topLinePunct w:val="0"/>
        <w:bidi w:val="0"/>
        <w:adjustRightInd w:val="0"/>
        <w:snapToGrid w:val="0"/>
        <w:spacing w:line="360" w:lineRule="auto"/>
        <w:ind w:left="0" w:leftChars="0" w:right="0" w:rightChars="0" w:firstLine="422" w:firstLineChars="200"/>
        <w:jc w:val="left"/>
        <w:textAlignment w:val="auto"/>
        <w:outlineLvl w:val="9"/>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lang w:eastAsia="zh-CN"/>
        </w:rPr>
        <w:t>四</w:t>
      </w:r>
      <w:r>
        <w:rPr>
          <w:rFonts w:hint="eastAsia" w:ascii="宋体" w:hAnsi="宋体" w:eastAsia="宋体" w:cs="宋体"/>
          <w:b/>
          <w:color w:val="auto"/>
          <w:kern w:val="0"/>
          <w:sz w:val="21"/>
          <w:szCs w:val="21"/>
        </w:rPr>
        <w:t>、投标报价要求</w:t>
      </w:r>
    </w:p>
    <w:p w14:paraId="3EC11343">
      <w:pPr>
        <w:pStyle w:val="11"/>
        <w:keepNext w:val="0"/>
        <w:keepLines w:val="0"/>
        <w:pageBreakBefore w:val="0"/>
        <w:kinsoku/>
        <w:wordWrap/>
        <w:overflowPunct/>
        <w:topLinePunct w:val="0"/>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根据采</w:t>
      </w:r>
      <w:r>
        <w:rPr>
          <w:rFonts w:hint="eastAsia" w:ascii="宋体" w:hAnsi="宋体" w:eastAsia="宋体" w:cs="宋体"/>
          <w:color w:val="auto"/>
          <w:kern w:val="0"/>
          <w:sz w:val="21"/>
          <w:szCs w:val="21"/>
          <w:lang w:eastAsia="zh-CN"/>
        </w:rPr>
        <w:t>购人</w:t>
      </w:r>
      <w:r>
        <w:rPr>
          <w:rFonts w:hint="eastAsia" w:ascii="宋体" w:hAnsi="宋体" w:eastAsia="宋体" w:cs="宋体"/>
          <w:color w:val="auto"/>
          <w:kern w:val="0"/>
          <w:sz w:val="21"/>
          <w:szCs w:val="21"/>
        </w:rPr>
        <w:t>发布的工程量清单报价，总价中标；结算按照实际施工工程量（经采购人签证确认）计算工程量，项目单价按照中标单价，招标清单以外的项目单价依据合同约定的结算办法计算。</w:t>
      </w:r>
    </w:p>
    <w:bookmarkEnd w:id="7"/>
    <w:p w14:paraId="371FC56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2" w:firstLineChars="200"/>
        <w:jc w:val="left"/>
        <w:textAlignment w:val="auto"/>
        <w:outlineLvl w:val="9"/>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val="en-US" w:eastAsia="zh-CN"/>
        </w:rPr>
        <w:t>五</w:t>
      </w:r>
      <w:r>
        <w:rPr>
          <w:rFonts w:hint="eastAsia" w:ascii="宋体" w:hAnsi="宋体" w:eastAsia="宋体" w:cs="宋体"/>
          <w:b/>
          <w:color w:val="auto"/>
          <w:kern w:val="0"/>
          <w:sz w:val="21"/>
          <w:szCs w:val="21"/>
          <w:highlight w:val="none"/>
        </w:rPr>
        <w:t>、项目实施要求</w:t>
      </w:r>
    </w:p>
    <w:p w14:paraId="74FADA1B">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1.产品运输、保险及保管</w:t>
      </w:r>
    </w:p>
    <w:p w14:paraId="533E5407">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1.1供应商负责产品到施工地点的全部运输，包括装卸及现场搬运等。</w:t>
      </w:r>
    </w:p>
    <w:p w14:paraId="002E7C30">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1.2供应商负责产品在施工地点的保管，直至项目验收合格。</w:t>
      </w:r>
    </w:p>
    <w:p w14:paraId="5BA41A20">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1.3供应商负责其派出的施工人员的人身意外保险。</w:t>
      </w:r>
    </w:p>
    <w:p w14:paraId="64B97DDB">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2.施工要求</w:t>
      </w:r>
    </w:p>
    <w:p w14:paraId="418338C8">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2.1</w:t>
      </w:r>
      <w:r>
        <w:rPr>
          <w:rFonts w:hint="eastAsia" w:ascii="宋体" w:hAnsi="宋体" w:eastAsia="宋体" w:cs="宋体"/>
          <w:bCs/>
          <w:color w:val="auto"/>
          <w:kern w:val="0"/>
          <w:sz w:val="21"/>
          <w:szCs w:val="21"/>
          <w:highlight w:val="none"/>
          <w:lang w:val="en-US" w:eastAsia="zh-CN"/>
        </w:rPr>
        <w:t>供应商</w:t>
      </w:r>
      <w:r>
        <w:rPr>
          <w:rFonts w:hint="eastAsia" w:ascii="宋体" w:hAnsi="宋体" w:eastAsia="宋体" w:cs="宋体"/>
          <w:bCs/>
          <w:color w:val="auto"/>
          <w:kern w:val="0"/>
          <w:sz w:val="21"/>
          <w:szCs w:val="21"/>
          <w:highlight w:val="none"/>
        </w:rPr>
        <w:t>须加强施工的组织管理，所有施工人员须遵守文明安全施工的有关规章制度，持证上岗。施工期间，应接受采购人的监督管理，遵守有关规定。</w:t>
      </w:r>
    </w:p>
    <w:p w14:paraId="7F72F5E4">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rPr>
        <w:t>2.2工程竣工验收后，供应商应在20天内提交完整齐备的工程竣工资料和验收资料装整成册交采购人</w:t>
      </w:r>
      <w:r>
        <w:rPr>
          <w:rFonts w:hint="eastAsia" w:ascii="宋体" w:hAnsi="宋体" w:eastAsia="宋体" w:cs="宋体"/>
          <w:bCs/>
          <w:color w:val="auto"/>
          <w:kern w:val="0"/>
          <w:sz w:val="21"/>
          <w:szCs w:val="21"/>
          <w:highlight w:val="none"/>
          <w:lang w:val="en-US" w:eastAsia="zh-CN"/>
        </w:rPr>
        <w:t>四套存档，并必须保证所有归档资料的真实性。</w:t>
      </w:r>
    </w:p>
    <w:p w14:paraId="5AAE32A4">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2.3供应商必须按照有关施工规范要求施工，所有使用的产品应符合国家标准，采用得到国家认证的厂家产品。</w:t>
      </w:r>
    </w:p>
    <w:p w14:paraId="665CDF6E">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3.验收要求</w:t>
      </w:r>
    </w:p>
    <w:p w14:paraId="581B6692">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3.1工程验收标准：</w:t>
      </w:r>
      <w:r>
        <w:rPr>
          <w:rFonts w:hint="eastAsia" w:ascii="宋体" w:hAnsi="宋体" w:eastAsia="宋体" w:cs="宋体"/>
          <w:bCs/>
          <w:color w:val="auto"/>
          <w:kern w:val="0"/>
          <w:sz w:val="21"/>
          <w:szCs w:val="21"/>
          <w:highlight w:val="none"/>
          <w:lang w:val="en-US" w:eastAsia="zh-CN"/>
        </w:rPr>
        <w:t>按照</w:t>
      </w:r>
      <w:r>
        <w:rPr>
          <w:rFonts w:hint="eastAsia" w:ascii="宋体" w:hAnsi="宋体" w:eastAsia="宋体" w:cs="宋体"/>
          <w:bCs/>
          <w:color w:val="auto"/>
          <w:kern w:val="0"/>
          <w:sz w:val="21"/>
          <w:szCs w:val="21"/>
          <w:highlight w:val="none"/>
        </w:rPr>
        <w:t>建筑工程施工质量验收规范、环保要求。</w:t>
      </w:r>
    </w:p>
    <w:p w14:paraId="5B23BEC4">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3.2工程验收阶段：</w:t>
      </w:r>
    </w:p>
    <w:p w14:paraId="4F568A31">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工程中间验收：工程正式施工前，供应商应该严格按照采购人所提供</w:t>
      </w:r>
      <w:r>
        <w:rPr>
          <w:rFonts w:hint="eastAsia" w:ascii="宋体" w:hAnsi="宋体" w:eastAsia="宋体" w:cs="宋体"/>
          <w:bCs/>
          <w:color w:val="auto"/>
          <w:kern w:val="0"/>
          <w:sz w:val="21"/>
          <w:szCs w:val="21"/>
          <w:highlight w:val="none"/>
          <w:lang w:eastAsia="zh-CN"/>
        </w:rPr>
        <w:t>的</w:t>
      </w:r>
      <w:r>
        <w:rPr>
          <w:rFonts w:hint="eastAsia" w:ascii="宋体" w:hAnsi="宋体" w:eastAsia="宋体" w:cs="宋体"/>
          <w:bCs/>
          <w:color w:val="auto"/>
          <w:kern w:val="0"/>
          <w:sz w:val="21"/>
          <w:szCs w:val="21"/>
          <w:highlight w:val="none"/>
        </w:rPr>
        <w:t>工程量清单</w:t>
      </w:r>
      <w:r>
        <w:rPr>
          <w:rFonts w:hint="eastAsia" w:ascii="宋体" w:hAnsi="宋体" w:eastAsia="宋体" w:cs="宋体"/>
          <w:bCs/>
          <w:color w:val="auto"/>
          <w:kern w:val="0"/>
          <w:sz w:val="21"/>
          <w:szCs w:val="21"/>
          <w:highlight w:val="none"/>
          <w:lang w:eastAsia="zh-CN"/>
        </w:rPr>
        <w:t>及</w:t>
      </w:r>
      <w:r>
        <w:rPr>
          <w:rFonts w:hint="eastAsia" w:ascii="宋体" w:hAnsi="宋体" w:eastAsia="宋体" w:cs="宋体"/>
          <w:bCs/>
          <w:color w:val="auto"/>
          <w:kern w:val="0"/>
          <w:sz w:val="21"/>
          <w:szCs w:val="21"/>
          <w:highlight w:val="none"/>
        </w:rPr>
        <w:t>要求，向采购人提出书面验收申请，由采购人签字认可后，方可进行后续施工；相关设备等均应在安装前按其规格、质量分批进行阶段检测、验收；建筑材料应在铺安装、修筑前进行验收。</w:t>
      </w:r>
    </w:p>
    <w:p w14:paraId="6D3BE79E">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工程竣工验收：采购人应在施工单位递交书面工程竣工验收申请报告15天内，组织项目验收。</w:t>
      </w:r>
    </w:p>
    <w:p w14:paraId="5E7B0847">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3.3工程应符合现行国家有关工程施工验收规范和标准。</w:t>
      </w:r>
    </w:p>
    <w:p w14:paraId="629E3470">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3.4安装调试</w:t>
      </w:r>
    </w:p>
    <w:p w14:paraId="336E1632">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3.4.1供应商须加强施工的组织管理，所有施工人员须遵守文明安全施工的有关规章制度，持证上岗。</w:t>
      </w:r>
    </w:p>
    <w:p w14:paraId="66BF8C6F">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3.4.2项目完成后，供应商应将项目有关的全部资料，包括产品资料、技术文档、施工图纸等，移交采购人。</w:t>
      </w:r>
    </w:p>
    <w:p w14:paraId="6845728D">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4.</w:t>
      </w:r>
      <w:r>
        <w:rPr>
          <w:rFonts w:hint="eastAsia" w:ascii="宋体" w:hAnsi="宋体" w:eastAsia="宋体" w:cs="宋体"/>
          <w:bCs/>
          <w:color w:val="auto"/>
          <w:kern w:val="0"/>
          <w:sz w:val="21"/>
          <w:szCs w:val="21"/>
          <w:highlight w:val="none"/>
        </w:rPr>
        <w:t>项目团队人员要求</w:t>
      </w:r>
    </w:p>
    <w:p w14:paraId="27BE90BE">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lang w:val="en-US" w:eastAsia="zh-CN"/>
        </w:rPr>
        <w:t>4.</w:t>
      </w:r>
      <w:r>
        <w:rPr>
          <w:rFonts w:hint="eastAsia" w:ascii="宋体" w:hAnsi="宋体" w:eastAsia="宋体" w:cs="宋体"/>
          <w:bCs/>
          <w:color w:val="auto"/>
          <w:kern w:val="0"/>
          <w:sz w:val="21"/>
          <w:szCs w:val="21"/>
          <w:highlight w:val="none"/>
        </w:rPr>
        <w:t>1</w:t>
      </w:r>
      <w:r>
        <w:rPr>
          <w:rFonts w:hint="eastAsia" w:ascii="宋体" w:hAnsi="宋体" w:eastAsia="宋体" w:cs="宋体"/>
          <w:bCs/>
          <w:color w:val="auto"/>
          <w:kern w:val="0"/>
          <w:sz w:val="21"/>
          <w:szCs w:val="21"/>
          <w:highlight w:val="none"/>
          <w:lang w:eastAsia="zh-CN"/>
        </w:rPr>
        <w:t>供应商</w:t>
      </w:r>
      <w:r>
        <w:rPr>
          <w:rFonts w:hint="eastAsia" w:ascii="宋体" w:hAnsi="宋体" w:eastAsia="宋体" w:cs="宋体"/>
          <w:bCs/>
          <w:color w:val="auto"/>
          <w:kern w:val="0"/>
          <w:sz w:val="21"/>
          <w:szCs w:val="21"/>
          <w:highlight w:val="none"/>
        </w:rPr>
        <w:t>应按照国家和省有关法律法规、规范标准和湘建建[2020]208号文《湖南省建设工程施工项目部和现场监理部关键岗位人员配备管理办法》规定配备施工项目部关键岗位人员</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lang w:val="en-US" w:eastAsia="zh-CN"/>
        </w:rPr>
        <w:t>不少于4人，含项目负责人、项目技术负责人、施工员、安全员、质量员，其中施工员可由技术负责人兼任</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rPr>
        <w:t>施工项目部关键岗位人员必须为投标供应商本单位职工</w:t>
      </w:r>
      <w:r>
        <w:rPr>
          <w:rFonts w:hint="eastAsia" w:ascii="宋体" w:hAnsi="宋体" w:eastAsia="宋体" w:cs="宋体"/>
          <w:bCs/>
          <w:color w:val="auto"/>
          <w:kern w:val="0"/>
          <w:sz w:val="21"/>
          <w:szCs w:val="21"/>
          <w:highlight w:val="none"/>
          <w:lang w:eastAsia="zh-CN"/>
        </w:rPr>
        <w:t>。</w:t>
      </w:r>
    </w:p>
    <w:p w14:paraId="34B011AD">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4.</w:t>
      </w:r>
      <w:r>
        <w:rPr>
          <w:rFonts w:hint="eastAsia" w:ascii="宋体" w:hAnsi="宋体" w:eastAsia="宋体" w:cs="宋体"/>
          <w:bCs/>
          <w:color w:val="auto"/>
          <w:kern w:val="0"/>
          <w:sz w:val="21"/>
          <w:szCs w:val="21"/>
          <w:highlight w:val="none"/>
        </w:rPr>
        <w:t>2投标单位施工项目部关键岗位人员在</w:t>
      </w:r>
      <w:r>
        <w:rPr>
          <w:rFonts w:hint="eastAsia" w:ascii="宋体" w:hAnsi="宋体" w:eastAsia="宋体" w:cs="宋体"/>
          <w:bCs/>
          <w:color w:val="auto"/>
          <w:kern w:val="0"/>
          <w:sz w:val="21"/>
          <w:szCs w:val="21"/>
          <w:highlight w:val="none"/>
          <w:lang w:val="en-US" w:eastAsia="zh-CN"/>
        </w:rPr>
        <w:t>成交</w:t>
      </w:r>
      <w:r>
        <w:rPr>
          <w:rFonts w:hint="eastAsia" w:ascii="宋体" w:hAnsi="宋体" w:eastAsia="宋体" w:cs="宋体"/>
          <w:bCs/>
          <w:color w:val="auto"/>
          <w:kern w:val="0"/>
          <w:sz w:val="21"/>
          <w:szCs w:val="21"/>
          <w:highlight w:val="none"/>
        </w:rPr>
        <w:t>后不得擅自变更，如确需变更，须经采购人同意。除不可抗力因素外，未经采购人同意，不得改变拟任的项目人员；否则，其成交无效。</w:t>
      </w:r>
    </w:p>
    <w:p w14:paraId="4217A2FF">
      <w:pPr>
        <w:pStyle w:val="11"/>
        <w:keepNext w:val="0"/>
        <w:keepLines w:val="0"/>
        <w:pageBreakBefore w:val="0"/>
        <w:kinsoku/>
        <w:wordWrap/>
        <w:overflowPunct/>
        <w:topLinePunct w:val="0"/>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5.</w:t>
      </w:r>
      <w:r>
        <w:rPr>
          <w:rFonts w:hint="eastAsia" w:ascii="宋体" w:hAnsi="宋体" w:eastAsia="宋体" w:cs="宋体"/>
          <w:bCs/>
          <w:color w:val="auto"/>
          <w:kern w:val="0"/>
          <w:sz w:val="21"/>
          <w:szCs w:val="21"/>
          <w:highlight w:val="none"/>
        </w:rPr>
        <w:t>项目实施过程中，采购人不提供办公场所及住宿。</w:t>
      </w:r>
    </w:p>
    <w:p w14:paraId="1FF4618E">
      <w:pPr>
        <w:pStyle w:val="11"/>
        <w:keepNext w:val="0"/>
        <w:keepLines w:val="0"/>
        <w:pageBreakBefore w:val="0"/>
        <w:kinsoku/>
        <w:wordWrap/>
        <w:overflowPunct/>
        <w:topLinePunct w:val="0"/>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6.供应</w:t>
      </w:r>
      <w:r>
        <w:rPr>
          <w:rFonts w:hint="eastAsia" w:ascii="宋体" w:hAnsi="宋体" w:eastAsia="宋体" w:cs="宋体"/>
          <w:color w:val="auto"/>
          <w:kern w:val="0"/>
          <w:sz w:val="21"/>
          <w:szCs w:val="21"/>
          <w:highlight w:val="none"/>
          <w:lang w:val="en-US" w:eastAsia="zh-CN"/>
        </w:rPr>
        <w:t>商须为本项目实施的全体人员购买并承担各类保险。</w:t>
      </w:r>
    </w:p>
    <w:p w14:paraId="77F30636">
      <w:pPr>
        <w:pStyle w:val="11"/>
        <w:keepNext w:val="0"/>
        <w:keepLines w:val="0"/>
        <w:pageBreakBefore w:val="0"/>
        <w:kinsoku/>
        <w:wordWrap/>
        <w:overflowPunct/>
        <w:topLinePunct w:val="0"/>
        <w:bidi w:val="0"/>
        <w:adjustRightInd w:val="0"/>
        <w:snapToGrid w:val="0"/>
        <w:spacing w:line="360" w:lineRule="auto"/>
        <w:ind w:left="0" w:leftChars="0" w:right="0" w:rightChars="0" w:firstLine="422" w:firstLineChars="200"/>
        <w:jc w:val="left"/>
        <w:textAlignment w:val="auto"/>
        <w:outlineLvl w:val="9"/>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eastAsia="zh-CN"/>
        </w:rPr>
        <w:t>六</w:t>
      </w:r>
      <w:r>
        <w:rPr>
          <w:rFonts w:hint="eastAsia" w:ascii="宋体" w:hAnsi="宋体" w:eastAsia="宋体" w:cs="宋体"/>
          <w:b/>
          <w:color w:val="auto"/>
          <w:kern w:val="0"/>
          <w:sz w:val="21"/>
          <w:szCs w:val="21"/>
          <w:highlight w:val="none"/>
        </w:rPr>
        <w:t>、工期、质量要求及质保期</w:t>
      </w:r>
    </w:p>
    <w:p w14:paraId="1937BCA3">
      <w:pPr>
        <w:pStyle w:val="11"/>
        <w:keepNext w:val="0"/>
        <w:keepLines w:val="0"/>
        <w:pageBreakBefore w:val="0"/>
        <w:kinsoku/>
        <w:wordWrap/>
        <w:overflowPunct/>
        <w:topLinePunct w:val="0"/>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1.工期：90天（日历日）</w:t>
      </w:r>
    </w:p>
    <w:p w14:paraId="61499CF0">
      <w:pPr>
        <w:keepNext w:val="0"/>
        <w:keepLines w:val="0"/>
        <w:pageBreakBefore w:val="0"/>
        <w:kinsoku/>
        <w:wordWrap/>
        <w:overflowPunct/>
        <w:topLinePunct w:val="0"/>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2.质量标准：</w:t>
      </w:r>
      <w:r>
        <w:rPr>
          <w:rFonts w:hint="eastAsia" w:ascii="宋体" w:hAnsi="宋体" w:eastAsia="宋体" w:cs="宋体"/>
          <w:color w:val="auto"/>
          <w:kern w:val="0"/>
          <w:sz w:val="21"/>
          <w:szCs w:val="21"/>
          <w:highlight w:val="none"/>
          <w:lang w:val="en-US" w:eastAsia="zh-CN"/>
        </w:rPr>
        <w:t>必须</w:t>
      </w:r>
      <w:r>
        <w:rPr>
          <w:rFonts w:hint="eastAsia" w:ascii="宋体" w:hAnsi="宋体" w:eastAsia="宋体" w:cs="宋体"/>
          <w:color w:val="auto"/>
          <w:kern w:val="0"/>
          <w:sz w:val="21"/>
          <w:szCs w:val="21"/>
          <w:highlight w:val="none"/>
        </w:rPr>
        <w:t>符合现行国家有关工程施工质量验收规范和标准的要求，达到合格标准。</w:t>
      </w:r>
    </w:p>
    <w:p w14:paraId="439027F8">
      <w:pPr>
        <w:pStyle w:val="11"/>
        <w:keepNext w:val="0"/>
        <w:keepLines w:val="0"/>
        <w:pageBreakBefore w:val="0"/>
        <w:kinsoku/>
        <w:wordWrap/>
        <w:overflowPunct/>
        <w:topLinePunct w:val="0"/>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3.保修要求</w:t>
      </w:r>
      <w:r>
        <w:rPr>
          <w:rFonts w:hint="eastAsia" w:ascii="宋体" w:hAnsi="宋体" w:eastAsia="宋体" w:cs="宋体"/>
          <w:color w:val="auto"/>
          <w:kern w:val="0"/>
          <w:sz w:val="21"/>
          <w:szCs w:val="21"/>
          <w:highlight w:val="none"/>
          <w:lang w:val="en-US" w:eastAsia="zh-CN"/>
        </w:rPr>
        <w:t>及质保期</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本项目采购合同《工程质量保修书》的约定及建设部【2000】年80号令</w:t>
      </w:r>
      <w:r>
        <w:rPr>
          <w:rFonts w:hint="eastAsia" w:ascii="宋体" w:hAnsi="宋体" w:eastAsia="宋体" w:cs="宋体"/>
          <w:color w:val="auto"/>
          <w:kern w:val="0"/>
          <w:sz w:val="21"/>
          <w:szCs w:val="21"/>
          <w:highlight w:val="none"/>
          <w:lang w:val="en-US" w:eastAsia="zh-CN"/>
        </w:rPr>
        <w:t>或</w:t>
      </w:r>
      <w:r>
        <w:rPr>
          <w:rFonts w:hint="eastAsia" w:ascii="宋体" w:hAnsi="宋体" w:eastAsia="宋体" w:cs="宋体"/>
          <w:color w:val="auto"/>
          <w:kern w:val="0"/>
          <w:sz w:val="21"/>
          <w:szCs w:val="21"/>
          <w:highlight w:val="none"/>
        </w:rPr>
        <w:t>国务院【2000】年279号令执行。</w:t>
      </w:r>
    </w:p>
    <w:p w14:paraId="1D2018E2">
      <w:pPr>
        <w:pStyle w:val="11"/>
        <w:keepNext w:val="0"/>
        <w:keepLines w:val="0"/>
        <w:pageBreakBefore w:val="0"/>
        <w:kinsoku/>
        <w:wordWrap/>
        <w:overflowPunct/>
        <w:topLinePunct w:val="0"/>
        <w:bidi w:val="0"/>
        <w:adjustRightInd w:val="0"/>
        <w:snapToGrid w:val="0"/>
        <w:spacing w:line="360" w:lineRule="auto"/>
        <w:ind w:left="0" w:leftChars="0" w:right="0" w:rightChars="0" w:firstLine="422" w:firstLineChars="200"/>
        <w:jc w:val="left"/>
        <w:textAlignment w:val="auto"/>
        <w:outlineLvl w:val="9"/>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lang w:eastAsia="zh-CN"/>
        </w:rPr>
        <w:t>七</w:t>
      </w:r>
      <w:r>
        <w:rPr>
          <w:rFonts w:hint="eastAsia" w:ascii="宋体" w:hAnsi="宋体" w:eastAsia="宋体" w:cs="宋体"/>
          <w:b/>
          <w:color w:val="auto"/>
          <w:kern w:val="0"/>
          <w:sz w:val="21"/>
          <w:szCs w:val="21"/>
        </w:rPr>
        <w:t>、项目特别说明</w:t>
      </w:r>
    </w:p>
    <w:p w14:paraId="619C478E">
      <w:pPr>
        <w:pStyle w:val="11"/>
        <w:keepNext w:val="0"/>
        <w:keepLines w:val="0"/>
        <w:pageBreakBefore w:val="0"/>
        <w:kinsoku/>
        <w:wordWrap/>
        <w:overflowPunct/>
        <w:topLinePunct w:val="0"/>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1．实施时间及地点</w:t>
      </w:r>
    </w:p>
    <w:p w14:paraId="5911FB3C">
      <w:pPr>
        <w:pStyle w:val="11"/>
        <w:keepNext w:val="0"/>
        <w:keepLines w:val="0"/>
        <w:pageBreakBefore w:val="0"/>
        <w:kinsoku/>
        <w:wordWrap/>
        <w:overflowPunct/>
        <w:topLinePunct w:val="0"/>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1.1实施时间：按合同约定。</w:t>
      </w:r>
    </w:p>
    <w:p w14:paraId="35FB40FA">
      <w:pPr>
        <w:pStyle w:val="11"/>
        <w:keepNext w:val="0"/>
        <w:keepLines w:val="0"/>
        <w:pageBreakBefore w:val="0"/>
        <w:kinsoku/>
        <w:wordWrap/>
        <w:overflowPunct/>
        <w:topLinePunct w:val="0"/>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1.2实施地点：</w:t>
      </w:r>
      <w:r>
        <w:rPr>
          <w:rFonts w:hint="eastAsia" w:ascii="宋体" w:hAnsi="宋体" w:eastAsia="宋体" w:cs="宋体"/>
          <w:color w:val="auto"/>
          <w:kern w:val="0"/>
          <w:sz w:val="21"/>
          <w:szCs w:val="21"/>
          <w:highlight w:val="none"/>
          <w:lang w:eastAsia="zh-CN"/>
        </w:rPr>
        <w:t>溆浦县低庄镇中心小学</w:t>
      </w:r>
      <w:r>
        <w:rPr>
          <w:rFonts w:hint="eastAsia" w:ascii="宋体" w:hAnsi="宋体" w:eastAsia="宋体" w:cs="宋体"/>
          <w:color w:val="auto"/>
          <w:kern w:val="0"/>
          <w:sz w:val="21"/>
          <w:szCs w:val="21"/>
        </w:rPr>
        <w:t>。</w:t>
      </w:r>
    </w:p>
    <w:p w14:paraId="2E76CF57">
      <w:pPr>
        <w:pStyle w:val="11"/>
        <w:keepNext w:val="0"/>
        <w:keepLines w:val="0"/>
        <w:pageBreakBefore w:val="0"/>
        <w:kinsoku/>
        <w:wordWrap/>
        <w:overflowPunct/>
        <w:topLinePunct w:val="0"/>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2．工程款支付</w:t>
      </w:r>
    </w:p>
    <w:p w14:paraId="1E8042C8">
      <w:pPr>
        <w:pStyle w:val="11"/>
        <w:keepNext w:val="0"/>
        <w:keepLines w:val="0"/>
        <w:pageBreakBefore w:val="0"/>
        <w:kinsoku/>
        <w:wordWrap/>
        <w:overflowPunct/>
        <w:topLinePunct w:val="0"/>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1）付款人：溆浦县低庄镇中心小学</w:t>
      </w:r>
    </w:p>
    <w:p w14:paraId="15ECF55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）付款方式：</w:t>
      </w:r>
      <w:r>
        <w:rPr>
          <w:rFonts w:hint="eastAsia" w:ascii="宋体" w:hAnsi="宋体" w:eastAsia="宋体" w:cs="宋体"/>
          <w:color w:val="auto"/>
          <w:kern w:val="0"/>
          <w:sz w:val="21"/>
          <w:szCs w:val="21"/>
          <w:highlight w:val="none"/>
          <w:lang w:eastAsia="zh-CN"/>
        </w:rPr>
        <w:t>验收合格后由县财政按计划拨付</w:t>
      </w:r>
      <w:r>
        <w:rPr>
          <w:rFonts w:hint="eastAsia" w:ascii="宋体" w:hAnsi="宋体" w:eastAsia="宋体" w:cs="宋体"/>
          <w:color w:val="auto"/>
          <w:kern w:val="0"/>
          <w:sz w:val="21"/>
          <w:szCs w:val="21"/>
          <w:highlight w:val="none"/>
          <w:lang w:val="en-US" w:eastAsia="zh-CN"/>
        </w:rPr>
        <w:t>。</w:t>
      </w:r>
    </w:p>
    <w:p w14:paraId="0EECDC4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2" w:firstLineChars="20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lang w:eastAsia="zh-CN"/>
        </w:rPr>
        <w:t>八</w:t>
      </w:r>
      <w:r>
        <w:rPr>
          <w:rFonts w:hint="eastAsia" w:ascii="宋体" w:hAnsi="宋体" w:eastAsia="宋体" w:cs="宋体"/>
          <w:b/>
          <w:color w:val="auto"/>
          <w:kern w:val="0"/>
          <w:sz w:val="21"/>
          <w:szCs w:val="21"/>
        </w:rPr>
        <w:t>、</w:t>
      </w:r>
      <w:r>
        <w:rPr>
          <w:rFonts w:hint="eastAsia" w:ascii="宋体" w:hAnsi="宋体" w:eastAsia="宋体" w:cs="宋体"/>
          <w:b/>
          <w:bCs/>
          <w:color w:val="auto"/>
          <w:kern w:val="0"/>
          <w:sz w:val="21"/>
          <w:szCs w:val="21"/>
          <w:highlight w:val="none"/>
        </w:rPr>
        <w:t>其他要求</w:t>
      </w:r>
    </w:p>
    <w:p w14:paraId="311281D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设施设备采购要求：工程量表所附拟采购设施设备及辅助材料（</w:t>
      </w:r>
      <w:r>
        <w:rPr>
          <w:rFonts w:hint="eastAsia" w:ascii="宋体" w:hAnsi="宋体" w:eastAsia="宋体" w:cs="宋体"/>
          <w:color w:val="auto"/>
          <w:kern w:val="0"/>
          <w:sz w:val="21"/>
          <w:szCs w:val="21"/>
          <w:highlight w:val="none"/>
          <w:lang w:eastAsia="zh-CN"/>
        </w:rPr>
        <w:t>包括但不限于</w:t>
      </w:r>
      <w:r>
        <w:rPr>
          <w:rFonts w:hint="eastAsia" w:ascii="宋体" w:hAnsi="宋体" w:eastAsia="宋体" w:cs="宋体"/>
          <w:color w:val="auto"/>
          <w:kern w:val="0"/>
          <w:sz w:val="21"/>
          <w:szCs w:val="21"/>
          <w:highlight w:val="none"/>
        </w:rPr>
        <w:t>配件、管件等）质量合格，主材（</w:t>
      </w:r>
      <w:r>
        <w:rPr>
          <w:rFonts w:hint="eastAsia" w:ascii="宋体" w:hAnsi="宋体" w:eastAsia="宋体" w:cs="宋体"/>
          <w:color w:val="auto"/>
          <w:kern w:val="0"/>
          <w:sz w:val="21"/>
          <w:szCs w:val="21"/>
          <w:highlight w:val="none"/>
          <w:lang w:eastAsia="zh-CN"/>
        </w:rPr>
        <w:t>包括但不限于</w:t>
      </w:r>
      <w:r>
        <w:rPr>
          <w:rFonts w:hint="eastAsia" w:ascii="宋体" w:hAnsi="宋体" w:eastAsia="宋体" w:cs="宋体"/>
          <w:color w:val="auto"/>
          <w:kern w:val="0"/>
          <w:sz w:val="21"/>
          <w:szCs w:val="21"/>
          <w:highlight w:val="none"/>
        </w:rPr>
        <w:t>玻璃、钢材</w:t>
      </w:r>
      <w:r>
        <w:rPr>
          <w:rFonts w:hint="eastAsia" w:ascii="宋体" w:hAnsi="宋体" w:eastAsia="宋体" w:cs="宋体"/>
          <w:color w:val="auto"/>
          <w:kern w:val="0"/>
          <w:sz w:val="21"/>
          <w:szCs w:val="21"/>
          <w:highlight w:val="none"/>
          <w:lang w:eastAsia="zh-CN"/>
        </w:rPr>
        <w:t>等</w:t>
      </w:r>
      <w:r>
        <w:rPr>
          <w:rFonts w:hint="eastAsia" w:ascii="宋体" w:hAnsi="宋体" w:eastAsia="宋体" w:cs="宋体"/>
          <w:color w:val="auto"/>
          <w:kern w:val="0"/>
          <w:sz w:val="21"/>
          <w:szCs w:val="21"/>
          <w:highlight w:val="none"/>
        </w:rPr>
        <w:t>）验收时必须有注册商标、产品检验合格证。</w:t>
      </w:r>
    </w:p>
    <w:p w14:paraId="3084242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设施设备安装及质量要求：</w:t>
      </w:r>
    </w:p>
    <w:p w14:paraId="77B6F9B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.1所采购的设施设备进场后必须经采购人现场代表检查验收合格后方可进行安装。</w:t>
      </w:r>
    </w:p>
    <w:p w14:paraId="0908A73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.2所采购的设施设备必须按照采购人安装规划和相关安装及验收规范规定进行安装和验收，并保证一次性验收合格，验收由采购人组织进行。</w:t>
      </w:r>
    </w:p>
    <w:p w14:paraId="73EF422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投标报价注意事项：</w:t>
      </w:r>
    </w:p>
    <w:p w14:paraId="7750CC5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.1投标报价应根据工程量清单及填表须知计算。</w:t>
      </w: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在报价时要充分考虑本工程的一切风险因素（如场地因素、地质资料和地下障碍物因素、外部环境影响因素等等），在投标报价时做出最优和最合适、最有竞争力的报价。</w:t>
      </w:r>
    </w:p>
    <w:p w14:paraId="07F6259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2临时用水、用电、临时设施费、赶工措施费、交通安全维护设施费、安全文明施工措施费、技术措施项目费、其它措施项目费、工程保险费、管理配合费等工程有关的费用及保证质量（含节能方面）的各项技术措施费，由</w:t>
      </w:r>
      <w:r>
        <w:rPr>
          <w:rFonts w:hint="eastAsia" w:ascii="宋体" w:hAnsi="宋体" w:eastAsia="宋体" w:cs="宋体"/>
          <w:color w:val="auto"/>
          <w:kern w:val="0"/>
          <w:sz w:val="21"/>
          <w:szCs w:val="21"/>
          <w:highlight w:val="none"/>
          <w:lang w:eastAsia="zh-CN"/>
        </w:rPr>
        <w:t>投标</w:t>
      </w: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自行考虑并计入投标报价。</w:t>
      </w:r>
    </w:p>
    <w:p w14:paraId="312AA1B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.3本次投标报价是包含施工过程风险的报价，</w:t>
      </w: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在施工过程所需的施工风险处理费用及不可预见费用在投标报价中已包含。</w:t>
      </w:r>
    </w:p>
    <w:p w14:paraId="23D3C19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.4凡未有详细注明的做法，则按国家及湖南省有关的设计规范及施工验收规范进行施工，</w:t>
      </w: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在投标报价时须将这些因素考虑在内。</w:t>
      </w:r>
    </w:p>
    <w:p w14:paraId="51D011E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.5</w:t>
      </w: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应依据采购人提供的设计</w:t>
      </w:r>
      <w:r>
        <w:rPr>
          <w:rFonts w:hint="eastAsia" w:ascii="宋体" w:hAnsi="宋体" w:eastAsia="宋体" w:cs="宋体"/>
          <w:color w:val="auto"/>
          <w:kern w:val="0"/>
          <w:sz w:val="21"/>
          <w:szCs w:val="21"/>
          <w:highlight w:val="none"/>
          <w:lang w:eastAsia="zh-CN"/>
        </w:rPr>
        <w:t>要求</w:t>
      </w:r>
      <w:r>
        <w:rPr>
          <w:rFonts w:hint="eastAsia" w:ascii="宋体" w:hAnsi="宋体" w:eastAsia="宋体" w:cs="宋体"/>
          <w:color w:val="auto"/>
          <w:kern w:val="0"/>
          <w:sz w:val="21"/>
          <w:szCs w:val="21"/>
          <w:highlight w:val="none"/>
        </w:rPr>
        <w:t>、工程量清单</w:t>
      </w:r>
      <w:r>
        <w:rPr>
          <w:rFonts w:hint="eastAsia" w:ascii="宋体" w:hAnsi="宋体" w:eastAsia="宋体" w:cs="宋体"/>
          <w:color w:val="auto"/>
          <w:kern w:val="0"/>
          <w:sz w:val="21"/>
          <w:szCs w:val="21"/>
          <w:highlight w:val="none"/>
          <w:lang w:eastAsia="zh-CN"/>
        </w:rPr>
        <w:t>等</w:t>
      </w:r>
      <w:r>
        <w:rPr>
          <w:rFonts w:hint="eastAsia" w:ascii="宋体" w:hAnsi="宋体" w:eastAsia="宋体" w:cs="宋体"/>
          <w:color w:val="auto"/>
          <w:kern w:val="0"/>
          <w:sz w:val="21"/>
          <w:szCs w:val="21"/>
          <w:highlight w:val="none"/>
        </w:rPr>
        <w:t>相关文件进行编制。</w:t>
      </w:r>
    </w:p>
    <w:p w14:paraId="060E111F">
      <w:pPr>
        <w:pStyle w:val="11"/>
        <w:keepNext w:val="0"/>
        <w:keepLines w:val="0"/>
        <w:pageBreakBefore w:val="0"/>
        <w:kinsoku/>
        <w:wordWrap/>
        <w:overflowPunct/>
        <w:topLinePunct w:val="0"/>
        <w:bidi w:val="0"/>
        <w:adjustRightInd w:val="0"/>
        <w:snapToGrid w:val="0"/>
        <w:spacing w:line="360" w:lineRule="auto"/>
        <w:ind w:left="0" w:leftChars="0" w:right="0" w:rightChars="0" w:firstLine="422" w:firstLineChars="200"/>
        <w:jc w:val="left"/>
        <w:textAlignment w:val="auto"/>
        <w:outlineLvl w:val="9"/>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lang w:val="en-US" w:eastAsia="zh-CN"/>
        </w:rPr>
        <w:t>十</w:t>
      </w:r>
      <w:r>
        <w:rPr>
          <w:rFonts w:hint="eastAsia" w:ascii="宋体" w:hAnsi="宋体" w:eastAsia="宋体" w:cs="宋体"/>
          <w:b/>
          <w:color w:val="auto"/>
          <w:kern w:val="0"/>
          <w:sz w:val="21"/>
          <w:szCs w:val="21"/>
        </w:rPr>
        <w:t>、工程量清单（另册）</w:t>
      </w:r>
    </w:p>
    <w:p w14:paraId="5793BE64">
      <w:pPr>
        <w:outlineLvl w:val="9"/>
        <w:rPr>
          <w:rFonts w:hint="eastAsia" w:ascii="宋体" w:hAnsi="宋体" w:eastAsia="宋体" w:cs="宋体"/>
          <w:b/>
          <w:bCs/>
          <w:color w:val="auto"/>
          <w:kern w:val="0"/>
          <w:sz w:val="21"/>
          <w:szCs w:val="21"/>
        </w:rPr>
      </w:pPr>
    </w:p>
    <w:p w14:paraId="60812373">
      <w:pPr>
        <w:outlineLvl w:val="9"/>
      </w:pPr>
      <w:r>
        <w:rPr>
          <w:rFonts w:hint="eastAsia" w:ascii="宋体" w:hAnsi="宋体" w:eastAsia="宋体" w:cs="宋体"/>
          <w:b/>
          <w:bCs/>
          <w:color w:val="auto"/>
          <w:kern w:val="0"/>
          <w:sz w:val="21"/>
          <w:szCs w:val="21"/>
        </w:rPr>
        <w:t>对于上述项目要求，供应商应在投标文件中进行回应，作出承诺及说明</w:t>
      </w:r>
      <w:r>
        <w:rPr>
          <w:rFonts w:hint="eastAsia" w:ascii="宋体" w:hAnsi="宋体" w:eastAsia="宋体" w:cs="宋体"/>
          <w:b/>
          <w:color w:val="auto"/>
          <w:kern w:val="0"/>
          <w:sz w:val="21"/>
          <w:szCs w:val="21"/>
        </w:rPr>
        <w:t>。</w:t>
      </w:r>
    </w:p>
    <w:p w14:paraId="7AB6927D">
      <w:pPr>
        <w:pStyle w:val="4"/>
        <w:outlineLvl w:val="9"/>
        <w:rPr>
          <w:rFonts w:hint="eastAsia" w:ascii="宋体" w:hAnsi="宋体" w:cs="宋体"/>
          <w:b/>
          <w:szCs w:val="21"/>
        </w:rPr>
      </w:pPr>
    </w:p>
    <w:p w14:paraId="18999D7C">
      <w:pPr>
        <w:adjustRightInd w:val="0"/>
        <w:snapToGrid w:val="0"/>
        <w:spacing w:line="480" w:lineRule="exact"/>
        <w:ind w:firstLine="420" w:firstLineChars="200"/>
        <w:outlineLvl w:val="9"/>
        <w:rPr>
          <w:snapToGrid w:val="0"/>
          <w:color w:val="auto"/>
          <w:kern w:val="0"/>
          <w:highlight w:val="none"/>
        </w:rPr>
      </w:pPr>
    </w:p>
    <w:p w14:paraId="7B80C562">
      <w:pPr>
        <w:outlineLvl w:val="9"/>
        <w:rPr>
          <w:rFonts w:hint="eastAsia"/>
        </w:rPr>
        <w:sectPr>
          <w:footerReference r:id="rId5" w:type="default"/>
          <w:pgSz w:w="11906" w:h="16839"/>
          <w:pgMar w:top="1440" w:right="1800" w:bottom="1440" w:left="1800" w:header="0" w:footer="1078" w:gutter="0"/>
          <w:pgNumType w:fmt="decimal"/>
          <w:cols w:space="720" w:num="1"/>
        </w:sectPr>
      </w:pPr>
    </w:p>
    <w:p w14:paraId="514339B0">
      <w:pPr>
        <w:adjustRightInd w:val="0"/>
        <w:snapToGrid w:val="0"/>
        <w:spacing w:before="120" w:beforeLines="50" w:line="360" w:lineRule="auto"/>
        <w:ind w:firstLine="643"/>
        <w:jc w:val="center"/>
        <w:outlineLvl w:val="0"/>
        <w:rPr>
          <w:rFonts w:hint="eastAsia" w:ascii="宋体" w:hAnsi="宋体" w:eastAsia="宋体" w:cs="宋体"/>
          <w:b/>
          <w:color w:val="auto"/>
          <w:sz w:val="32"/>
          <w:szCs w:val="32"/>
          <w:highlight w:val="none"/>
        </w:rPr>
      </w:pPr>
      <w:bookmarkStart w:id="8" w:name="_Toc10417"/>
      <w:r>
        <w:rPr>
          <w:rFonts w:hint="eastAsia" w:ascii="宋体" w:hAnsi="宋体" w:eastAsia="宋体" w:cs="宋体"/>
          <w:b/>
          <w:color w:val="auto"/>
          <w:sz w:val="32"/>
          <w:szCs w:val="32"/>
          <w:highlight w:val="none"/>
        </w:rPr>
        <w:t>第四章  政府采购合同（格式）</w:t>
      </w:r>
      <w:bookmarkEnd w:id="8"/>
    </w:p>
    <w:p w14:paraId="1B08F107">
      <w:pPr>
        <w:spacing w:line="360" w:lineRule="auto"/>
        <w:ind w:firstLine="482"/>
        <w:jc w:val="center"/>
        <w:outlineLvl w:val="1"/>
        <w:rPr>
          <w:rFonts w:hint="eastAsia" w:ascii="宋体" w:hAnsi="宋体" w:eastAsia="宋体" w:cs="宋体"/>
          <w:color w:val="auto"/>
          <w:sz w:val="24"/>
          <w:highlight w:val="none"/>
        </w:rPr>
      </w:pPr>
      <w:bookmarkStart w:id="9" w:name="_Toc12059"/>
      <w:r>
        <w:rPr>
          <w:rFonts w:hint="eastAsia" w:eastAsia="宋体"/>
          <w:b/>
          <w:color w:val="auto"/>
          <w:sz w:val="24"/>
          <w:highlight w:val="none"/>
        </w:rPr>
        <w:t>第一节  政府采购合同协议书</w:t>
      </w:r>
      <w:bookmarkEnd w:id="9"/>
    </w:p>
    <w:p w14:paraId="41136D17">
      <w:pPr>
        <w:ind w:firstLine="4200" w:firstLineChars="2000"/>
        <w:outlineLvl w:val="9"/>
        <w:rPr>
          <w:rFonts w:hint="eastAsia" w:ascii="宋体" w:hAnsi="宋体" w:eastAsia="宋体" w:cs="宋体"/>
          <w:color w:val="auto"/>
          <w:szCs w:val="21"/>
          <w:highlight w:val="none"/>
        </w:rPr>
      </w:pPr>
    </w:p>
    <w:p w14:paraId="214CD324">
      <w:pPr>
        <w:jc w:val="right"/>
        <w:outlineLvl w:val="9"/>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采购合同编号：</w:t>
      </w:r>
    </w:p>
    <w:p w14:paraId="1B4CC002">
      <w:pPr>
        <w:adjustRightInd w:val="0"/>
        <w:snapToGrid w:val="0"/>
        <w:spacing w:line="360" w:lineRule="auto"/>
        <w:outlineLvl w:val="9"/>
        <w:rPr>
          <w:rFonts w:hint="eastAsia" w:ascii="宋体" w:hAnsi="宋体" w:eastAsia="宋体" w:cs="宋体"/>
          <w:color w:val="auto"/>
          <w:szCs w:val="21"/>
          <w:highlight w:val="none"/>
        </w:rPr>
      </w:pPr>
    </w:p>
    <w:p w14:paraId="6A6EBB7B">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（甲方）</w:t>
      </w:r>
    </w:p>
    <w:p w14:paraId="351B44B6">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（乙方）</w:t>
      </w:r>
    </w:p>
    <w:p w14:paraId="7227CA96">
      <w:pPr>
        <w:adjustRightInd w:val="0"/>
        <w:snapToGrid w:val="0"/>
        <w:spacing w:line="360" w:lineRule="auto"/>
        <w:outlineLvl w:val="9"/>
        <w:rPr>
          <w:rFonts w:hint="eastAsia" w:ascii="宋体" w:hAnsi="宋体" w:eastAsia="宋体" w:cs="宋体"/>
          <w:color w:val="auto"/>
          <w:szCs w:val="21"/>
          <w:highlight w:val="none"/>
        </w:rPr>
      </w:pPr>
    </w:p>
    <w:p w14:paraId="7B93DFD7">
      <w:pPr>
        <w:adjustRightInd w:val="0"/>
        <w:snapToGrid w:val="0"/>
        <w:spacing w:before="120" w:beforeLines="50" w:line="360" w:lineRule="auto"/>
        <w:ind w:firstLine="422" w:firstLineChars="200"/>
        <w:outlineLvl w:val="9"/>
        <w:rPr>
          <w:rFonts w:hint="eastAsia" w:asciiTheme="minorEastAsia" w:hAnsiTheme="minorEastAsia"/>
          <w:b/>
          <w:color w:val="auto"/>
          <w:szCs w:val="21"/>
          <w:highlight w:val="none"/>
        </w:rPr>
      </w:pPr>
      <w:r>
        <w:rPr>
          <w:rFonts w:hint="eastAsia" w:asciiTheme="minorEastAsia" w:hAnsiTheme="minorEastAsia"/>
          <w:b/>
          <w:color w:val="auto"/>
          <w:szCs w:val="21"/>
          <w:highlight w:val="none"/>
        </w:rPr>
        <w:t>1.项目信息</w:t>
      </w:r>
    </w:p>
    <w:p w14:paraId="72FF24FA">
      <w:pPr>
        <w:pStyle w:val="3"/>
        <w:adjustRightInd w:val="0"/>
        <w:snapToGrid w:val="0"/>
        <w:spacing w:before="120" w:beforeLines="50" w:after="0" w:line="360" w:lineRule="auto"/>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（1）采购项目名称：</w:t>
      </w:r>
      <w:r>
        <w:rPr>
          <w:rFonts w:hint="eastAsia" w:ascii="宋体" w:hAnsi="宋体" w:eastAsia="宋体" w:cs="宋体"/>
          <w:color w:val="auto"/>
          <w:szCs w:val="21"/>
          <w:highlight w:val="none"/>
          <w:u w:val="single"/>
        </w:rPr>
        <w:t xml:space="preserve">                             。</w:t>
      </w:r>
      <w:r>
        <w:rPr>
          <w:rFonts w:hint="eastAsia" w:asciiTheme="minorEastAsia" w:hAnsiTheme="minorEastAsia"/>
          <w:color w:val="auto"/>
          <w:szCs w:val="21"/>
          <w:highlight w:val="none"/>
        </w:rPr>
        <w:t xml:space="preserve">                             </w:t>
      </w:r>
    </w:p>
    <w:p w14:paraId="413A7DFC">
      <w:pPr>
        <w:pStyle w:val="3"/>
        <w:adjustRightInd w:val="0"/>
        <w:snapToGrid w:val="0"/>
        <w:spacing w:before="120" w:beforeLines="50" w:after="0" w:line="360" w:lineRule="auto"/>
        <w:outlineLvl w:val="9"/>
        <w:rPr>
          <w:rFonts w:hint="eastAsia" w:eastAsia="宋体" w:asciiTheme="minorEastAsia" w:hAnsiTheme="minorEastAsia"/>
          <w:color w:val="auto"/>
          <w:szCs w:val="21"/>
          <w:highlight w:val="none"/>
        </w:rPr>
      </w:pPr>
      <w:r>
        <w:rPr>
          <w:rFonts w:hint="eastAsia" w:asciiTheme="minorEastAsia" w:hAnsiTheme="minorEastAsia"/>
          <w:color w:val="auto"/>
          <w:szCs w:val="21"/>
          <w:highlight w:val="none"/>
        </w:rPr>
        <w:t>（2）采购计划编号：</w:t>
      </w:r>
      <w:r>
        <w:rPr>
          <w:rFonts w:hint="eastAsia" w:ascii="宋体" w:hAnsi="宋体" w:eastAsia="宋体" w:cs="宋体"/>
          <w:color w:val="auto"/>
          <w:szCs w:val="21"/>
          <w:highlight w:val="none"/>
          <w:u w:val="single"/>
        </w:rPr>
        <w:t xml:space="preserve">                             。</w:t>
      </w:r>
    </w:p>
    <w:p w14:paraId="7C000D6D">
      <w:pPr>
        <w:pStyle w:val="3"/>
        <w:adjustRightInd w:val="0"/>
        <w:snapToGrid w:val="0"/>
        <w:spacing w:before="120" w:beforeLines="50" w:after="0" w:line="360" w:lineRule="auto"/>
        <w:outlineLvl w:val="9"/>
        <w:rPr>
          <w:rFonts w:hint="eastAsia" w:eastAsia="宋体" w:asciiTheme="minorEastAsia" w:hAnsiTheme="minorEastAsia"/>
          <w:color w:val="auto"/>
          <w:szCs w:val="21"/>
          <w:highlight w:val="none"/>
        </w:rPr>
      </w:pPr>
      <w:r>
        <w:rPr>
          <w:rFonts w:hint="eastAsia" w:asciiTheme="minorEastAsia" w:hAnsiTheme="minorEastAsia"/>
          <w:color w:val="auto"/>
          <w:szCs w:val="21"/>
          <w:highlight w:val="none"/>
        </w:rPr>
        <w:t>（3）项 目 内 容：</w:t>
      </w:r>
      <w:r>
        <w:rPr>
          <w:rFonts w:hint="eastAsia" w:ascii="宋体" w:hAnsi="宋体" w:eastAsia="宋体" w:cs="宋体"/>
          <w:color w:val="auto"/>
          <w:szCs w:val="21"/>
          <w:highlight w:val="none"/>
          <w:u w:val="single"/>
        </w:rPr>
        <w:t xml:space="preserve">                             。</w:t>
      </w:r>
    </w:p>
    <w:p w14:paraId="2910097B">
      <w:pPr>
        <w:pStyle w:val="3"/>
        <w:adjustRightInd w:val="0"/>
        <w:snapToGrid w:val="0"/>
        <w:spacing w:before="120" w:beforeLines="50" w:after="0" w:line="360" w:lineRule="auto"/>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（4）项目负责人：</w:t>
      </w:r>
      <w:r>
        <w:rPr>
          <w:rFonts w:hint="eastAsia" w:ascii="宋体" w:hAnsi="宋体" w:eastAsia="宋体" w:cs="宋体"/>
          <w:color w:val="auto"/>
          <w:szCs w:val="21"/>
          <w:highlight w:val="none"/>
          <w:u w:val="single"/>
        </w:rPr>
        <w:t xml:space="preserve">                             。</w:t>
      </w:r>
      <w:r>
        <w:rPr>
          <w:rFonts w:hint="eastAsia" w:asciiTheme="minorEastAsia" w:hAnsiTheme="minorEastAsia"/>
          <w:color w:val="auto"/>
          <w:szCs w:val="21"/>
          <w:highlight w:val="none"/>
        </w:rPr>
        <w:t xml:space="preserve">    </w:t>
      </w:r>
    </w:p>
    <w:p w14:paraId="67488953">
      <w:pPr>
        <w:adjustRightInd w:val="0"/>
        <w:snapToGrid w:val="0"/>
        <w:spacing w:before="120" w:beforeLines="50" w:line="360" w:lineRule="auto"/>
        <w:ind w:firstLine="413" w:firstLineChars="196"/>
        <w:outlineLvl w:val="9"/>
        <w:rPr>
          <w:rFonts w:hint="eastAsia" w:asciiTheme="minorEastAsia" w:hAnsiTheme="minorEastAsia"/>
          <w:b/>
          <w:color w:val="auto"/>
          <w:szCs w:val="21"/>
          <w:highlight w:val="none"/>
        </w:rPr>
      </w:pPr>
      <w:r>
        <w:rPr>
          <w:rFonts w:hint="eastAsia" w:asciiTheme="minorEastAsia" w:hAnsiTheme="minorEastAsia"/>
          <w:b/>
          <w:color w:val="auto"/>
          <w:szCs w:val="21"/>
          <w:highlight w:val="none"/>
        </w:rPr>
        <w:t>2.合同金额</w:t>
      </w:r>
    </w:p>
    <w:p w14:paraId="64C92698">
      <w:pPr>
        <w:adjustRightInd w:val="0"/>
        <w:snapToGrid w:val="0"/>
        <w:spacing w:before="120" w:beforeLines="50" w:line="360" w:lineRule="auto"/>
        <w:ind w:firstLine="420" w:firstLineChars="200"/>
        <w:outlineLvl w:val="9"/>
        <w:rPr>
          <w:rFonts w:hint="eastAsia" w:eastAsia="宋体" w:asciiTheme="minorEastAsia" w:hAnsiTheme="minorEastAsia"/>
          <w:color w:val="auto"/>
          <w:szCs w:val="21"/>
          <w:highlight w:val="none"/>
        </w:rPr>
      </w:pPr>
      <w:r>
        <w:rPr>
          <w:rFonts w:hint="eastAsia" w:asciiTheme="minorEastAsia" w:hAnsiTheme="minorEastAsia"/>
          <w:color w:val="auto"/>
          <w:szCs w:val="21"/>
          <w:highlight w:val="none"/>
        </w:rPr>
        <w:t>（1）合同金额小写：</w:t>
      </w:r>
      <w:r>
        <w:rPr>
          <w:rFonts w:hint="eastAsia" w:ascii="宋体" w:hAnsi="宋体" w:eastAsia="宋体" w:cs="宋体"/>
          <w:color w:val="auto"/>
          <w:szCs w:val="21"/>
          <w:highlight w:val="none"/>
          <w:u w:val="single"/>
        </w:rPr>
        <w:t xml:space="preserve">                             。</w:t>
      </w:r>
    </w:p>
    <w:p w14:paraId="13DA6F36">
      <w:pPr>
        <w:adjustRightInd w:val="0"/>
        <w:snapToGrid w:val="0"/>
        <w:spacing w:before="120" w:beforeLines="50" w:line="360" w:lineRule="auto"/>
        <w:ind w:firstLine="1890" w:firstLineChars="900"/>
        <w:outlineLvl w:val="9"/>
        <w:rPr>
          <w:rFonts w:hint="eastAsia" w:eastAsia="宋体" w:asciiTheme="minorEastAsia" w:hAnsiTheme="minorEastAsia"/>
          <w:b/>
          <w:color w:val="auto"/>
          <w:szCs w:val="21"/>
          <w:highlight w:val="none"/>
        </w:rPr>
      </w:pPr>
      <w:r>
        <w:rPr>
          <w:rFonts w:hint="eastAsia" w:asciiTheme="minorEastAsia" w:hAnsiTheme="minorEastAsia"/>
          <w:color w:val="auto"/>
          <w:szCs w:val="21"/>
          <w:highlight w:val="none"/>
        </w:rPr>
        <w:t>大写：</w:t>
      </w:r>
      <w:r>
        <w:rPr>
          <w:rFonts w:hint="eastAsia" w:ascii="宋体" w:hAnsi="宋体" w:eastAsia="宋体" w:cs="宋体"/>
          <w:color w:val="auto"/>
          <w:szCs w:val="21"/>
          <w:highlight w:val="none"/>
          <w:u w:val="single"/>
        </w:rPr>
        <w:t xml:space="preserve">                             。</w:t>
      </w:r>
    </w:p>
    <w:p w14:paraId="3DE923DD">
      <w:pPr>
        <w:adjustRightInd w:val="0"/>
        <w:snapToGrid w:val="0"/>
        <w:spacing w:before="120" w:beforeLines="50" w:line="360" w:lineRule="auto"/>
        <w:ind w:firstLine="420" w:firstLineChars="200"/>
        <w:outlineLvl w:val="9"/>
        <w:rPr>
          <w:rFonts w:hint="eastAsia" w:eastAsia="宋体" w:asciiTheme="minorEastAsia" w:hAnsiTheme="minorEastAsia"/>
          <w:color w:val="auto"/>
          <w:szCs w:val="21"/>
          <w:highlight w:val="none"/>
        </w:rPr>
      </w:pPr>
      <w:r>
        <w:rPr>
          <w:rFonts w:hint="eastAsia" w:asciiTheme="minorEastAsia" w:hAnsiTheme="minorEastAsia"/>
          <w:color w:val="auto"/>
          <w:szCs w:val="21"/>
          <w:highlight w:val="none"/>
        </w:rPr>
        <w:t>（2）具体标的见附件。</w:t>
      </w:r>
      <w:r>
        <w:rPr>
          <w:rFonts w:hint="eastAsia" w:ascii="宋体" w:hAnsi="宋体" w:eastAsia="宋体" w:cs="宋体"/>
          <w:color w:val="auto"/>
          <w:szCs w:val="21"/>
          <w:highlight w:val="none"/>
          <w:u w:val="single"/>
        </w:rPr>
        <w:t xml:space="preserve">                             。</w:t>
      </w:r>
    </w:p>
    <w:p w14:paraId="3411A66F">
      <w:pPr>
        <w:adjustRightInd w:val="0"/>
        <w:snapToGrid w:val="0"/>
        <w:spacing w:before="120" w:beforeLines="50" w:line="360" w:lineRule="auto"/>
        <w:ind w:firstLine="420" w:firstLineChars="200"/>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（3）合同价格形式：</w:t>
      </w:r>
      <w:r>
        <w:rPr>
          <w:rFonts w:hint="eastAsia" w:ascii="宋体" w:hAnsi="宋体" w:eastAsia="宋体" w:cs="宋体"/>
          <w:color w:val="auto"/>
          <w:szCs w:val="21"/>
          <w:highlight w:val="none"/>
          <w:u w:val="single"/>
        </w:rPr>
        <w:t xml:space="preserve">                             。</w:t>
      </w:r>
      <w:r>
        <w:rPr>
          <w:rFonts w:hint="eastAsia" w:asciiTheme="minorEastAsia" w:hAnsiTheme="minorEastAsia"/>
          <w:color w:val="auto"/>
          <w:szCs w:val="21"/>
          <w:highlight w:val="none"/>
        </w:rPr>
        <w:t xml:space="preserve">                。</w:t>
      </w:r>
    </w:p>
    <w:p w14:paraId="242ABF4D">
      <w:pPr>
        <w:adjustRightInd w:val="0"/>
        <w:snapToGrid w:val="0"/>
        <w:spacing w:before="120" w:beforeLines="50" w:line="360" w:lineRule="auto"/>
        <w:ind w:firstLine="422" w:firstLineChars="200"/>
        <w:outlineLvl w:val="9"/>
        <w:rPr>
          <w:rFonts w:hint="eastAsia" w:asciiTheme="minorEastAsia" w:hAnsiTheme="minorEastAsia"/>
          <w:color w:val="auto"/>
          <w:szCs w:val="21"/>
          <w:highlight w:val="none"/>
          <w:u w:val="single"/>
        </w:rPr>
      </w:pPr>
      <w:r>
        <w:rPr>
          <w:rFonts w:hint="eastAsia" w:asciiTheme="minorEastAsia" w:hAnsiTheme="minorEastAsia"/>
          <w:b/>
          <w:color w:val="auto"/>
          <w:szCs w:val="21"/>
          <w:highlight w:val="none"/>
        </w:rPr>
        <w:t>3.履行合同的时间、地点及方式</w:t>
      </w:r>
    </w:p>
    <w:p w14:paraId="16F9B1AF">
      <w:pPr>
        <w:adjustRightInd w:val="0"/>
        <w:snapToGrid w:val="0"/>
        <w:spacing w:before="120" w:beforeLines="50" w:line="360" w:lineRule="auto"/>
        <w:ind w:firstLine="630" w:firstLineChars="300"/>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起始日期：   年   月   日，完成日期： 年   月   日。总日历天数：  天。</w:t>
      </w:r>
    </w:p>
    <w:p w14:paraId="04224FB5">
      <w:pPr>
        <w:adjustRightInd w:val="0"/>
        <w:snapToGrid w:val="0"/>
        <w:spacing w:before="120" w:beforeLines="50" w:line="360" w:lineRule="auto"/>
        <w:ind w:firstLine="630" w:firstLineChars="300"/>
        <w:outlineLvl w:val="9"/>
        <w:rPr>
          <w:rFonts w:hint="eastAsia" w:eastAsia="宋体" w:asciiTheme="minorEastAsia" w:hAnsiTheme="minorEastAsia"/>
          <w:color w:val="auto"/>
          <w:szCs w:val="21"/>
          <w:highlight w:val="none"/>
          <w:u w:val="single"/>
        </w:rPr>
      </w:pPr>
      <w:r>
        <w:rPr>
          <w:rFonts w:hint="eastAsia" w:asciiTheme="minorEastAsia" w:hAnsiTheme="minorEastAsia"/>
          <w:color w:val="auto"/>
          <w:szCs w:val="21"/>
          <w:highlight w:val="none"/>
        </w:rPr>
        <w:t>地点</w:t>
      </w:r>
      <w:r>
        <w:rPr>
          <w:rFonts w:hint="eastAsia" w:asciiTheme="minorEastAsia" w:hAnsiTheme="minorEastAsia"/>
          <w:b/>
          <w:color w:val="auto"/>
          <w:szCs w:val="21"/>
          <w:highlight w:val="none"/>
        </w:rPr>
        <w:t>：</w:t>
      </w:r>
      <w:r>
        <w:rPr>
          <w:rFonts w:hint="eastAsia" w:ascii="宋体" w:hAnsi="宋体" w:eastAsia="宋体" w:cs="宋体"/>
          <w:color w:val="auto"/>
          <w:szCs w:val="21"/>
          <w:highlight w:val="none"/>
          <w:u w:val="single"/>
        </w:rPr>
        <w:t xml:space="preserve">                             。</w:t>
      </w:r>
    </w:p>
    <w:p w14:paraId="33589105">
      <w:pPr>
        <w:adjustRightInd w:val="0"/>
        <w:snapToGrid w:val="0"/>
        <w:spacing w:before="120" w:beforeLines="50" w:line="360" w:lineRule="auto"/>
        <w:ind w:firstLine="630" w:firstLineChars="300"/>
        <w:outlineLvl w:val="9"/>
        <w:rPr>
          <w:rFonts w:hint="eastAsia" w:ascii="宋体" w:hAnsi="宋体" w:eastAsia="宋体" w:cs="宋体"/>
          <w:color w:val="auto"/>
          <w:szCs w:val="21"/>
          <w:highlight w:val="none"/>
          <w:u w:val="single"/>
        </w:rPr>
      </w:pPr>
      <w:r>
        <w:rPr>
          <w:rFonts w:hint="eastAsia" w:asciiTheme="minorEastAsia" w:hAnsiTheme="minorEastAsia"/>
          <w:color w:val="auto"/>
          <w:szCs w:val="21"/>
          <w:highlight w:val="none"/>
        </w:rPr>
        <w:t>方式：</w:t>
      </w:r>
      <w:r>
        <w:rPr>
          <w:rFonts w:hint="eastAsia" w:ascii="宋体" w:hAnsi="宋体" w:eastAsia="宋体" w:cs="宋体"/>
          <w:color w:val="auto"/>
          <w:szCs w:val="21"/>
          <w:highlight w:val="none"/>
          <w:u w:val="single"/>
        </w:rPr>
        <w:t xml:space="preserve">                             。</w:t>
      </w:r>
    </w:p>
    <w:p w14:paraId="67C0447B">
      <w:pPr>
        <w:adjustRightInd w:val="0"/>
        <w:snapToGrid w:val="0"/>
        <w:spacing w:before="120" w:beforeLines="50" w:line="360" w:lineRule="auto"/>
        <w:ind w:firstLine="632" w:firstLineChars="300"/>
        <w:outlineLvl w:val="9"/>
        <w:rPr>
          <w:rFonts w:hint="eastAsia" w:asciiTheme="minorEastAsia" w:hAnsiTheme="minorEastAsia"/>
          <w:bCs/>
          <w:color w:val="auto"/>
          <w:szCs w:val="21"/>
          <w:highlight w:val="none"/>
        </w:rPr>
      </w:pPr>
      <w:r>
        <w:rPr>
          <w:rFonts w:hint="eastAsia" w:asciiTheme="minorEastAsia" w:hAnsiTheme="minorEastAsia"/>
          <w:b/>
          <w:color w:val="auto"/>
          <w:szCs w:val="21"/>
          <w:highlight w:val="none"/>
        </w:rPr>
        <w:t>4.付款：</w:t>
      </w:r>
      <w:r>
        <w:rPr>
          <w:rFonts w:hint="eastAsia" w:asciiTheme="minorEastAsia" w:hAnsiTheme="minorEastAsia"/>
          <w:color w:val="auto"/>
          <w:szCs w:val="21"/>
          <w:highlight w:val="none"/>
          <w:u w:val="single"/>
        </w:rPr>
        <w:t xml:space="preserve">                           </w:t>
      </w:r>
      <w:r>
        <w:rPr>
          <w:rFonts w:hint="eastAsia" w:asciiTheme="minorEastAsia" w:hAnsiTheme="minorEastAsia"/>
          <w:color w:val="auto"/>
          <w:szCs w:val="21"/>
          <w:highlight w:val="none"/>
        </w:rPr>
        <w:t xml:space="preserve">。  </w:t>
      </w:r>
    </w:p>
    <w:p w14:paraId="56101074">
      <w:pPr>
        <w:adjustRightInd w:val="0"/>
        <w:snapToGrid w:val="0"/>
        <w:spacing w:before="120" w:beforeLines="50" w:line="360" w:lineRule="auto"/>
        <w:ind w:firstLine="422" w:firstLineChars="200"/>
        <w:outlineLvl w:val="9"/>
        <w:rPr>
          <w:rFonts w:hint="eastAsia" w:asciiTheme="minorEastAsia" w:hAnsiTheme="minorEastAsia"/>
          <w:b/>
          <w:color w:val="auto"/>
          <w:szCs w:val="21"/>
          <w:highlight w:val="none"/>
        </w:rPr>
      </w:pPr>
      <w:r>
        <w:rPr>
          <w:rFonts w:hint="eastAsia" w:asciiTheme="minorEastAsia" w:hAnsiTheme="minorEastAsia"/>
          <w:b/>
          <w:color w:val="auto"/>
          <w:szCs w:val="21"/>
          <w:highlight w:val="none"/>
        </w:rPr>
        <w:t>5.解决合同纠纷方式</w:t>
      </w:r>
    </w:p>
    <w:p w14:paraId="41540FF3">
      <w:pPr>
        <w:adjustRightInd w:val="0"/>
        <w:snapToGrid w:val="0"/>
        <w:spacing w:before="120" w:beforeLines="50" w:line="360" w:lineRule="auto"/>
        <w:ind w:firstLine="420" w:firstLineChars="200"/>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首先通过双方协商解决，协商解决不成，则通过以下途径之一解决纠纷：</w:t>
      </w:r>
    </w:p>
    <w:p w14:paraId="50F4C700">
      <w:pPr>
        <w:adjustRightInd w:val="0"/>
        <w:snapToGrid w:val="0"/>
        <w:spacing w:before="120" w:beforeLines="50" w:line="360" w:lineRule="auto"/>
        <w:ind w:firstLine="840" w:firstLineChars="400"/>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 xml:space="preserve">□ 提请仲裁       </w:t>
      </w:r>
      <w:r>
        <w:rPr>
          <w:rFonts w:hint="eastAsia" w:hAnsi="宋体"/>
          <w:color w:val="auto"/>
          <w:highlight w:val="none"/>
        </w:rPr>
        <w:t>■</w:t>
      </w:r>
      <w:r>
        <w:rPr>
          <w:rFonts w:hint="eastAsia" w:asciiTheme="minorEastAsia" w:hAnsiTheme="minorEastAsia"/>
          <w:color w:val="auto"/>
          <w:szCs w:val="21"/>
          <w:highlight w:val="none"/>
        </w:rPr>
        <w:t xml:space="preserve"> 向人民法院提起诉讼</w:t>
      </w:r>
    </w:p>
    <w:p w14:paraId="59833027">
      <w:pPr>
        <w:adjustRightInd w:val="0"/>
        <w:snapToGrid w:val="0"/>
        <w:spacing w:before="120" w:beforeLines="50" w:line="360" w:lineRule="auto"/>
        <w:ind w:firstLine="422" w:firstLineChars="200"/>
        <w:outlineLvl w:val="9"/>
        <w:rPr>
          <w:rFonts w:hint="eastAsia" w:asciiTheme="minorEastAsia" w:hAnsiTheme="minorEastAsia"/>
          <w:b/>
          <w:color w:val="auto"/>
          <w:szCs w:val="21"/>
          <w:highlight w:val="none"/>
        </w:rPr>
      </w:pPr>
      <w:r>
        <w:rPr>
          <w:rFonts w:hint="eastAsia" w:asciiTheme="minorEastAsia" w:hAnsiTheme="minorEastAsia"/>
          <w:b/>
          <w:color w:val="auto"/>
          <w:szCs w:val="21"/>
          <w:highlight w:val="none"/>
        </w:rPr>
        <w:t>6.组成合同的文件</w:t>
      </w:r>
    </w:p>
    <w:p w14:paraId="18DB2A40">
      <w:pPr>
        <w:adjustRightInd w:val="0"/>
        <w:snapToGrid w:val="0"/>
        <w:spacing w:before="120" w:beforeLines="50" w:line="360" w:lineRule="auto"/>
        <w:ind w:firstLine="420" w:firstLineChars="200"/>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本协议书与下列文件一起构成合同文件，如下述文件之间有任何抵触、矛盾或歧义，应按以下顺序解释：</w:t>
      </w:r>
    </w:p>
    <w:p w14:paraId="2AF0AA2D">
      <w:pPr>
        <w:adjustRightInd w:val="0"/>
        <w:snapToGrid w:val="0"/>
        <w:spacing w:before="120" w:beforeLines="50" w:line="360" w:lineRule="auto"/>
        <w:ind w:firstLine="420" w:firstLineChars="200"/>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（1）在采购或合同履行过程中乙方作出的承诺以及双方协商达成的变更或补充协议</w:t>
      </w:r>
    </w:p>
    <w:p w14:paraId="6DBD3A6A">
      <w:pPr>
        <w:adjustRightInd w:val="0"/>
        <w:snapToGrid w:val="0"/>
        <w:spacing w:before="120" w:beforeLines="50" w:line="360" w:lineRule="auto"/>
        <w:ind w:firstLine="420" w:firstLineChars="200"/>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（2）本合同协议书</w:t>
      </w:r>
    </w:p>
    <w:p w14:paraId="0F76EBF2">
      <w:pPr>
        <w:adjustRightInd w:val="0"/>
        <w:snapToGrid w:val="0"/>
        <w:spacing w:before="120" w:beforeLines="50" w:line="360" w:lineRule="auto"/>
        <w:ind w:firstLine="420" w:firstLineChars="200"/>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（3）成交通知书</w:t>
      </w:r>
    </w:p>
    <w:p w14:paraId="60466B12">
      <w:pPr>
        <w:adjustRightInd w:val="0"/>
        <w:snapToGrid w:val="0"/>
        <w:spacing w:before="120" w:beforeLines="50" w:line="360" w:lineRule="auto"/>
        <w:ind w:firstLine="420" w:firstLineChars="200"/>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（4）响应文件</w:t>
      </w:r>
    </w:p>
    <w:p w14:paraId="0886684F">
      <w:pPr>
        <w:adjustRightInd w:val="0"/>
        <w:snapToGrid w:val="0"/>
        <w:spacing w:before="120" w:beforeLines="50" w:line="360" w:lineRule="auto"/>
        <w:ind w:firstLine="420" w:firstLineChars="200"/>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（5）政府采购合同专用条款</w:t>
      </w:r>
    </w:p>
    <w:p w14:paraId="275C5F37">
      <w:pPr>
        <w:adjustRightInd w:val="0"/>
        <w:snapToGrid w:val="0"/>
        <w:spacing w:before="120" w:beforeLines="50" w:line="360" w:lineRule="auto"/>
        <w:ind w:firstLine="420" w:firstLineChars="200"/>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（6）政府采购合同通用条款</w:t>
      </w:r>
    </w:p>
    <w:p w14:paraId="1DBD8385">
      <w:pPr>
        <w:adjustRightInd w:val="0"/>
        <w:snapToGrid w:val="0"/>
        <w:spacing w:before="120" w:beforeLines="50" w:line="360" w:lineRule="auto"/>
        <w:ind w:firstLine="420" w:firstLineChars="200"/>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（7）标准、规范及有关技术文件，图纸。</w:t>
      </w:r>
    </w:p>
    <w:p w14:paraId="0A6B442F">
      <w:pPr>
        <w:adjustRightInd w:val="0"/>
        <w:snapToGrid w:val="0"/>
        <w:spacing w:before="120" w:beforeLines="50" w:line="360" w:lineRule="auto"/>
        <w:ind w:firstLine="420" w:firstLineChars="200"/>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（8）其他合同文件。</w:t>
      </w:r>
    </w:p>
    <w:p w14:paraId="502381C2">
      <w:pPr>
        <w:adjustRightInd w:val="0"/>
        <w:snapToGrid w:val="0"/>
        <w:spacing w:before="120" w:beforeLines="50" w:line="360" w:lineRule="auto"/>
        <w:ind w:firstLine="310" w:firstLineChars="147"/>
        <w:outlineLvl w:val="9"/>
        <w:rPr>
          <w:rFonts w:hint="eastAsia" w:asciiTheme="minorEastAsia" w:hAnsiTheme="minorEastAsia"/>
          <w:b/>
          <w:color w:val="auto"/>
          <w:szCs w:val="21"/>
          <w:highlight w:val="none"/>
        </w:rPr>
      </w:pPr>
      <w:r>
        <w:rPr>
          <w:rFonts w:hint="eastAsia" w:asciiTheme="minorEastAsia" w:hAnsiTheme="minorEastAsia"/>
          <w:b/>
          <w:color w:val="auto"/>
          <w:szCs w:val="21"/>
          <w:highlight w:val="none"/>
        </w:rPr>
        <w:t>7.合同生效</w:t>
      </w:r>
    </w:p>
    <w:p w14:paraId="7D35E2A3">
      <w:pPr>
        <w:adjustRightInd w:val="0"/>
        <w:snapToGrid w:val="0"/>
        <w:spacing w:before="120" w:beforeLines="50" w:line="360" w:lineRule="auto"/>
        <w:ind w:firstLine="420" w:firstLineChars="200"/>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本合同自生效。</w:t>
      </w:r>
    </w:p>
    <w:p w14:paraId="17448E63">
      <w:pPr>
        <w:adjustRightInd w:val="0"/>
        <w:snapToGrid w:val="0"/>
        <w:spacing w:before="120" w:beforeLines="50" w:line="360" w:lineRule="auto"/>
        <w:ind w:firstLine="310" w:firstLineChars="147"/>
        <w:outlineLvl w:val="9"/>
        <w:rPr>
          <w:rFonts w:hint="eastAsia" w:asciiTheme="minorEastAsia" w:hAnsiTheme="minorEastAsia"/>
          <w:b/>
          <w:color w:val="auto"/>
          <w:szCs w:val="21"/>
          <w:highlight w:val="none"/>
        </w:rPr>
      </w:pPr>
      <w:r>
        <w:rPr>
          <w:rFonts w:hint="eastAsia" w:asciiTheme="minorEastAsia" w:hAnsiTheme="minorEastAsia"/>
          <w:b/>
          <w:color w:val="auto"/>
          <w:szCs w:val="21"/>
          <w:highlight w:val="none"/>
        </w:rPr>
        <w:t>8.合同份数</w:t>
      </w:r>
    </w:p>
    <w:p w14:paraId="3C173984">
      <w:pPr>
        <w:adjustRightInd w:val="0"/>
        <w:snapToGrid w:val="0"/>
        <w:spacing w:before="120" w:beforeLines="50" w:line="360" w:lineRule="auto"/>
        <w:ind w:firstLine="420" w:firstLineChars="200"/>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本合同一式</w:t>
      </w:r>
      <w:r>
        <w:rPr>
          <w:rFonts w:hint="eastAsia" w:asciiTheme="minorEastAsia" w:hAnsiTheme="minorEastAsia"/>
          <w:color w:val="auto"/>
          <w:szCs w:val="21"/>
          <w:highlight w:val="none"/>
          <w:u w:val="single"/>
        </w:rPr>
        <w:t xml:space="preserve">      </w:t>
      </w:r>
      <w:r>
        <w:rPr>
          <w:rFonts w:hint="eastAsia" w:asciiTheme="minorEastAsia" w:hAnsiTheme="minorEastAsia"/>
          <w:color w:val="auto"/>
          <w:szCs w:val="21"/>
          <w:highlight w:val="none"/>
        </w:rPr>
        <w:t>份，采购人执</w:t>
      </w:r>
      <w:r>
        <w:rPr>
          <w:rFonts w:hint="eastAsia" w:asciiTheme="minorEastAsia" w:hAnsiTheme="minorEastAsia"/>
          <w:color w:val="auto"/>
          <w:szCs w:val="21"/>
          <w:highlight w:val="none"/>
          <w:u w:val="single"/>
        </w:rPr>
        <w:t xml:space="preserve">      </w:t>
      </w:r>
      <w:r>
        <w:rPr>
          <w:rFonts w:hint="eastAsia" w:asciiTheme="minorEastAsia" w:hAnsiTheme="minorEastAsia"/>
          <w:color w:val="auto"/>
          <w:szCs w:val="21"/>
          <w:highlight w:val="none"/>
        </w:rPr>
        <w:t>份，供应商执</w:t>
      </w:r>
      <w:r>
        <w:rPr>
          <w:rFonts w:hint="eastAsia" w:asciiTheme="minorEastAsia" w:hAnsiTheme="minorEastAsia"/>
          <w:color w:val="auto"/>
          <w:szCs w:val="21"/>
          <w:highlight w:val="none"/>
          <w:u w:val="single"/>
        </w:rPr>
        <w:t xml:space="preserve">      </w:t>
      </w:r>
      <w:r>
        <w:rPr>
          <w:rFonts w:hint="eastAsia" w:asciiTheme="minorEastAsia" w:hAnsiTheme="minorEastAsia"/>
          <w:color w:val="auto"/>
          <w:szCs w:val="21"/>
          <w:highlight w:val="none"/>
        </w:rPr>
        <w:t>份，</w:t>
      </w:r>
      <w:r>
        <w:rPr>
          <w:rFonts w:hint="eastAsia" w:ascii="宋体" w:hAnsi="宋体"/>
          <w:color w:val="auto"/>
          <w:szCs w:val="21"/>
          <w:highlight w:val="none"/>
        </w:rPr>
        <w:t>政府采购监管部门</w:t>
      </w:r>
      <w:r>
        <w:rPr>
          <w:rFonts w:hint="eastAsia" w:ascii="宋体" w:hAnsi="宋体"/>
          <w:color w:val="auto"/>
          <w:szCs w:val="21"/>
          <w:highlight w:val="none"/>
          <w:u w:val="single"/>
        </w:rPr>
        <w:t xml:space="preserve"> 1 </w:t>
      </w:r>
      <w:r>
        <w:rPr>
          <w:rFonts w:hint="eastAsia" w:ascii="宋体" w:hAnsi="宋体"/>
          <w:color w:val="auto"/>
          <w:szCs w:val="21"/>
          <w:highlight w:val="none"/>
        </w:rPr>
        <w:t>份、采购代理机构</w:t>
      </w:r>
      <w:r>
        <w:rPr>
          <w:rFonts w:hint="eastAsia" w:ascii="宋体" w:hAnsi="宋体"/>
          <w:color w:val="auto"/>
          <w:szCs w:val="21"/>
          <w:highlight w:val="none"/>
          <w:u w:val="single"/>
        </w:rPr>
        <w:t xml:space="preserve"> 1</w:t>
      </w:r>
      <w:r>
        <w:rPr>
          <w:rFonts w:hint="eastAsia" w:ascii="宋体" w:hAnsi="宋体"/>
          <w:color w:val="auto"/>
          <w:szCs w:val="21"/>
          <w:highlight w:val="none"/>
        </w:rPr>
        <w:t>份，</w:t>
      </w:r>
      <w:r>
        <w:rPr>
          <w:rFonts w:hint="eastAsia" w:asciiTheme="minorEastAsia" w:hAnsiTheme="minorEastAsia"/>
          <w:color w:val="auto"/>
          <w:szCs w:val="21"/>
          <w:highlight w:val="none"/>
        </w:rPr>
        <w:t>均具有同等法律效力。</w:t>
      </w:r>
    </w:p>
    <w:p w14:paraId="620656B7">
      <w:pPr>
        <w:adjustRightInd w:val="0"/>
        <w:snapToGrid w:val="0"/>
        <w:spacing w:before="120" w:beforeLines="50" w:line="360" w:lineRule="auto"/>
        <w:outlineLvl w:val="9"/>
        <w:rPr>
          <w:rFonts w:hint="eastAsia" w:asciiTheme="minorEastAsia" w:hAnsiTheme="minorEastAsia"/>
          <w:color w:val="auto"/>
          <w:szCs w:val="21"/>
          <w:highlight w:val="none"/>
        </w:rPr>
      </w:pPr>
    </w:p>
    <w:p w14:paraId="28399B8D">
      <w:pPr>
        <w:adjustRightInd w:val="0"/>
        <w:snapToGrid w:val="0"/>
        <w:spacing w:before="120" w:beforeLines="50" w:line="360" w:lineRule="auto"/>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合同订立时间：  年  月  日</w:t>
      </w:r>
    </w:p>
    <w:p w14:paraId="4511275F">
      <w:pPr>
        <w:adjustRightInd w:val="0"/>
        <w:snapToGrid w:val="0"/>
        <w:spacing w:before="120" w:beforeLines="50" w:line="360" w:lineRule="auto"/>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合同订立地点：</w:t>
      </w:r>
    </w:p>
    <w:p w14:paraId="3E20355D">
      <w:pPr>
        <w:adjustRightInd w:val="0"/>
        <w:snapToGrid w:val="0"/>
        <w:spacing w:before="120" w:beforeLines="50" w:line="360" w:lineRule="auto"/>
        <w:ind w:firstLine="420" w:firstLineChars="200"/>
        <w:outlineLvl w:val="9"/>
        <w:rPr>
          <w:rFonts w:hint="eastAsia" w:asciiTheme="minorEastAsia" w:hAnsiTheme="minorEastAsia"/>
          <w:color w:val="auto"/>
          <w:szCs w:val="21"/>
          <w:highlight w:val="none"/>
        </w:rPr>
      </w:pPr>
    </w:p>
    <w:p w14:paraId="74AC000E">
      <w:pPr>
        <w:adjustRightInd w:val="0"/>
        <w:snapToGrid w:val="0"/>
        <w:spacing w:before="120" w:beforeLines="50" w:line="360" w:lineRule="auto"/>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甲      方：（公章）                     乙      方：（公章）</w:t>
      </w:r>
    </w:p>
    <w:p w14:paraId="058B2009">
      <w:pPr>
        <w:adjustRightInd w:val="0"/>
        <w:snapToGrid w:val="0"/>
        <w:spacing w:before="120" w:beforeLines="50" w:line="360" w:lineRule="auto"/>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法定代表人：                             法定代表人：</w:t>
      </w:r>
    </w:p>
    <w:p w14:paraId="4558B1FE">
      <w:pPr>
        <w:adjustRightInd w:val="0"/>
        <w:snapToGrid w:val="0"/>
        <w:spacing w:before="120" w:beforeLines="50" w:line="360" w:lineRule="auto"/>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委托代理人：                             委托代理人：</w:t>
      </w:r>
    </w:p>
    <w:p w14:paraId="76B12401">
      <w:pPr>
        <w:adjustRightInd w:val="0"/>
        <w:snapToGrid w:val="0"/>
        <w:spacing w:before="120" w:beforeLines="50" w:line="360" w:lineRule="auto"/>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电      话：                             电      话：</w:t>
      </w:r>
    </w:p>
    <w:p w14:paraId="04BF2630">
      <w:pPr>
        <w:adjustRightInd w:val="0"/>
        <w:snapToGrid w:val="0"/>
        <w:spacing w:before="120" w:beforeLines="50" w:line="360" w:lineRule="auto"/>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传      真：                             传      真：</w:t>
      </w:r>
    </w:p>
    <w:p w14:paraId="3428C19A">
      <w:pPr>
        <w:adjustRightInd w:val="0"/>
        <w:snapToGrid w:val="0"/>
        <w:spacing w:before="120" w:beforeLines="50" w:line="360" w:lineRule="auto"/>
        <w:ind w:firstLine="420" w:firstLineChars="200"/>
        <w:outlineLvl w:val="9"/>
        <w:rPr>
          <w:rFonts w:hint="eastAsia" w:asciiTheme="minorEastAsia" w:hAnsiTheme="minorEastAsia"/>
          <w:color w:val="auto"/>
          <w:szCs w:val="21"/>
          <w:highlight w:val="none"/>
        </w:rPr>
      </w:pPr>
      <w:r>
        <w:rPr>
          <w:rFonts w:hint="eastAsia" w:asciiTheme="minorEastAsia" w:hAnsiTheme="minorEastAsia"/>
          <w:color w:val="auto"/>
          <w:szCs w:val="21"/>
          <w:highlight w:val="none"/>
        </w:rPr>
        <w:t xml:space="preserve">                                     开 户 银 行：</w:t>
      </w:r>
    </w:p>
    <w:p w14:paraId="1A97F356">
      <w:pPr>
        <w:adjustRightInd w:val="0"/>
        <w:snapToGrid w:val="0"/>
        <w:spacing w:before="120" w:beforeLines="50" w:line="360" w:lineRule="auto"/>
        <w:jc w:val="center"/>
        <w:outlineLvl w:val="9"/>
        <w:rPr>
          <w:rFonts w:hint="eastAsia" w:asciiTheme="minorEastAsia" w:hAnsiTheme="minorEastAsia"/>
          <w:b/>
          <w:color w:val="auto"/>
          <w:szCs w:val="21"/>
          <w:highlight w:val="none"/>
        </w:rPr>
      </w:pPr>
      <w:r>
        <w:rPr>
          <w:rFonts w:hint="eastAsia" w:asciiTheme="minorEastAsia" w:hAnsiTheme="minorEastAsia"/>
          <w:color w:val="auto"/>
          <w:szCs w:val="21"/>
          <w:highlight w:val="none"/>
        </w:rPr>
        <w:t xml:space="preserve">            帐       号：</w:t>
      </w:r>
    </w:p>
    <w:p w14:paraId="525EDB2B">
      <w:pPr>
        <w:adjustRightInd w:val="0"/>
        <w:snapToGrid w:val="0"/>
        <w:spacing w:line="360" w:lineRule="auto"/>
        <w:jc w:val="center"/>
        <w:outlineLvl w:val="9"/>
        <w:rPr>
          <w:rFonts w:hint="eastAsia" w:ascii="宋体" w:hAnsi="宋体" w:eastAsia="宋体" w:cs="宋体"/>
          <w:color w:val="auto"/>
          <w:szCs w:val="21"/>
          <w:highlight w:val="none"/>
          <w:u w:val="single"/>
        </w:rPr>
      </w:pPr>
    </w:p>
    <w:p w14:paraId="1C0AF1EA">
      <w:pPr>
        <w:adjustRightInd w:val="0"/>
        <w:snapToGrid w:val="0"/>
        <w:spacing w:line="360" w:lineRule="auto"/>
        <w:ind w:firstLine="643"/>
        <w:jc w:val="center"/>
        <w:outlineLvl w:val="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6AEF6A0F">
      <w:pPr>
        <w:adjustRightInd w:val="0"/>
        <w:snapToGrid w:val="0"/>
        <w:spacing w:line="360" w:lineRule="auto"/>
        <w:ind w:firstLine="482"/>
        <w:jc w:val="center"/>
        <w:outlineLvl w:val="1"/>
        <w:rPr>
          <w:rFonts w:hint="eastAsia" w:ascii="宋体" w:hAnsi="宋体" w:eastAsia="宋体" w:cs="宋体"/>
          <w:b/>
          <w:color w:val="auto"/>
          <w:sz w:val="24"/>
          <w:highlight w:val="none"/>
        </w:rPr>
      </w:pPr>
      <w:bookmarkStart w:id="10" w:name="_Toc20603"/>
      <w:r>
        <w:rPr>
          <w:rFonts w:hint="eastAsia" w:ascii="宋体" w:hAnsi="宋体" w:eastAsia="宋体" w:cs="宋体"/>
          <w:b/>
          <w:color w:val="auto"/>
          <w:sz w:val="24"/>
          <w:highlight w:val="none"/>
        </w:rPr>
        <w:t>第二节  政府采购合同通用条款</w:t>
      </w:r>
      <w:bookmarkEnd w:id="10"/>
    </w:p>
    <w:p w14:paraId="7C9FBF84">
      <w:pPr>
        <w:spacing w:before="65" w:line="410" w:lineRule="exact"/>
        <w:ind w:firstLine="440"/>
        <w:jc w:val="both"/>
        <w:outlineLvl w:val="9"/>
        <w:rPr>
          <w:rFonts w:hint="eastAsia" w:ascii="宋体" w:hAnsi="宋体" w:eastAsia="宋体" w:cs="宋体"/>
          <w:color w:val="auto"/>
          <w:spacing w:val="10"/>
          <w:position w:val="15"/>
          <w:sz w:val="20"/>
          <w:szCs w:val="20"/>
          <w:highlight w:val="none"/>
        </w:rPr>
      </w:pPr>
      <w:r>
        <w:rPr>
          <w:rFonts w:ascii="宋体" w:hAnsi="宋体" w:eastAsia="宋体" w:cs="宋体"/>
          <w:color w:val="auto"/>
          <w:spacing w:val="10"/>
          <w:position w:val="15"/>
          <w:sz w:val="20"/>
          <w:szCs w:val="20"/>
          <w:highlight w:val="none"/>
        </w:rPr>
        <w:t>按《关于印发建设工程施工合同（示范文本） （HNJS-2014） 的通知》 (湘建价〔2014〕114号)《建设工程施工合同》第二部分执行。详见湖南住房和建设网(www：hunan js.gov.cn)。</w:t>
      </w:r>
    </w:p>
    <w:p w14:paraId="17833559">
      <w:pPr>
        <w:autoSpaceDE w:val="0"/>
        <w:autoSpaceDN w:val="0"/>
        <w:adjustRightInd w:val="0"/>
        <w:snapToGrid w:val="0"/>
        <w:spacing w:before="50" w:line="360" w:lineRule="auto"/>
        <w:ind w:firstLine="643" w:firstLineChars="200"/>
        <w:jc w:val="left"/>
        <w:outlineLvl w:val="9"/>
        <w:rPr>
          <w:rFonts w:hint="eastAsia" w:ascii="黑体" w:hAnsi="黑体" w:eastAsia="黑体"/>
          <w:b/>
          <w:bCs/>
          <w:color w:val="auto"/>
          <w:sz w:val="32"/>
          <w:highlight w:val="none"/>
        </w:rPr>
      </w:pPr>
      <w:r>
        <w:rPr>
          <w:rFonts w:ascii="黑体" w:hAnsi="黑体" w:eastAsia="黑体"/>
          <w:b/>
          <w:bCs/>
          <w:color w:val="auto"/>
          <w:sz w:val="32"/>
          <w:highlight w:val="none"/>
        </w:rPr>
        <w:br w:type="page"/>
      </w:r>
    </w:p>
    <w:p w14:paraId="1FA25DB1">
      <w:pPr>
        <w:adjustRightInd w:val="0"/>
        <w:snapToGrid w:val="0"/>
        <w:ind w:firstLine="482"/>
        <w:jc w:val="center"/>
        <w:outlineLvl w:val="1"/>
        <w:rPr>
          <w:rFonts w:hint="eastAsia" w:ascii="黑体" w:hAnsi="华文中宋" w:eastAsia="黑体"/>
          <w:b/>
          <w:bCs/>
          <w:color w:val="auto"/>
          <w:sz w:val="28"/>
          <w:szCs w:val="28"/>
          <w:highlight w:val="none"/>
        </w:rPr>
      </w:pPr>
      <w:bookmarkStart w:id="11" w:name="_Toc20651239"/>
      <w:bookmarkStart w:id="12" w:name="_Toc3960"/>
      <w:r>
        <w:rPr>
          <w:rFonts w:hint="eastAsia" w:ascii="宋体" w:hAnsi="宋体" w:eastAsia="宋体" w:cs="宋体"/>
          <w:b/>
          <w:bCs/>
          <w:color w:val="auto"/>
          <w:sz w:val="24"/>
          <w:szCs w:val="24"/>
          <w:highlight w:val="none"/>
        </w:rPr>
        <w:t>第三节  政府采购合同专用条款</w:t>
      </w:r>
      <w:bookmarkEnd w:id="11"/>
      <w:bookmarkEnd w:id="12"/>
    </w:p>
    <w:tbl>
      <w:tblPr>
        <w:tblStyle w:val="30"/>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196CAD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701" w:type="dxa"/>
            <w:vAlign w:val="center"/>
          </w:tcPr>
          <w:p w14:paraId="32F11848">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本章第二节</w:t>
            </w:r>
          </w:p>
          <w:p w14:paraId="663D58D9">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第1.1款</w:t>
            </w:r>
          </w:p>
        </w:tc>
        <w:tc>
          <w:tcPr>
            <w:tcW w:w="1843" w:type="dxa"/>
            <w:vAlign w:val="center"/>
          </w:tcPr>
          <w:p w14:paraId="5A865CBD">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甲方名称、地址</w:t>
            </w:r>
          </w:p>
        </w:tc>
        <w:tc>
          <w:tcPr>
            <w:tcW w:w="5464" w:type="dxa"/>
            <w:vAlign w:val="center"/>
          </w:tcPr>
          <w:p w14:paraId="6FA0ABAE">
            <w:pPr>
              <w:adjustRightInd w:val="0"/>
              <w:snapToGrid w:val="0"/>
              <w:spacing w:line="420" w:lineRule="exact"/>
              <w:jc w:val="left"/>
              <w:outlineLvl w:val="9"/>
              <w:rPr>
                <w:rFonts w:hint="eastAsia" w:hAnsi="宋体" w:eastAsiaTheme="minorEastAsia"/>
                <w:color w:val="auto"/>
                <w:highlight w:val="none"/>
                <w:lang w:eastAsia="zh-CN"/>
              </w:rPr>
            </w:pPr>
            <w:r>
              <w:rPr>
                <w:rFonts w:hint="eastAsia" w:hAnsi="宋体"/>
                <w:color w:val="auto"/>
                <w:highlight w:val="none"/>
              </w:rPr>
              <w:t>甲方名称：</w:t>
            </w:r>
            <w:r>
              <w:rPr>
                <w:rFonts w:hint="eastAsia" w:hAnsi="宋体"/>
                <w:color w:val="auto"/>
                <w:highlight w:val="none"/>
                <w:lang w:eastAsia="zh-CN"/>
              </w:rPr>
              <w:t>溆浦县低庄镇中心小学</w:t>
            </w:r>
          </w:p>
          <w:p w14:paraId="01E71712">
            <w:pPr>
              <w:adjustRightInd w:val="0"/>
              <w:snapToGrid w:val="0"/>
              <w:spacing w:line="420" w:lineRule="exact"/>
              <w:jc w:val="left"/>
              <w:outlineLvl w:val="9"/>
              <w:rPr>
                <w:rFonts w:hint="eastAsia" w:ascii="宋体" w:hAnsi="宋体"/>
                <w:color w:val="auto"/>
                <w:szCs w:val="21"/>
                <w:highlight w:val="none"/>
              </w:rPr>
            </w:pPr>
            <w:r>
              <w:rPr>
                <w:rFonts w:hint="eastAsia" w:hAnsi="宋体"/>
                <w:color w:val="auto"/>
                <w:highlight w:val="none"/>
              </w:rPr>
              <w:t>甲方地址：</w:t>
            </w:r>
            <w:r>
              <w:rPr>
                <w:rFonts w:hint="eastAsia" w:hAnsi="宋体"/>
                <w:color w:val="auto"/>
                <w:highlight w:val="none"/>
                <w:lang w:eastAsia="zh-CN"/>
              </w:rPr>
              <w:t>溆浦县低庄镇中心小学</w:t>
            </w:r>
          </w:p>
        </w:tc>
      </w:tr>
      <w:tr w14:paraId="6629D0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94A29C0">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本章第二节</w:t>
            </w:r>
          </w:p>
          <w:p w14:paraId="2D309872">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第1.2（6）项</w:t>
            </w:r>
          </w:p>
        </w:tc>
        <w:tc>
          <w:tcPr>
            <w:tcW w:w="1843" w:type="dxa"/>
            <w:vAlign w:val="center"/>
          </w:tcPr>
          <w:p w14:paraId="3C552442">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项目现场</w:t>
            </w:r>
          </w:p>
        </w:tc>
        <w:tc>
          <w:tcPr>
            <w:tcW w:w="5464" w:type="dxa"/>
            <w:vAlign w:val="center"/>
          </w:tcPr>
          <w:p w14:paraId="295CBF76">
            <w:pPr>
              <w:adjustRightInd w:val="0"/>
              <w:snapToGrid w:val="0"/>
              <w:spacing w:line="420" w:lineRule="exact"/>
              <w:jc w:val="left"/>
              <w:outlineLvl w:val="9"/>
              <w:rPr>
                <w:rFonts w:hint="eastAsia" w:ascii="宋体" w:hAnsi="宋体" w:eastAsia="宋体"/>
                <w:color w:val="auto"/>
                <w:szCs w:val="21"/>
                <w:highlight w:val="none"/>
              </w:rPr>
            </w:pPr>
            <w:r>
              <w:rPr>
                <w:rFonts w:hint="eastAsia" w:hAnsi="宋体"/>
                <w:color w:val="auto"/>
                <w:highlight w:val="none"/>
              </w:rPr>
              <w:t>合同指定地点</w:t>
            </w:r>
          </w:p>
        </w:tc>
      </w:tr>
      <w:tr w14:paraId="38D4FB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6D283FC2">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本章第二节</w:t>
            </w:r>
          </w:p>
          <w:p w14:paraId="3C22DB01">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第5.1款</w:t>
            </w:r>
          </w:p>
        </w:tc>
        <w:tc>
          <w:tcPr>
            <w:tcW w:w="1843" w:type="dxa"/>
            <w:vAlign w:val="center"/>
          </w:tcPr>
          <w:p w14:paraId="20389400">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履行合同的时间、地点及方式</w:t>
            </w:r>
          </w:p>
        </w:tc>
        <w:tc>
          <w:tcPr>
            <w:tcW w:w="5464" w:type="dxa"/>
            <w:vAlign w:val="center"/>
          </w:tcPr>
          <w:p w14:paraId="35928749">
            <w:pPr>
              <w:adjustRightInd w:val="0"/>
              <w:snapToGrid w:val="0"/>
              <w:spacing w:line="420" w:lineRule="exact"/>
              <w:jc w:val="left"/>
              <w:outlineLvl w:val="9"/>
              <w:rPr>
                <w:rFonts w:hint="eastAsia" w:hAnsi="宋体"/>
                <w:color w:val="auto"/>
                <w:highlight w:val="none"/>
              </w:rPr>
            </w:pPr>
            <w:r>
              <w:rPr>
                <w:rFonts w:hint="eastAsia" w:hAnsi="宋体"/>
                <w:color w:val="auto"/>
                <w:highlight w:val="none"/>
              </w:rPr>
              <w:t>履行合同时间：详见第三章“采购需求”</w:t>
            </w:r>
          </w:p>
          <w:p w14:paraId="515CD9B4">
            <w:pPr>
              <w:adjustRightInd w:val="0"/>
              <w:snapToGrid w:val="0"/>
              <w:spacing w:line="420" w:lineRule="exact"/>
              <w:jc w:val="left"/>
              <w:outlineLvl w:val="9"/>
              <w:rPr>
                <w:rFonts w:hint="eastAsia" w:hAnsi="宋体"/>
                <w:color w:val="auto"/>
                <w:highlight w:val="none"/>
              </w:rPr>
            </w:pPr>
            <w:r>
              <w:rPr>
                <w:rFonts w:hint="eastAsia" w:hAnsi="宋体"/>
                <w:color w:val="auto"/>
                <w:highlight w:val="none"/>
              </w:rPr>
              <w:t>履行合同地点：详见第三章“采购需求”</w:t>
            </w:r>
          </w:p>
          <w:p w14:paraId="7218B497">
            <w:pPr>
              <w:adjustRightInd w:val="0"/>
              <w:snapToGrid w:val="0"/>
              <w:spacing w:line="420" w:lineRule="exact"/>
              <w:jc w:val="left"/>
              <w:outlineLvl w:val="9"/>
              <w:rPr>
                <w:rFonts w:hint="eastAsia" w:ascii="宋体" w:hAnsi="宋体"/>
                <w:color w:val="auto"/>
                <w:szCs w:val="21"/>
                <w:highlight w:val="none"/>
              </w:rPr>
            </w:pPr>
            <w:r>
              <w:rPr>
                <w:rFonts w:hint="eastAsia" w:hAnsi="宋体"/>
                <w:color w:val="auto"/>
                <w:highlight w:val="none"/>
              </w:rPr>
              <w:t>履行合同方式：详见第三章“采购需求”</w:t>
            </w:r>
          </w:p>
        </w:tc>
      </w:tr>
      <w:tr w14:paraId="1E9316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DCB723B">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本章第二节</w:t>
            </w:r>
          </w:p>
          <w:p w14:paraId="60EA2E14">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第9.2（3）项</w:t>
            </w:r>
          </w:p>
        </w:tc>
        <w:tc>
          <w:tcPr>
            <w:tcW w:w="1843" w:type="dxa"/>
            <w:vAlign w:val="center"/>
          </w:tcPr>
          <w:p w14:paraId="12F69DA5">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响应时间</w:t>
            </w:r>
          </w:p>
        </w:tc>
        <w:tc>
          <w:tcPr>
            <w:tcW w:w="5464" w:type="dxa"/>
            <w:vAlign w:val="center"/>
          </w:tcPr>
          <w:p w14:paraId="1A0A7765">
            <w:pPr>
              <w:adjustRightInd w:val="0"/>
              <w:snapToGrid w:val="0"/>
              <w:spacing w:line="360" w:lineRule="auto"/>
              <w:jc w:val="left"/>
              <w:outlineLvl w:val="9"/>
              <w:rPr>
                <w:rFonts w:hint="eastAsia" w:ascii="宋体" w:hAnsi="宋体"/>
                <w:color w:val="auto"/>
                <w:szCs w:val="21"/>
                <w:highlight w:val="none"/>
              </w:rPr>
            </w:pPr>
            <w:r>
              <w:rPr>
                <w:rFonts w:hint="eastAsia" w:hAnsi="宋体"/>
                <w:color w:val="auto"/>
                <w:highlight w:val="none"/>
              </w:rPr>
              <w:t>详见第三章“采购需求”</w:t>
            </w:r>
          </w:p>
        </w:tc>
      </w:tr>
      <w:tr w14:paraId="40B44A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0BE0E678">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本章第二节</w:t>
            </w:r>
          </w:p>
          <w:p w14:paraId="4DF63653">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第13.5款</w:t>
            </w:r>
          </w:p>
        </w:tc>
        <w:tc>
          <w:tcPr>
            <w:tcW w:w="1843" w:type="dxa"/>
            <w:vAlign w:val="center"/>
          </w:tcPr>
          <w:p w14:paraId="798EF8D9">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合同价款支付方式和条件</w:t>
            </w:r>
          </w:p>
        </w:tc>
        <w:tc>
          <w:tcPr>
            <w:tcW w:w="5464" w:type="dxa"/>
            <w:vAlign w:val="center"/>
          </w:tcPr>
          <w:p w14:paraId="7CED8FD8">
            <w:pPr>
              <w:adjustRightInd w:val="0"/>
              <w:snapToGrid w:val="0"/>
              <w:spacing w:line="360" w:lineRule="auto"/>
              <w:jc w:val="left"/>
              <w:outlineLvl w:val="9"/>
              <w:rPr>
                <w:rFonts w:hint="eastAsia" w:ascii="宋体" w:hAnsi="宋体"/>
                <w:color w:val="auto"/>
                <w:szCs w:val="21"/>
                <w:highlight w:val="none"/>
              </w:rPr>
            </w:pPr>
            <w:r>
              <w:rPr>
                <w:rFonts w:hint="eastAsia" w:ascii="宋体" w:hAnsi="宋体"/>
                <w:color w:val="auto"/>
                <w:szCs w:val="21"/>
                <w:highlight w:val="none"/>
              </w:rPr>
              <w:t>按合同约定</w:t>
            </w:r>
          </w:p>
        </w:tc>
      </w:tr>
      <w:tr w14:paraId="61118D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FA59121">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本章第二节</w:t>
            </w:r>
          </w:p>
          <w:p w14:paraId="6DBD7AD9">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第14.2（5）项</w:t>
            </w:r>
          </w:p>
        </w:tc>
        <w:tc>
          <w:tcPr>
            <w:tcW w:w="1843" w:type="dxa"/>
            <w:vAlign w:val="center"/>
          </w:tcPr>
          <w:p w14:paraId="191ECB33">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乙方提供的其他服务</w:t>
            </w:r>
          </w:p>
        </w:tc>
        <w:tc>
          <w:tcPr>
            <w:tcW w:w="5464" w:type="dxa"/>
            <w:vAlign w:val="center"/>
          </w:tcPr>
          <w:p w14:paraId="4D661A73">
            <w:pPr>
              <w:adjustRightInd w:val="0"/>
              <w:snapToGrid w:val="0"/>
              <w:spacing w:line="360" w:lineRule="auto"/>
              <w:jc w:val="left"/>
              <w:outlineLvl w:val="9"/>
              <w:rPr>
                <w:rFonts w:hint="eastAsia" w:ascii="宋体" w:hAnsi="宋体"/>
                <w:color w:val="auto"/>
                <w:szCs w:val="21"/>
                <w:highlight w:val="none"/>
              </w:rPr>
            </w:pPr>
            <w:r>
              <w:rPr>
                <w:rFonts w:hint="eastAsia" w:ascii="宋体" w:hAnsi="宋体"/>
                <w:color w:val="auto"/>
                <w:szCs w:val="21"/>
                <w:highlight w:val="none"/>
              </w:rPr>
              <w:t>详见第三章“采购内容与要求”</w:t>
            </w:r>
          </w:p>
        </w:tc>
      </w:tr>
      <w:tr w14:paraId="615312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95E60A0">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本章第二节</w:t>
            </w:r>
          </w:p>
          <w:p w14:paraId="34ADDFF3">
            <w:pPr>
              <w:adjustRightInd w:val="0"/>
              <w:snapToGrid w:val="0"/>
              <w:spacing w:line="360" w:lineRule="auto"/>
              <w:jc w:val="center"/>
              <w:outlineLvl w:val="9"/>
              <w:rPr>
                <w:rFonts w:hint="eastAsia" w:ascii="宋体" w:hAnsi="宋体"/>
                <w:bCs/>
                <w:color w:val="auto"/>
                <w:szCs w:val="21"/>
                <w:highlight w:val="none"/>
              </w:rPr>
            </w:pPr>
            <w:r>
              <w:rPr>
                <w:rFonts w:hint="eastAsia" w:ascii="宋体" w:hAnsi="宋体"/>
                <w:color w:val="auto"/>
                <w:szCs w:val="21"/>
                <w:highlight w:val="none"/>
              </w:rPr>
              <w:t>第20.2款</w:t>
            </w:r>
          </w:p>
        </w:tc>
        <w:tc>
          <w:tcPr>
            <w:tcW w:w="1843" w:type="dxa"/>
            <w:vAlign w:val="center"/>
          </w:tcPr>
          <w:p w14:paraId="0D7530A4">
            <w:pPr>
              <w:adjustRightInd w:val="0"/>
              <w:snapToGrid w:val="0"/>
              <w:spacing w:line="360" w:lineRule="auto"/>
              <w:jc w:val="center"/>
              <w:outlineLvl w:val="9"/>
              <w:rPr>
                <w:rFonts w:hint="eastAsia" w:ascii="宋体" w:hAnsi="宋体"/>
                <w:bCs/>
                <w:color w:val="auto"/>
                <w:szCs w:val="21"/>
                <w:highlight w:val="none"/>
              </w:rPr>
            </w:pPr>
            <w:r>
              <w:rPr>
                <w:rFonts w:hint="eastAsia" w:ascii="宋体" w:hAnsi="宋体"/>
                <w:color w:val="auto"/>
                <w:szCs w:val="21"/>
                <w:highlight w:val="none"/>
              </w:rPr>
              <w:t>解决争议的方式</w:t>
            </w:r>
          </w:p>
        </w:tc>
        <w:tc>
          <w:tcPr>
            <w:tcW w:w="5464" w:type="dxa"/>
            <w:vAlign w:val="center"/>
          </w:tcPr>
          <w:p w14:paraId="63D7C25E">
            <w:pPr>
              <w:adjustRightInd w:val="0"/>
              <w:snapToGrid w:val="0"/>
              <w:spacing w:line="420" w:lineRule="exact"/>
              <w:jc w:val="left"/>
              <w:outlineLvl w:val="9"/>
              <w:rPr>
                <w:rFonts w:hint="eastAsia" w:hAnsi="宋体"/>
                <w:color w:val="auto"/>
                <w:highlight w:val="none"/>
              </w:rPr>
            </w:pPr>
            <w:r>
              <w:rPr>
                <w:rFonts w:hint="eastAsia" w:hAnsi="宋体"/>
                <w:color w:val="auto"/>
                <w:highlight w:val="none"/>
              </w:rPr>
              <w:t>□ 诉讼</w:t>
            </w:r>
          </w:p>
          <w:p w14:paraId="6748723A">
            <w:pPr>
              <w:adjustRightInd w:val="0"/>
              <w:snapToGrid w:val="0"/>
              <w:spacing w:line="420" w:lineRule="exact"/>
              <w:jc w:val="left"/>
              <w:outlineLvl w:val="9"/>
              <w:rPr>
                <w:rFonts w:hint="eastAsia" w:ascii="宋体" w:hAnsi="宋体"/>
                <w:color w:val="auto"/>
                <w:szCs w:val="21"/>
                <w:highlight w:val="none"/>
              </w:rPr>
            </w:pPr>
            <w:r>
              <w:rPr>
                <w:rFonts w:hint="eastAsia" w:hAnsi="宋体"/>
                <w:color w:val="auto"/>
                <w:highlight w:val="none"/>
              </w:rPr>
              <w:t>■ 仲裁</w:t>
            </w:r>
          </w:p>
        </w:tc>
      </w:tr>
      <w:tr w14:paraId="275E82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AF40D7E">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本章第二节</w:t>
            </w:r>
          </w:p>
          <w:p w14:paraId="0FB66BD9">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color w:val="auto"/>
                <w:szCs w:val="21"/>
                <w:highlight w:val="none"/>
              </w:rPr>
              <w:t>第23.1款</w:t>
            </w:r>
          </w:p>
        </w:tc>
        <w:tc>
          <w:tcPr>
            <w:tcW w:w="1843" w:type="dxa"/>
            <w:vAlign w:val="center"/>
          </w:tcPr>
          <w:p w14:paraId="64542BD6">
            <w:pPr>
              <w:adjustRightInd w:val="0"/>
              <w:snapToGrid w:val="0"/>
              <w:spacing w:line="360" w:lineRule="auto"/>
              <w:jc w:val="center"/>
              <w:outlineLvl w:val="9"/>
              <w:rPr>
                <w:rFonts w:hint="eastAsia" w:ascii="宋体" w:hAnsi="宋体"/>
                <w:color w:val="auto"/>
                <w:szCs w:val="21"/>
                <w:highlight w:val="none"/>
              </w:rPr>
            </w:pPr>
            <w:r>
              <w:rPr>
                <w:rFonts w:hint="eastAsia" w:ascii="宋体" w:hAnsi="宋体"/>
                <w:bCs/>
                <w:color w:val="auto"/>
                <w:szCs w:val="21"/>
                <w:highlight w:val="none"/>
              </w:rPr>
              <w:t>合同未尽事项</w:t>
            </w:r>
          </w:p>
        </w:tc>
        <w:tc>
          <w:tcPr>
            <w:tcW w:w="5464" w:type="dxa"/>
            <w:vAlign w:val="center"/>
          </w:tcPr>
          <w:p w14:paraId="0C229FF0">
            <w:pPr>
              <w:adjustRightInd w:val="0"/>
              <w:snapToGrid w:val="0"/>
              <w:spacing w:line="420" w:lineRule="exact"/>
              <w:jc w:val="left"/>
              <w:outlineLvl w:val="9"/>
              <w:rPr>
                <w:rFonts w:hint="eastAsia" w:ascii="宋体" w:hAnsi="宋体"/>
                <w:color w:val="auto"/>
                <w:szCs w:val="21"/>
                <w:highlight w:val="none"/>
              </w:rPr>
            </w:pPr>
            <w:r>
              <w:rPr>
                <w:rFonts w:hint="eastAsia" w:ascii="宋体" w:hAnsi="宋体"/>
                <w:color w:val="auto"/>
                <w:szCs w:val="21"/>
                <w:highlight w:val="none"/>
              </w:rPr>
              <w:t>双方协商</w:t>
            </w:r>
          </w:p>
        </w:tc>
      </w:tr>
    </w:tbl>
    <w:p w14:paraId="6FD23FB3">
      <w:pPr>
        <w:adjustRightInd w:val="0"/>
        <w:snapToGrid w:val="0"/>
        <w:spacing w:line="360" w:lineRule="auto"/>
        <w:jc w:val="center"/>
        <w:outlineLvl w:val="9"/>
        <w:rPr>
          <w:rFonts w:hint="eastAsia" w:ascii="宋体" w:hAnsi="宋体" w:eastAsia="宋体" w:cs="宋体"/>
          <w:color w:val="auto"/>
          <w:szCs w:val="21"/>
          <w:highlight w:val="none"/>
          <w:u w:val="single"/>
        </w:rPr>
      </w:pPr>
    </w:p>
    <w:p w14:paraId="6FE2A24C">
      <w:pPr>
        <w:adjustRightInd w:val="0"/>
        <w:snapToGrid w:val="0"/>
        <w:spacing w:line="360" w:lineRule="auto"/>
        <w:jc w:val="center"/>
        <w:outlineLvl w:val="9"/>
        <w:rPr>
          <w:rFonts w:hint="eastAsia" w:ascii="宋体" w:hAnsi="宋体" w:eastAsia="宋体" w:cs="宋体"/>
          <w:color w:val="auto"/>
          <w:szCs w:val="21"/>
          <w:highlight w:val="none"/>
          <w:u w:val="single"/>
        </w:rPr>
      </w:pPr>
    </w:p>
    <w:p w14:paraId="64792994">
      <w:pPr>
        <w:adjustRightInd w:val="0"/>
        <w:snapToGrid w:val="0"/>
        <w:spacing w:line="360" w:lineRule="auto"/>
        <w:jc w:val="center"/>
        <w:outlineLvl w:val="9"/>
        <w:rPr>
          <w:rFonts w:hint="eastAsia" w:ascii="宋体" w:hAnsi="宋体" w:eastAsia="宋体" w:cs="宋体"/>
          <w:color w:val="auto"/>
          <w:szCs w:val="21"/>
          <w:highlight w:val="none"/>
          <w:u w:val="single"/>
        </w:rPr>
      </w:pPr>
    </w:p>
    <w:p w14:paraId="173D093B">
      <w:pPr>
        <w:adjustRightInd w:val="0"/>
        <w:snapToGrid w:val="0"/>
        <w:spacing w:line="360" w:lineRule="auto"/>
        <w:jc w:val="center"/>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br w:type="page"/>
      </w:r>
    </w:p>
    <w:p w14:paraId="1B97D695">
      <w:pPr>
        <w:adjustRightInd w:val="0"/>
        <w:snapToGrid w:val="0"/>
        <w:spacing w:line="360" w:lineRule="auto"/>
        <w:ind w:firstLine="643"/>
        <w:jc w:val="center"/>
        <w:outlineLvl w:val="0"/>
        <w:rPr>
          <w:rFonts w:hint="eastAsia" w:ascii="宋体" w:hAnsi="宋体" w:eastAsia="宋体" w:cs="宋体"/>
          <w:b/>
          <w:color w:val="auto"/>
          <w:sz w:val="32"/>
          <w:szCs w:val="32"/>
          <w:highlight w:val="none"/>
        </w:rPr>
      </w:pPr>
      <w:bookmarkStart w:id="13" w:name="_Toc16523573"/>
      <w:bookmarkStart w:id="14" w:name="_Toc26200"/>
      <w:r>
        <w:rPr>
          <w:rFonts w:hint="eastAsia" w:ascii="宋体" w:hAnsi="宋体" w:eastAsia="宋体" w:cs="宋体"/>
          <w:b/>
          <w:color w:val="auto"/>
          <w:sz w:val="32"/>
          <w:szCs w:val="32"/>
          <w:highlight w:val="none"/>
        </w:rPr>
        <w:t>第五章 评审方法及标准</w:t>
      </w:r>
      <w:bookmarkEnd w:id="13"/>
      <w:bookmarkEnd w:id="14"/>
    </w:p>
    <w:p w14:paraId="2B0FC3CF">
      <w:pPr>
        <w:adjustRightInd w:val="0"/>
        <w:snapToGrid w:val="0"/>
        <w:spacing w:line="360" w:lineRule="auto"/>
        <w:ind w:firstLine="482"/>
        <w:jc w:val="center"/>
        <w:outlineLvl w:val="1"/>
        <w:rPr>
          <w:rFonts w:hint="eastAsia" w:ascii="宋体" w:hAnsi="宋体" w:eastAsia="宋体" w:cs="宋体"/>
          <w:b/>
          <w:color w:val="auto"/>
          <w:sz w:val="24"/>
          <w:highlight w:val="none"/>
        </w:rPr>
      </w:pPr>
      <w:bookmarkStart w:id="15" w:name="_Toc28321"/>
      <w:bookmarkStart w:id="16" w:name="_Toc39092073"/>
      <w:r>
        <w:rPr>
          <w:rFonts w:hint="eastAsia" w:ascii="宋体" w:hAnsi="宋体" w:eastAsia="宋体" w:cs="宋体"/>
          <w:b/>
          <w:color w:val="auto"/>
          <w:sz w:val="24"/>
          <w:highlight w:val="none"/>
        </w:rPr>
        <w:t>第一节 评审办法及标准前附表</w:t>
      </w:r>
      <w:bookmarkEnd w:id="15"/>
    </w:p>
    <w:tbl>
      <w:tblPr>
        <w:tblStyle w:val="30"/>
        <w:tblW w:w="8931"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0"/>
        <w:gridCol w:w="709"/>
        <w:gridCol w:w="1562"/>
        <w:gridCol w:w="4960"/>
      </w:tblGrid>
      <w:tr w14:paraId="0A81CE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1700" w:type="dxa"/>
            <w:tcBorders>
              <w:top w:val="double" w:color="auto" w:sz="4" w:space="0"/>
              <w:bottom w:val="single" w:color="auto" w:sz="6" w:space="0"/>
            </w:tcBorders>
            <w:vAlign w:val="center"/>
          </w:tcPr>
          <w:p w14:paraId="16D7A016">
            <w:pPr>
              <w:keepNext w:val="0"/>
              <w:keepLines w:val="0"/>
              <w:pageBreakBefore w:val="0"/>
              <w:widowControl w:val="0"/>
              <w:kinsoku/>
              <w:wordWrap/>
              <w:overflowPunct/>
              <w:topLinePunct w:val="0"/>
              <w:bidi w:val="0"/>
              <w:adjustRightInd w:val="0"/>
              <w:snapToGrid w:val="0"/>
              <w:spacing w:before="120" w:beforeLines="50" w:line="360" w:lineRule="auto"/>
              <w:ind w:firstLine="482"/>
              <w:jc w:val="both"/>
              <w:textAlignment w:val="auto"/>
              <w:outlineLvl w:val="9"/>
              <w:rPr>
                <w:b/>
                <w:color w:val="auto"/>
                <w:sz w:val="24"/>
                <w:highlight w:val="none"/>
              </w:rPr>
            </w:pPr>
            <w:r>
              <w:rPr>
                <w:rFonts w:hint="eastAsia"/>
                <w:b/>
                <w:color w:val="auto"/>
                <w:sz w:val="24"/>
                <w:highlight w:val="none"/>
              </w:rPr>
              <w:t>条款号</w:t>
            </w:r>
          </w:p>
        </w:tc>
        <w:tc>
          <w:tcPr>
            <w:tcW w:w="2271" w:type="dxa"/>
            <w:gridSpan w:val="2"/>
            <w:tcBorders>
              <w:top w:val="double" w:color="auto" w:sz="4" w:space="0"/>
              <w:bottom w:val="single" w:color="auto" w:sz="6" w:space="0"/>
            </w:tcBorders>
            <w:vAlign w:val="center"/>
          </w:tcPr>
          <w:p w14:paraId="69253532">
            <w:pPr>
              <w:keepNext w:val="0"/>
              <w:keepLines w:val="0"/>
              <w:pageBreakBefore w:val="0"/>
              <w:widowControl w:val="0"/>
              <w:kinsoku/>
              <w:wordWrap/>
              <w:overflowPunct/>
              <w:topLinePunct w:val="0"/>
              <w:bidi w:val="0"/>
              <w:adjustRightInd w:val="0"/>
              <w:snapToGrid w:val="0"/>
              <w:spacing w:before="120" w:beforeLines="50" w:line="360" w:lineRule="auto"/>
              <w:ind w:firstLine="482"/>
              <w:jc w:val="both"/>
              <w:textAlignment w:val="auto"/>
              <w:outlineLvl w:val="9"/>
              <w:rPr>
                <w:b/>
                <w:color w:val="auto"/>
                <w:sz w:val="24"/>
                <w:highlight w:val="none"/>
              </w:rPr>
            </w:pPr>
            <w:r>
              <w:rPr>
                <w:rFonts w:hint="eastAsia"/>
                <w:b/>
                <w:color w:val="auto"/>
                <w:sz w:val="24"/>
                <w:highlight w:val="none"/>
              </w:rPr>
              <w:t>条款名称</w:t>
            </w:r>
          </w:p>
        </w:tc>
        <w:tc>
          <w:tcPr>
            <w:tcW w:w="4960" w:type="dxa"/>
            <w:tcBorders>
              <w:top w:val="double" w:color="auto" w:sz="4" w:space="0"/>
              <w:bottom w:val="single" w:color="auto" w:sz="6" w:space="0"/>
            </w:tcBorders>
            <w:vAlign w:val="center"/>
          </w:tcPr>
          <w:p w14:paraId="5376AAC3">
            <w:pPr>
              <w:keepNext w:val="0"/>
              <w:keepLines w:val="0"/>
              <w:pageBreakBefore w:val="0"/>
              <w:widowControl w:val="0"/>
              <w:kinsoku/>
              <w:wordWrap/>
              <w:overflowPunct/>
              <w:topLinePunct w:val="0"/>
              <w:bidi w:val="0"/>
              <w:adjustRightInd w:val="0"/>
              <w:snapToGrid w:val="0"/>
              <w:spacing w:before="120" w:beforeLines="50" w:line="360" w:lineRule="auto"/>
              <w:ind w:firstLine="482"/>
              <w:jc w:val="both"/>
              <w:textAlignment w:val="auto"/>
              <w:outlineLvl w:val="9"/>
              <w:rPr>
                <w:b/>
                <w:color w:val="auto"/>
                <w:sz w:val="24"/>
                <w:highlight w:val="none"/>
              </w:rPr>
            </w:pPr>
            <w:r>
              <w:rPr>
                <w:rFonts w:hint="eastAsia"/>
                <w:b/>
                <w:color w:val="auto"/>
                <w:sz w:val="24"/>
                <w:highlight w:val="none"/>
              </w:rPr>
              <w:t>编列内容规定</w:t>
            </w:r>
          </w:p>
        </w:tc>
      </w:tr>
      <w:tr w14:paraId="00DE47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1700" w:type="dxa"/>
            <w:tcBorders>
              <w:top w:val="single" w:color="auto" w:sz="6" w:space="0"/>
              <w:bottom w:val="single" w:color="auto" w:sz="6" w:space="0"/>
            </w:tcBorders>
            <w:vAlign w:val="center"/>
          </w:tcPr>
          <w:p w14:paraId="30D773BF">
            <w:pPr>
              <w:keepNext w:val="0"/>
              <w:keepLines w:val="0"/>
              <w:pageBreakBefore w:val="0"/>
              <w:widowControl w:val="0"/>
              <w:kinsoku/>
              <w:wordWrap/>
              <w:overflowPunct/>
              <w:topLinePunct w:val="0"/>
              <w:bidi w:val="0"/>
              <w:adjustRightInd w:val="0"/>
              <w:snapToGrid w:val="0"/>
              <w:ind w:firstLine="480"/>
              <w:jc w:val="both"/>
              <w:textAlignment w:val="auto"/>
              <w:outlineLvl w:val="9"/>
              <w:rPr>
                <w:rFonts w:hint="eastAsia" w:asciiTheme="minorEastAsia" w:hAnsiTheme="minorEastAsia"/>
                <w:color w:val="auto"/>
                <w:sz w:val="24"/>
                <w:highlight w:val="none"/>
              </w:rPr>
            </w:pPr>
            <w:r>
              <w:rPr>
                <w:rFonts w:hint="eastAsia" w:asciiTheme="minorEastAsia" w:hAnsiTheme="minorEastAsia"/>
                <w:color w:val="auto"/>
                <w:sz w:val="24"/>
                <w:highlight w:val="none"/>
              </w:rPr>
              <w:t>第1.1款</w:t>
            </w:r>
          </w:p>
        </w:tc>
        <w:tc>
          <w:tcPr>
            <w:tcW w:w="2271" w:type="dxa"/>
            <w:gridSpan w:val="2"/>
            <w:tcBorders>
              <w:top w:val="single" w:color="auto" w:sz="6" w:space="0"/>
              <w:bottom w:val="single" w:color="auto" w:sz="6" w:space="0"/>
            </w:tcBorders>
            <w:vAlign w:val="center"/>
          </w:tcPr>
          <w:p w14:paraId="548040AD">
            <w:pPr>
              <w:keepNext w:val="0"/>
              <w:keepLines w:val="0"/>
              <w:pageBreakBefore w:val="0"/>
              <w:widowControl w:val="0"/>
              <w:kinsoku/>
              <w:wordWrap/>
              <w:overflowPunct/>
              <w:topLinePunct w:val="0"/>
              <w:bidi w:val="0"/>
              <w:adjustRightInd w:val="0"/>
              <w:snapToGrid w:val="0"/>
              <w:ind w:firstLine="480"/>
              <w:jc w:val="both"/>
              <w:textAlignment w:val="auto"/>
              <w:outlineLvl w:val="9"/>
              <w:rPr>
                <w:rFonts w:hint="eastAsia" w:asciiTheme="minorEastAsia" w:hAnsiTheme="minorEastAsia"/>
                <w:color w:val="auto"/>
                <w:sz w:val="24"/>
                <w:highlight w:val="none"/>
              </w:rPr>
            </w:pPr>
            <w:r>
              <w:rPr>
                <w:rFonts w:hint="eastAsia" w:asciiTheme="minorEastAsia" w:hAnsiTheme="minorEastAsia"/>
                <w:color w:val="auto"/>
                <w:sz w:val="24"/>
                <w:highlight w:val="none"/>
              </w:rPr>
              <w:t>评审办法</w:t>
            </w:r>
          </w:p>
        </w:tc>
        <w:tc>
          <w:tcPr>
            <w:tcW w:w="4960" w:type="dxa"/>
            <w:tcBorders>
              <w:top w:val="single" w:color="auto" w:sz="6" w:space="0"/>
              <w:bottom w:val="single" w:color="auto" w:sz="6" w:space="0"/>
            </w:tcBorders>
            <w:vAlign w:val="center"/>
          </w:tcPr>
          <w:p w14:paraId="573E01F7">
            <w:pPr>
              <w:keepNext w:val="0"/>
              <w:keepLines w:val="0"/>
              <w:pageBreakBefore w:val="0"/>
              <w:widowControl w:val="0"/>
              <w:kinsoku/>
              <w:wordWrap/>
              <w:overflowPunct/>
              <w:topLinePunct w:val="0"/>
              <w:bidi w:val="0"/>
              <w:adjustRightInd w:val="0"/>
              <w:snapToGrid w:val="0"/>
              <w:ind w:firstLine="480"/>
              <w:jc w:val="both"/>
              <w:textAlignment w:val="auto"/>
              <w:outlineLvl w:val="9"/>
              <w:rPr>
                <w:rFonts w:hint="eastAsia" w:asciiTheme="minorEastAsia" w:hAnsiTheme="minorEastAsia"/>
                <w:bCs/>
                <w:color w:val="auto"/>
                <w:sz w:val="24"/>
                <w:highlight w:val="none"/>
              </w:rPr>
            </w:pPr>
            <w:r>
              <w:rPr>
                <w:rFonts w:hint="eastAsia" w:asciiTheme="minorEastAsia" w:hAnsiTheme="minorEastAsia"/>
                <w:bCs/>
                <w:color w:val="auto"/>
                <w:sz w:val="24"/>
                <w:highlight w:val="none"/>
              </w:rPr>
              <w:t>综合评分法</w:t>
            </w:r>
          </w:p>
        </w:tc>
      </w:tr>
      <w:tr w14:paraId="1ADEBB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1700" w:type="dxa"/>
            <w:tcBorders>
              <w:top w:val="single" w:color="auto" w:sz="6" w:space="0"/>
              <w:bottom w:val="single" w:color="auto" w:sz="6" w:space="0"/>
            </w:tcBorders>
            <w:vAlign w:val="center"/>
          </w:tcPr>
          <w:p w14:paraId="6A73ADF3">
            <w:pPr>
              <w:keepNext w:val="0"/>
              <w:keepLines w:val="0"/>
              <w:pageBreakBefore w:val="0"/>
              <w:widowControl w:val="0"/>
              <w:kinsoku/>
              <w:wordWrap/>
              <w:overflowPunct/>
              <w:topLinePunct w:val="0"/>
              <w:bidi w:val="0"/>
              <w:adjustRightInd w:val="0"/>
              <w:snapToGrid w:val="0"/>
              <w:ind w:firstLine="480"/>
              <w:jc w:val="both"/>
              <w:textAlignment w:val="auto"/>
              <w:outlineLvl w:val="9"/>
              <w:rPr>
                <w:rFonts w:hint="eastAsia" w:asciiTheme="minorEastAsia" w:hAnsiTheme="minorEastAsia"/>
                <w:color w:val="auto"/>
                <w:sz w:val="24"/>
                <w:highlight w:val="none"/>
              </w:rPr>
            </w:pPr>
            <w:r>
              <w:rPr>
                <w:rFonts w:hint="eastAsia" w:asciiTheme="minorEastAsia" w:hAnsiTheme="minorEastAsia"/>
                <w:color w:val="auto"/>
                <w:sz w:val="24"/>
                <w:highlight w:val="none"/>
              </w:rPr>
              <w:t>第5.2款</w:t>
            </w:r>
          </w:p>
        </w:tc>
        <w:tc>
          <w:tcPr>
            <w:tcW w:w="2271" w:type="dxa"/>
            <w:gridSpan w:val="2"/>
            <w:tcBorders>
              <w:top w:val="single" w:color="auto" w:sz="6" w:space="0"/>
              <w:bottom w:val="single" w:color="auto" w:sz="6" w:space="0"/>
            </w:tcBorders>
            <w:vAlign w:val="center"/>
          </w:tcPr>
          <w:p w14:paraId="72E52043">
            <w:pPr>
              <w:keepNext w:val="0"/>
              <w:keepLines w:val="0"/>
              <w:pageBreakBefore w:val="0"/>
              <w:widowControl w:val="0"/>
              <w:kinsoku/>
              <w:wordWrap/>
              <w:overflowPunct/>
              <w:topLinePunct w:val="0"/>
              <w:bidi w:val="0"/>
              <w:adjustRightInd w:val="0"/>
              <w:snapToGrid w:val="0"/>
              <w:ind w:firstLine="480"/>
              <w:jc w:val="both"/>
              <w:textAlignment w:val="auto"/>
              <w:outlineLvl w:val="9"/>
              <w:rPr>
                <w:rFonts w:hint="eastAsia" w:asciiTheme="minorEastAsia" w:hAnsiTheme="minorEastAsia"/>
                <w:color w:val="auto"/>
                <w:sz w:val="24"/>
                <w:highlight w:val="none"/>
              </w:rPr>
            </w:pPr>
            <w:r>
              <w:rPr>
                <w:rFonts w:hint="eastAsia" w:asciiTheme="minorEastAsia" w:hAnsiTheme="minorEastAsia"/>
                <w:color w:val="auto"/>
                <w:sz w:val="24"/>
                <w:highlight w:val="none"/>
              </w:rPr>
              <w:t>响应文件报价出现前后不一致的修正</w:t>
            </w:r>
          </w:p>
        </w:tc>
        <w:tc>
          <w:tcPr>
            <w:tcW w:w="4960" w:type="dxa"/>
            <w:tcBorders>
              <w:top w:val="single" w:color="auto" w:sz="6" w:space="0"/>
              <w:bottom w:val="single" w:color="auto" w:sz="6" w:space="0"/>
            </w:tcBorders>
            <w:vAlign w:val="center"/>
          </w:tcPr>
          <w:p w14:paraId="5B139F9A">
            <w:pPr>
              <w:keepNext w:val="0"/>
              <w:keepLines w:val="0"/>
              <w:pageBreakBefore w:val="0"/>
              <w:widowControl w:val="0"/>
              <w:kinsoku/>
              <w:wordWrap/>
              <w:overflowPunct/>
              <w:topLinePunct w:val="0"/>
              <w:bidi w:val="0"/>
              <w:adjustRightInd w:val="0"/>
              <w:snapToGrid w:val="0"/>
              <w:ind w:firstLine="480"/>
              <w:jc w:val="both"/>
              <w:textAlignment w:val="auto"/>
              <w:outlineLvl w:val="9"/>
              <w:rPr>
                <w:rFonts w:hint="eastAsia" w:asciiTheme="minorEastAsia" w:hAnsiTheme="minorEastAsia"/>
                <w:bCs/>
                <w:color w:val="auto"/>
                <w:sz w:val="24"/>
                <w:highlight w:val="none"/>
              </w:rPr>
            </w:pPr>
            <w:r>
              <w:rPr>
                <w:rFonts w:hint="eastAsia" w:asciiTheme="minorEastAsia" w:hAnsiTheme="minorEastAsia"/>
                <w:bCs/>
                <w:color w:val="auto"/>
                <w:sz w:val="24"/>
                <w:highlight w:val="none"/>
              </w:rPr>
              <w:t>详见评审办法及标准正文</w:t>
            </w:r>
          </w:p>
        </w:tc>
      </w:tr>
      <w:tr w14:paraId="274ED6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700" w:type="dxa"/>
            <w:vAlign w:val="center"/>
          </w:tcPr>
          <w:p w14:paraId="6DBD8ED8">
            <w:pPr>
              <w:keepNext w:val="0"/>
              <w:keepLines w:val="0"/>
              <w:pageBreakBefore w:val="0"/>
              <w:widowControl w:val="0"/>
              <w:kinsoku/>
              <w:wordWrap/>
              <w:overflowPunct/>
              <w:topLinePunct w:val="0"/>
              <w:bidi w:val="0"/>
              <w:adjustRightInd w:val="0"/>
              <w:snapToGrid w:val="0"/>
              <w:spacing w:before="120" w:beforeLines="50" w:line="360" w:lineRule="auto"/>
              <w:ind w:firstLine="480"/>
              <w:jc w:val="both"/>
              <w:textAlignment w:val="auto"/>
              <w:outlineLvl w:val="9"/>
              <w:rPr>
                <w:rFonts w:hint="eastAsia" w:asciiTheme="minorEastAsia" w:hAnsiTheme="minorEastAsia"/>
                <w:color w:val="auto"/>
                <w:sz w:val="24"/>
                <w:highlight w:val="none"/>
              </w:rPr>
            </w:pPr>
            <w:r>
              <w:rPr>
                <w:rFonts w:hint="eastAsia" w:asciiTheme="minorEastAsia" w:hAnsiTheme="minorEastAsia"/>
                <w:color w:val="auto"/>
                <w:sz w:val="24"/>
                <w:highlight w:val="none"/>
              </w:rPr>
              <w:t>第6.2款</w:t>
            </w:r>
          </w:p>
        </w:tc>
        <w:tc>
          <w:tcPr>
            <w:tcW w:w="709" w:type="dxa"/>
            <w:tcBorders>
              <w:right w:val="single" w:color="auto" w:sz="4" w:space="0"/>
            </w:tcBorders>
            <w:vAlign w:val="center"/>
          </w:tcPr>
          <w:p w14:paraId="1C1DD49B">
            <w:pPr>
              <w:keepNext w:val="0"/>
              <w:keepLines w:val="0"/>
              <w:pageBreakBefore w:val="0"/>
              <w:widowControl w:val="0"/>
              <w:kinsoku/>
              <w:wordWrap/>
              <w:overflowPunct/>
              <w:topLinePunct w:val="0"/>
              <w:bidi w:val="0"/>
              <w:adjustRightInd w:val="0"/>
              <w:snapToGrid w:val="0"/>
              <w:spacing w:before="120" w:beforeLines="50" w:line="360" w:lineRule="auto"/>
              <w:jc w:val="both"/>
              <w:textAlignment w:val="auto"/>
              <w:outlineLvl w:val="9"/>
              <w:rPr>
                <w:rFonts w:hint="eastAsia" w:asciiTheme="minorEastAsia" w:hAnsiTheme="minorEastAsia"/>
                <w:color w:val="auto"/>
                <w:sz w:val="24"/>
                <w:highlight w:val="none"/>
              </w:rPr>
            </w:pPr>
            <w:r>
              <w:rPr>
                <w:rFonts w:hint="eastAsia" w:asciiTheme="minorEastAsia" w:hAnsiTheme="minorEastAsia"/>
                <w:color w:val="auto"/>
                <w:sz w:val="24"/>
                <w:highlight w:val="none"/>
              </w:rPr>
              <w:t>价格评审优惠</w:t>
            </w:r>
          </w:p>
        </w:tc>
        <w:tc>
          <w:tcPr>
            <w:tcW w:w="1562" w:type="dxa"/>
            <w:tcBorders>
              <w:top w:val="single" w:color="auto" w:sz="4" w:space="0"/>
              <w:left w:val="single" w:color="auto" w:sz="4" w:space="0"/>
              <w:bottom w:val="single" w:color="auto" w:sz="6" w:space="0"/>
            </w:tcBorders>
            <w:vAlign w:val="center"/>
          </w:tcPr>
          <w:p w14:paraId="3F71F395">
            <w:pPr>
              <w:keepNext w:val="0"/>
              <w:keepLines w:val="0"/>
              <w:pageBreakBefore w:val="0"/>
              <w:widowControl w:val="0"/>
              <w:kinsoku/>
              <w:wordWrap/>
              <w:overflowPunct/>
              <w:topLinePunct w:val="0"/>
              <w:bidi w:val="0"/>
              <w:adjustRightInd w:val="0"/>
              <w:snapToGrid w:val="0"/>
              <w:ind w:firstLine="240" w:firstLineChars="100"/>
              <w:jc w:val="both"/>
              <w:textAlignment w:val="auto"/>
              <w:outlineLvl w:val="9"/>
              <w:rPr>
                <w:rFonts w:hint="eastAsia" w:asciiTheme="minorEastAsia" w:hAnsiTheme="minorEastAsia"/>
                <w:color w:val="auto"/>
                <w:sz w:val="24"/>
                <w:highlight w:val="none"/>
              </w:rPr>
            </w:pPr>
            <w:r>
              <w:rPr>
                <w:rFonts w:hint="eastAsia" w:asciiTheme="minorEastAsia" w:hAnsiTheme="minorEastAsia"/>
                <w:color w:val="auto"/>
                <w:sz w:val="24"/>
                <w:highlight w:val="none"/>
              </w:rPr>
              <w:t>扶持小、微企业、监狱企业、残疾人福利性单位（</w:t>
            </w:r>
            <w:r>
              <w:rPr>
                <w:rFonts w:hint="eastAsia"/>
                <w:color w:val="auto"/>
                <w:sz w:val="24"/>
                <w:highlight w:val="none"/>
              </w:rPr>
              <w:t>服务/工程采购项目</w:t>
            </w:r>
            <w:r>
              <w:rPr>
                <w:rFonts w:hint="eastAsia" w:asciiTheme="minorEastAsia" w:hAnsiTheme="minorEastAsia"/>
                <w:color w:val="auto"/>
                <w:sz w:val="24"/>
                <w:highlight w:val="none"/>
              </w:rPr>
              <w:t>）</w:t>
            </w:r>
          </w:p>
        </w:tc>
        <w:tc>
          <w:tcPr>
            <w:tcW w:w="4960" w:type="dxa"/>
            <w:tcBorders>
              <w:top w:val="single" w:color="auto" w:sz="4" w:space="0"/>
              <w:bottom w:val="single" w:color="auto" w:sz="6" w:space="0"/>
            </w:tcBorders>
            <w:vAlign w:val="center"/>
          </w:tcPr>
          <w:p w14:paraId="119A7A97">
            <w:pPr>
              <w:keepNext w:val="0"/>
              <w:keepLines w:val="0"/>
              <w:pageBreakBefore w:val="0"/>
              <w:widowControl w:val="0"/>
              <w:kinsoku/>
              <w:wordWrap/>
              <w:overflowPunct/>
              <w:topLinePunct w:val="0"/>
              <w:bidi w:val="0"/>
              <w:adjustRightInd w:val="0"/>
              <w:snapToGrid w:val="0"/>
              <w:ind w:firstLine="480"/>
              <w:jc w:val="both"/>
              <w:textAlignment w:val="auto"/>
              <w:outlineLvl w:val="9"/>
              <w:rPr>
                <w:color w:val="auto"/>
                <w:sz w:val="24"/>
                <w:highlight w:val="none"/>
              </w:rPr>
            </w:pPr>
            <w:r>
              <w:rPr>
                <w:rFonts w:hint="eastAsia"/>
                <w:color w:val="auto"/>
                <w:sz w:val="24"/>
                <w:highlight w:val="none"/>
              </w:rPr>
              <w:t>1、在服务/工程采购项目中，供应商为小型、微型企业承接/承建的，价格给予</w:t>
            </w:r>
            <w:r>
              <w:rPr>
                <w:rFonts w:hint="eastAsia"/>
                <w:color w:val="auto"/>
                <w:sz w:val="24"/>
                <w:highlight w:val="none"/>
                <w:u w:val="single"/>
              </w:rPr>
              <w:t>10</w:t>
            </w:r>
            <w:r>
              <w:rPr>
                <w:color w:val="auto"/>
                <w:sz w:val="24"/>
                <w:highlight w:val="none"/>
                <w:u w:val="single"/>
              </w:rPr>
              <w:t>%-</w:t>
            </w:r>
            <w:r>
              <w:rPr>
                <w:rFonts w:hint="eastAsia"/>
                <w:color w:val="auto"/>
                <w:sz w:val="24"/>
                <w:highlight w:val="none"/>
                <w:u w:val="single"/>
              </w:rPr>
              <w:t>2</w:t>
            </w:r>
            <w:r>
              <w:rPr>
                <w:color w:val="auto"/>
                <w:sz w:val="24"/>
                <w:highlight w:val="none"/>
                <w:u w:val="single"/>
              </w:rPr>
              <w:t>0%</w:t>
            </w:r>
            <w:r>
              <w:rPr>
                <w:color w:val="auto"/>
                <w:sz w:val="24"/>
                <w:highlight w:val="none"/>
              </w:rPr>
              <w:t>的扣除，用扣除后的价格参与评审，本项目具体扣除比例为：价格部分</w:t>
            </w:r>
            <w:r>
              <w:rPr>
                <w:rFonts w:hint="eastAsia"/>
                <w:color w:val="auto"/>
                <w:sz w:val="24"/>
                <w:highlight w:val="none"/>
                <w:u w:val="single"/>
              </w:rPr>
              <w:t xml:space="preserve"> / </w:t>
            </w:r>
            <w:r>
              <w:rPr>
                <w:color w:val="auto"/>
                <w:sz w:val="24"/>
                <w:highlight w:val="none"/>
                <w:u w:val="single"/>
              </w:rPr>
              <w:t>%</w:t>
            </w:r>
            <w:r>
              <w:rPr>
                <w:rFonts w:hint="eastAsia"/>
                <w:color w:val="auto"/>
                <w:sz w:val="24"/>
                <w:highlight w:val="none"/>
              </w:rPr>
              <w:t xml:space="preserve">。 </w:t>
            </w:r>
          </w:p>
          <w:p w14:paraId="6E5DB610">
            <w:pPr>
              <w:keepNext w:val="0"/>
              <w:keepLines w:val="0"/>
              <w:pageBreakBefore w:val="0"/>
              <w:widowControl w:val="0"/>
              <w:kinsoku/>
              <w:wordWrap/>
              <w:overflowPunct/>
              <w:topLinePunct w:val="0"/>
              <w:bidi w:val="0"/>
              <w:adjustRightInd w:val="0"/>
              <w:snapToGrid w:val="0"/>
              <w:ind w:firstLine="480"/>
              <w:jc w:val="both"/>
              <w:textAlignment w:val="auto"/>
              <w:outlineLvl w:val="9"/>
              <w:rPr>
                <w:color w:val="auto"/>
                <w:sz w:val="24"/>
                <w:highlight w:val="none"/>
              </w:rPr>
            </w:pPr>
            <w:r>
              <w:rPr>
                <w:rFonts w:hint="eastAsia"/>
                <w:color w:val="auto"/>
                <w:sz w:val="24"/>
                <w:highlight w:val="none"/>
              </w:rPr>
              <w:t xml:space="preserve">2、以联合体形式参加政府采购活动，联合体各方均为中小企业的，联合体视同中小企业。其中，联合体各方均为小微企业的，联合体视同小微企业。 </w:t>
            </w:r>
          </w:p>
          <w:p w14:paraId="1C1E8165">
            <w:pPr>
              <w:keepNext w:val="0"/>
              <w:keepLines w:val="0"/>
              <w:pageBreakBefore w:val="0"/>
              <w:widowControl w:val="0"/>
              <w:kinsoku/>
              <w:wordWrap/>
              <w:overflowPunct/>
              <w:topLinePunct w:val="0"/>
              <w:bidi w:val="0"/>
              <w:adjustRightInd w:val="0"/>
              <w:snapToGrid w:val="0"/>
              <w:ind w:firstLine="480"/>
              <w:jc w:val="both"/>
              <w:textAlignment w:val="auto"/>
              <w:outlineLvl w:val="9"/>
              <w:rPr>
                <w:color w:val="auto"/>
                <w:sz w:val="24"/>
                <w:highlight w:val="none"/>
              </w:rPr>
            </w:pPr>
            <w:r>
              <w:rPr>
                <w:rFonts w:hint="eastAsia"/>
                <w:color w:val="auto"/>
                <w:sz w:val="24"/>
                <w:highlight w:val="none"/>
              </w:rPr>
              <w:t xml:space="preserve">3、接受大中型企业与小微企业组成联合体或者允许大中型企业向一家或者多家小微企业分包的采购项目，对于联合体协议或者分包意向协议约定小微企业的合同份额占到合同总金额30%以上的，应当对联合体或者大中型企业的报价给予2%-3%的扣除，用扣除后的价格参与评审，本项目具体扣除比例为：价格部分/%。 </w:t>
            </w:r>
          </w:p>
          <w:p w14:paraId="5956C3A6">
            <w:pPr>
              <w:keepNext w:val="0"/>
              <w:keepLines w:val="0"/>
              <w:pageBreakBefore w:val="0"/>
              <w:widowControl w:val="0"/>
              <w:kinsoku/>
              <w:wordWrap/>
              <w:overflowPunct/>
              <w:topLinePunct w:val="0"/>
              <w:bidi w:val="0"/>
              <w:adjustRightInd w:val="0"/>
              <w:snapToGrid w:val="0"/>
              <w:ind w:firstLine="480"/>
              <w:jc w:val="both"/>
              <w:textAlignment w:val="auto"/>
              <w:outlineLvl w:val="9"/>
              <w:rPr>
                <w:color w:val="auto"/>
                <w:sz w:val="24"/>
                <w:highlight w:val="none"/>
              </w:rPr>
            </w:pPr>
            <w:r>
              <w:rPr>
                <w:rFonts w:hint="eastAsia"/>
                <w:color w:val="auto"/>
                <w:sz w:val="24"/>
                <w:highlight w:val="none"/>
              </w:rPr>
              <w:t>4、组成联合体或者接受分包的小微企业与联合体内其他企业、分包企业之间存在直接控股、管理关系的，不享受价格扣除优惠政策。</w:t>
            </w:r>
            <w:r>
              <w:rPr>
                <w:rFonts w:hint="eastAsia"/>
                <w:color w:val="auto"/>
                <w:highlight w:val="none"/>
              </w:rPr>
              <w:t xml:space="preserve"> </w:t>
            </w:r>
          </w:p>
          <w:p w14:paraId="709CADD7">
            <w:pPr>
              <w:keepNext w:val="0"/>
              <w:keepLines w:val="0"/>
              <w:pageBreakBefore w:val="0"/>
              <w:widowControl w:val="0"/>
              <w:kinsoku/>
              <w:wordWrap/>
              <w:overflowPunct/>
              <w:topLinePunct w:val="0"/>
              <w:bidi w:val="0"/>
              <w:adjustRightInd w:val="0"/>
              <w:snapToGrid w:val="0"/>
              <w:ind w:firstLine="480"/>
              <w:jc w:val="both"/>
              <w:textAlignment w:val="auto"/>
              <w:outlineLvl w:val="9"/>
              <w:rPr>
                <w:color w:val="auto"/>
                <w:sz w:val="24"/>
                <w:highlight w:val="none"/>
              </w:rPr>
            </w:pPr>
            <w:r>
              <w:rPr>
                <w:rFonts w:hint="eastAsia"/>
                <w:color w:val="auto"/>
                <w:sz w:val="24"/>
                <w:highlight w:val="none"/>
              </w:rPr>
              <w:t>5、响应文件</w:t>
            </w:r>
            <w:r>
              <w:rPr>
                <w:color w:val="auto"/>
                <w:sz w:val="24"/>
                <w:highlight w:val="none"/>
              </w:rPr>
              <w:t>必</w:t>
            </w:r>
            <w:r>
              <w:rPr>
                <w:rFonts w:hint="eastAsia"/>
                <w:color w:val="auto"/>
                <w:sz w:val="24"/>
                <w:highlight w:val="none"/>
              </w:rPr>
              <w:t>须</w:t>
            </w:r>
            <w:r>
              <w:rPr>
                <w:color w:val="auto"/>
                <w:sz w:val="24"/>
                <w:highlight w:val="none"/>
              </w:rPr>
              <w:t>按</w:t>
            </w:r>
            <w:r>
              <w:rPr>
                <w:rFonts w:hint="eastAsia"/>
                <w:color w:val="auto"/>
                <w:sz w:val="24"/>
                <w:highlight w:val="none"/>
              </w:rPr>
              <w:t>磋商文件要求提供“享受政府采购政策优惠的证明材料”</w:t>
            </w:r>
            <w:r>
              <w:rPr>
                <w:color w:val="auto"/>
                <w:sz w:val="24"/>
                <w:highlight w:val="none"/>
              </w:rPr>
              <w:t>，否则评审时不予以考虑</w:t>
            </w:r>
            <w:r>
              <w:rPr>
                <w:rFonts w:hint="eastAsia"/>
                <w:color w:val="auto"/>
                <w:sz w:val="24"/>
                <w:highlight w:val="none"/>
              </w:rPr>
              <w:t>。</w:t>
            </w:r>
            <w:r>
              <w:rPr>
                <w:rFonts w:hint="eastAsia"/>
                <w:color w:val="auto"/>
                <w:highlight w:val="none"/>
              </w:rPr>
              <w:t xml:space="preserve"> </w:t>
            </w:r>
          </w:p>
          <w:p w14:paraId="45C5F895">
            <w:pPr>
              <w:keepNext w:val="0"/>
              <w:keepLines w:val="0"/>
              <w:pageBreakBefore w:val="0"/>
              <w:widowControl w:val="0"/>
              <w:kinsoku/>
              <w:wordWrap/>
              <w:overflowPunct/>
              <w:topLinePunct w:val="0"/>
              <w:bidi w:val="0"/>
              <w:adjustRightInd w:val="0"/>
              <w:snapToGrid w:val="0"/>
              <w:ind w:firstLine="480"/>
              <w:jc w:val="both"/>
              <w:textAlignment w:val="auto"/>
              <w:outlineLvl w:val="9"/>
              <w:rPr>
                <w:color w:val="auto"/>
                <w:highlight w:val="none"/>
              </w:rPr>
            </w:pPr>
            <w:r>
              <w:rPr>
                <w:rFonts w:hint="eastAsia"/>
                <w:color w:val="auto"/>
                <w:sz w:val="24"/>
                <w:highlight w:val="none"/>
              </w:rPr>
              <w:t>6、监狱企业、残疾人福利性单位视同小型、微型企业。</w:t>
            </w:r>
            <w:r>
              <w:rPr>
                <w:rFonts w:hint="eastAsia"/>
                <w:color w:val="auto"/>
                <w:highlight w:val="none"/>
              </w:rPr>
              <w:t xml:space="preserve"> </w:t>
            </w:r>
          </w:p>
          <w:p w14:paraId="56DE401F">
            <w:pPr>
              <w:pStyle w:val="2"/>
              <w:keepNext w:val="0"/>
              <w:keepLines w:val="0"/>
              <w:pageBreakBefore w:val="0"/>
              <w:widowControl w:val="0"/>
              <w:kinsoku/>
              <w:wordWrap/>
              <w:overflowPunct/>
              <w:topLinePunct w:val="0"/>
              <w:bidi w:val="0"/>
              <w:adjustRightInd w:val="0"/>
              <w:snapToGrid w:val="0"/>
              <w:jc w:val="both"/>
              <w:textAlignment w:val="auto"/>
              <w:outlineLvl w:val="9"/>
              <w:rPr>
                <w:color w:val="auto"/>
                <w:highlight w:val="none"/>
              </w:rPr>
            </w:pPr>
            <w:r>
              <w:rPr>
                <w:rFonts w:hint="eastAsia"/>
                <w:color w:val="auto"/>
                <w:highlight w:val="none"/>
              </w:rPr>
              <w:t>【本项目不适用】</w:t>
            </w:r>
          </w:p>
        </w:tc>
      </w:tr>
      <w:tr w14:paraId="7BEC78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1700" w:type="dxa"/>
            <w:tcBorders>
              <w:top w:val="single" w:color="auto" w:sz="6" w:space="0"/>
              <w:bottom w:val="double" w:color="auto" w:sz="4" w:space="0"/>
            </w:tcBorders>
            <w:vAlign w:val="center"/>
          </w:tcPr>
          <w:p w14:paraId="16955120">
            <w:pPr>
              <w:keepNext w:val="0"/>
              <w:keepLines w:val="0"/>
              <w:pageBreakBefore w:val="0"/>
              <w:widowControl w:val="0"/>
              <w:kinsoku/>
              <w:wordWrap/>
              <w:overflowPunct/>
              <w:topLinePunct w:val="0"/>
              <w:bidi w:val="0"/>
              <w:adjustRightInd w:val="0"/>
              <w:snapToGrid w:val="0"/>
              <w:spacing w:before="120" w:beforeLines="50" w:line="360" w:lineRule="auto"/>
              <w:ind w:firstLine="480"/>
              <w:jc w:val="both"/>
              <w:textAlignment w:val="auto"/>
              <w:outlineLvl w:val="9"/>
              <w:rPr>
                <w:rFonts w:hint="eastAsia" w:asciiTheme="minorEastAsia" w:hAnsiTheme="minorEastAsia"/>
                <w:color w:val="auto"/>
                <w:sz w:val="24"/>
                <w:highlight w:val="none"/>
              </w:rPr>
            </w:pPr>
            <w:r>
              <w:rPr>
                <w:rFonts w:hint="eastAsia" w:asciiTheme="minorEastAsia" w:hAnsiTheme="minorEastAsia"/>
                <w:color w:val="auto"/>
                <w:sz w:val="24"/>
                <w:highlight w:val="none"/>
              </w:rPr>
              <w:t>第7</w:t>
            </w:r>
            <w:r>
              <w:rPr>
                <w:rFonts w:hint="eastAsia" w:cs="宋体" w:asciiTheme="minorEastAsia" w:hAnsiTheme="minorEastAsia"/>
                <w:color w:val="auto"/>
                <w:kern w:val="0"/>
                <w:sz w:val="24"/>
                <w:highlight w:val="none"/>
                <w:lang w:val="zh-CN"/>
              </w:rPr>
              <w:t>款</w:t>
            </w:r>
          </w:p>
        </w:tc>
        <w:tc>
          <w:tcPr>
            <w:tcW w:w="2271" w:type="dxa"/>
            <w:gridSpan w:val="2"/>
            <w:tcBorders>
              <w:top w:val="single" w:color="auto" w:sz="6" w:space="0"/>
              <w:bottom w:val="double" w:color="auto" w:sz="4" w:space="0"/>
              <w:right w:val="single" w:color="auto" w:sz="6" w:space="0"/>
            </w:tcBorders>
            <w:vAlign w:val="center"/>
          </w:tcPr>
          <w:p w14:paraId="7955E9A0">
            <w:pPr>
              <w:keepNext w:val="0"/>
              <w:keepLines w:val="0"/>
              <w:pageBreakBefore w:val="0"/>
              <w:widowControl w:val="0"/>
              <w:kinsoku/>
              <w:wordWrap/>
              <w:overflowPunct/>
              <w:topLinePunct w:val="0"/>
              <w:bidi w:val="0"/>
              <w:adjustRightInd w:val="0"/>
              <w:snapToGrid w:val="0"/>
              <w:ind w:firstLine="240" w:firstLineChars="100"/>
              <w:jc w:val="both"/>
              <w:textAlignment w:val="auto"/>
              <w:outlineLvl w:val="9"/>
              <w:rPr>
                <w:color w:val="auto"/>
                <w:sz w:val="24"/>
                <w:highlight w:val="none"/>
              </w:rPr>
            </w:pPr>
            <w:r>
              <w:rPr>
                <w:rFonts w:hint="eastAsia"/>
                <w:color w:val="auto"/>
                <w:sz w:val="24"/>
                <w:highlight w:val="none"/>
              </w:rPr>
              <w:t>成交候选供应商并列的确定成交供应商的方式</w:t>
            </w:r>
          </w:p>
        </w:tc>
        <w:tc>
          <w:tcPr>
            <w:tcW w:w="4960" w:type="dxa"/>
            <w:tcBorders>
              <w:top w:val="single" w:color="auto" w:sz="6" w:space="0"/>
              <w:left w:val="single" w:color="auto" w:sz="6" w:space="0"/>
              <w:bottom w:val="double" w:color="auto" w:sz="4" w:space="0"/>
              <w:right w:val="double" w:color="auto" w:sz="4" w:space="0"/>
            </w:tcBorders>
            <w:vAlign w:val="center"/>
          </w:tcPr>
          <w:p w14:paraId="6FF09762">
            <w:pPr>
              <w:keepNext w:val="0"/>
              <w:keepLines w:val="0"/>
              <w:pageBreakBefore w:val="0"/>
              <w:widowControl w:val="0"/>
              <w:kinsoku/>
              <w:wordWrap/>
              <w:overflowPunct/>
              <w:topLinePunct w:val="0"/>
              <w:bidi w:val="0"/>
              <w:adjustRightInd w:val="0"/>
              <w:snapToGrid w:val="0"/>
              <w:ind w:right="-109" w:firstLine="480"/>
              <w:jc w:val="both"/>
              <w:textAlignment w:val="auto"/>
              <w:outlineLvl w:val="9"/>
              <w:rPr>
                <w:rFonts w:hint="eastAsia" w:asciiTheme="minorEastAsia" w:hAnsiTheme="minorEastAsia"/>
                <w:color w:val="auto"/>
                <w:sz w:val="24"/>
                <w:highlight w:val="none"/>
                <w:u w:val="single"/>
              </w:rPr>
            </w:pPr>
            <w:r>
              <w:rPr>
                <w:rFonts w:hint="eastAsia" w:asciiTheme="minorEastAsia" w:hAnsiTheme="minorEastAsia"/>
                <w:bCs/>
                <w:color w:val="auto"/>
                <w:sz w:val="24"/>
                <w:highlight w:val="none"/>
              </w:rPr>
              <w:t>按评审后得分由高到低顺序排列。评审得分相同的，按最终报价由低到高顺序排列。评审得分且最终报价相同的，按照技术得分由高到低排序。评审得分、最终报价、技术得分均相同的，采购人自行确定排列顺序。</w:t>
            </w:r>
          </w:p>
        </w:tc>
      </w:tr>
    </w:tbl>
    <w:p w14:paraId="39E9B15D">
      <w:pPr>
        <w:keepNext w:val="0"/>
        <w:keepLines w:val="0"/>
        <w:adjustRightInd w:val="0"/>
        <w:snapToGrid w:val="0"/>
        <w:spacing w:before="120" w:beforeLines="50" w:after="0" w:line="360" w:lineRule="auto"/>
        <w:ind w:firstLine="482"/>
        <w:outlineLvl w:val="9"/>
        <w:rPr>
          <w:rFonts w:hint="eastAsia" w:ascii="宋体" w:hAnsi="宋体" w:eastAsia="宋体" w:cs="宋体"/>
          <w:color w:val="auto"/>
          <w:sz w:val="24"/>
          <w:szCs w:val="24"/>
          <w:highlight w:val="none"/>
        </w:rPr>
      </w:pPr>
    </w:p>
    <w:p w14:paraId="55460C95">
      <w:pPr>
        <w:keepNext w:val="0"/>
        <w:keepLines w:val="0"/>
        <w:adjustRightInd w:val="0"/>
        <w:snapToGrid w:val="0"/>
        <w:spacing w:before="120" w:beforeLines="50" w:after="0" w:line="360" w:lineRule="auto"/>
        <w:ind w:firstLine="482"/>
        <w:outlineLvl w:val="9"/>
        <w:rPr>
          <w:rFonts w:hint="eastAsia" w:ascii="宋体" w:hAnsi="宋体" w:eastAsia="宋体" w:cs="宋体"/>
          <w:color w:val="auto"/>
          <w:sz w:val="24"/>
          <w:szCs w:val="24"/>
          <w:highlight w:val="none"/>
        </w:rPr>
      </w:pPr>
    </w:p>
    <w:p w14:paraId="1D794BC0">
      <w:pPr>
        <w:adjustRightInd w:val="0"/>
        <w:snapToGrid w:val="0"/>
        <w:spacing w:line="360" w:lineRule="auto"/>
        <w:ind w:firstLine="562"/>
        <w:jc w:val="center"/>
        <w:outlineLvl w:val="1"/>
        <w:rPr>
          <w:rFonts w:hint="eastAsia" w:ascii="宋体" w:hAnsi="宋体" w:eastAsia="宋体" w:cs="宋体"/>
          <w:b/>
          <w:color w:val="auto"/>
          <w:sz w:val="28"/>
          <w:szCs w:val="28"/>
          <w:highlight w:val="none"/>
        </w:rPr>
      </w:pPr>
      <w:bookmarkStart w:id="17" w:name="_Toc5561"/>
      <w:r>
        <w:rPr>
          <w:rFonts w:hint="eastAsia" w:ascii="宋体" w:hAnsi="宋体" w:eastAsia="宋体" w:cs="宋体"/>
          <w:b/>
          <w:color w:val="auto"/>
          <w:sz w:val="28"/>
          <w:szCs w:val="28"/>
          <w:highlight w:val="none"/>
        </w:rPr>
        <w:t>第二节 评审方法及标准</w:t>
      </w:r>
      <w:bookmarkEnd w:id="17"/>
    </w:p>
    <w:p w14:paraId="515BCB8E">
      <w:pPr>
        <w:keepNext w:val="0"/>
        <w:keepLines w:val="0"/>
        <w:adjustRightInd w:val="0"/>
        <w:snapToGrid w:val="0"/>
        <w:spacing w:before="120" w:beforeLines="50" w:after="0" w:line="336" w:lineRule="auto"/>
        <w:ind w:firstLine="48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End w:id="16"/>
      <w:r>
        <w:rPr>
          <w:rFonts w:hint="eastAsia" w:ascii="宋体" w:hAnsi="宋体" w:eastAsia="宋体" w:cs="宋体"/>
          <w:color w:val="auto"/>
          <w:sz w:val="24"/>
          <w:szCs w:val="24"/>
          <w:highlight w:val="none"/>
        </w:rPr>
        <w:t>评审办法</w:t>
      </w:r>
    </w:p>
    <w:p w14:paraId="499CF960">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1.1综合评分法，指响应文件满足磋商文件全部实质性要求，且按照评审因素的量化指标评审得分最高的供应商为成交候选供应商的评审办法。</w:t>
      </w:r>
    </w:p>
    <w:p w14:paraId="2617BC35">
      <w:pPr>
        <w:keepNext w:val="0"/>
        <w:keepLines w:val="0"/>
        <w:adjustRightInd w:val="0"/>
        <w:snapToGrid w:val="0"/>
        <w:spacing w:before="120" w:beforeLines="50" w:after="0" w:line="336" w:lineRule="auto"/>
        <w:ind w:firstLine="482"/>
        <w:outlineLvl w:val="9"/>
        <w:rPr>
          <w:rFonts w:hint="eastAsia" w:ascii="宋体" w:hAnsi="宋体" w:eastAsia="宋体" w:cs="宋体"/>
          <w:bCs w:val="0"/>
          <w:color w:val="auto"/>
          <w:sz w:val="24"/>
          <w:szCs w:val="24"/>
          <w:highlight w:val="none"/>
        </w:rPr>
      </w:pPr>
      <w:bookmarkStart w:id="18" w:name="_Toc39092074"/>
      <w:r>
        <w:rPr>
          <w:rFonts w:hint="eastAsia" w:ascii="宋体" w:hAnsi="宋体" w:eastAsia="宋体" w:cs="宋体"/>
          <w:bCs w:val="0"/>
          <w:color w:val="auto"/>
          <w:sz w:val="24"/>
          <w:szCs w:val="24"/>
          <w:highlight w:val="none"/>
        </w:rPr>
        <w:t>2．</w:t>
      </w:r>
      <w:bookmarkEnd w:id="18"/>
      <w:r>
        <w:rPr>
          <w:rFonts w:hint="eastAsia" w:ascii="宋体" w:hAnsi="宋体" w:eastAsia="宋体" w:cs="宋体"/>
          <w:bCs w:val="0"/>
          <w:color w:val="auto"/>
          <w:sz w:val="24"/>
          <w:szCs w:val="24"/>
          <w:highlight w:val="none"/>
        </w:rPr>
        <w:t>评审程序</w:t>
      </w:r>
    </w:p>
    <w:p w14:paraId="779BF90B">
      <w:pPr>
        <w:adjustRightInd w:val="0"/>
        <w:snapToGrid w:val="0"/>
        <w:spacing w:before="120" w:beforeLines="50" w:line="336" w:lineRule="auto"/>
        <w:ind w:firstLine="420" w:firstLineChars="200"/>
        <w:jc w:val="left"/>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2.1评审程序分为响应文件资格性审查、符合性审查、澄清有关问题、比较和评价、推荐成交候选供应商。</w:t>
      </w:r>
    </w:p>
    <w:p w14:paraId="35AE1940">
      <w:pPr>
        <w:keepNext w:val="0"/>
        <w:keepLines w:val="0"/>
        <w:adjustRightInd w:val="0"/>
        <w:snapToGrid w:val="0"/>
        <w:spacing w:before="120" w:beforeLines="50" w:after="0" w:line="336" w:lineRule="auto"/>
        <w:ind w:firstLine="482"/>
        <w:outlineLvl w:val="9"/>
        <w:rPr>
          <w:rFonts w:hint="eastAsia" w:ascii="宋体" w:hAnsi="宋体" w:eastAsia="宋体" w:cs="宋体"/>
          <w:bCs w:val="0"/>
          <w:color w:val="auto"/>
          <w:sz w:val="24"/>
          <w:szCs w:val="24"/>
          <w:highlight w:val="none"/>
        </w:rPr>
      </w:pPr>
      <w:bookmarkStart w:id="19" w:name="_Toc39092075"/>
      <w:r>
        <w:rPr>
          <w:rFonts w:hint="eastAsia" w:ascii="宋体" w:hAnsi="宋体" w:eastAsia="宋体" w:cs="宋体"/>
          <w:bCs w:val="0"/>
          <w:color w:val="auto"/>
          <w:sz w:val="24"/>
          <w:szCs w:val="24"/>
          <w:highlight w:val="none"/>
        </w:rPr>
        <w:t>3．响应文件的资格性审查</w:t>
      </w:r>
    </w:p>
    <w:p w14:paraId="730B88A2">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3.采购人及代理公司依法按照本章第三节“响应文件的资格性审查”规定进行对响应文件进行资格性审查。</w:t>
      </w:r>
    </w:p>
    <w:p w14:paraId="1C85ADA2">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3.2资格性审查合格供应商少于3家的，应予废标。政府购买服务项目（含政府和社会资本合作项目），符合要求的供应商（社会资本）只有2家的，可以继续进行。</w:t>
      </w:r>
    </w:p>
    <w:p w14:paraId="4F62E037">
      <w:pPr>
        <w:keepNext w:val="0"/>
        <w:keepLines w:val="0"/>
        <w:adjustRightInd w:val="0"/>
        <w:snapToGrid w:val="0"/>
        <w:spacing w:before="120" w:beforeLines="50" w:after="0" w:line="336" w:lineRule="auto"/>
        <w:ind w:firstLine="482"/>
        <w:outlineLvl w:val="9"/>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4．响应文件的符合性审查</w:t>
      </w:r>
      <w:bookmarkEnd w:id="19"/>
    </w:p>
    <w:p w14:paraId="1F4078F2">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4.1资格审查结束后，磋商小组依法按照本章第四节“响应文件的符合性审查”规定进行响应文件符合性审查。</w:t>
      </w:r>
    </w:p>
    <w:p w14:paraId="076CA306">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4.2符合性审查合格供应商少于3家的，应予废标。政府购买服务项目（含政府和社会资本合作项目），符合要求的供应商（社会资本）只有2家的，可以继续进行。</w:t>
      </w:r>
    </w:p>
    <w:p w14:paraId="6DB6DF1D">
      <w:pPr>
        <w:keepNext w:val="0"/>
        <w:keepLines w:val="0"/>
        <w:adjustRightInd w:val="0"/>
        <w:snapToGrid w:val="0"/>
        <w:spacing w:before="120" w:beforeLines="50" w:after="0" w:line="336" w:lineRule="auto"/>
        <w:ind w:firstLine="482"/>
        <w:outlineLvl w:val="9"/>
        <w:rPr>
          <w:rFonts w:hint="eastAsia" w:ascii="宋体" w:hAnsi="宋体" w:eastAsia="宋体" w:cs="宋体"/>
          <w:bCs w:val="0"/>
          <w:color w:val="auto"/>
          <w:sz w:val="24"/>
          <w:szCs w:val="24"/>
          <w:highlight w:val="none"/>
        </w:rPr>
      </w:pPr>
      <w:bookmarkStart w:id="20" w:name="_Toc39092076"/>
      <w:r>
        <w:rPr>
          <w:rFonts w:hint="eastAsia" w:ascii="宋体" w:hAnsi="宋体" w:eastAsia="宋体" w:cs="宋体"/>
          <w:bCs w:val="0"/>
          <w:color w:val="auto"/>
          <w:sz w:val="24"/>
          <w:szCs w:val="24"/>
          <w:highlight w:val="none"/>
        </w:rPr>
        <w:t>5．响应文件的澄清</w:t>
      </w:r>
      <w:bookmarkEnd w:id="20"/>
    </w:p>
    <w:p w14:paraId="1B9A55BF">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5.1对于响应文件中含义不明确、同类问题表述不一致或者有明显文字和计算错误的内容，磋商小组应当以数据电文形式要求供应商作出必要的澄清、说明或者补正。</w:t>
      </w:r>
    </w:p>
    <w:p w14:paraId="0AD83DC2">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5.2响应文件的磋商报价出现前后不一致的，除</w:t>
      </w:r>
      <w:r>
        <w:rPr>
          <w:rFonts w:hint="eastAsia" w:ascii="宋体" w:hAnsi="宋体" w:eastAsia="宋体" w:cs="宋体"/>
          <w:b/>
          <w:color w:val="auto"/>
          <w:szCs w:val="21"/>
          <w:highlight w:val="none"/>
        </w:rPr>
        <w:t>【评审办法及标准前附表】</w:t>
      </w:r>
      <w:r>
        <w:rPr>
          <w:rFonts w:hint="eastAsia" w:ascii="宋体" w:hAnsi="宋体" w:eastAsia="宋体" w:cs="宋体"/>
          <w:color w:val="auto"/>
          <w:szCs w:val="21"/>
          <w:highlight w:val="none"/>
        </w:rPr>
        <w:t>另有规定外，按照下列规定修正：</w:t>
      </w:r>
    </w:p>
    <w:p w14:paraId="24C5E5E3">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571107F6">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436B41AF">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04C39DD6">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5F8AC440">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5.3响应文件报价同时出现两种以上不一致的，按照前款规定的顺序修正。修正后的报价由供应商代表签字或者加盖章确认后产生约束力，供应商不确认的，其响应无效。</w:t>
      </w:r>
    </w:p>
    <w:p w14:paraId="6997BD37">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5.4供应商的澄清、说明或者补正应当采用书面形式，并加盖单位公章，或者由法定代表人或其授权的代表签名，并按磋商小组的通知要求递交至采购代理机构。供应商的澄清、说明或者补正不得超出响应文件的范围或者改变响应文件的实质性内容。</w:t>
      </w:r>
    </w:p>
    <w:p w14:paraId="7D42CB62">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5.5有效的澄清材料，是响应文件的补充材料，成为响应文件的组成部分。</w:t>
      </w:r>
    </w:p>
    <w:p w14:paraId="068157BB">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5.6磋商小组认为供应商的报价明显低于其他通过符合性审查供应商的报价，有可能影响产品质量或者不能诚信履约的，应当要求其在评审现场合理的时间内提供说明，必要时提交相关证明材料；供应商不能证明其报价合理性的，磋商小组应当将其作为响应无效处理。</w:t>
      </w:r>
    </w:p>
    <w:p w14:paraId="2B0F4E6B">
      <w:pPr>
        <w:keepNext w:val="0"/>
        <w:keepLines w:val="0"/>
        <w:adjustRightInd w:val="0"/>
        <w:snapToGrid w:val="0"/>
        <w:spacing w:before="120" w:beforeLines="50" w:after="0" w:line="336" w:lineRule="auto"/>
        <w:ind w:firstLine="482"/>
        <w:outlineLvl w:val="9"/>
        <w:rPr>
          <w:rFonts w:hint="eastAsia" w:ascii="宋体" w:hAnsi="宋体" w:eastAsia="宋体" w:cs="宋体"/>
          <w:bCs w:val="0"/>
          <w:color w:val="auto"/>
          <w:sz w:val="24"/>
          <w:szCs w:val="24"/>
          <w:highlight w:val="none"/>
        </w:rPr>
      </w:pPr>
      <w:bookmarkStart w:id="21" w:name="_Toc39092077"/>
      <w:r>
        <w:rPr>
          <w:rFonts w:hint="eastAsia" w:ascii="宋体" w:hAnsi="宋体" w:eastAsia="宋体" w:cs="宋体"/>
          <w:bCs w:val="0"/>
          <w:color w:val="auto"/>
          <w:sz w:val="24"/>
          <w:szCs w:val="24"/>
          <w:highlight w:val="none"/>
        </w:rPr>
        <w:t>6．响应文件的比较与评价</w:t>
      </w:r>
      <w:bookmarkEnd w:id="21"/>
    </w:p>
    <w:p w14:paraId="05401C2B">
      <w:pPr>
        <w:adjustRightInd w:val="0"/>
        <w:snapToGrid w:val="0"/>
        <w:spacing w:before="120" w:beforeLines="50" w:line="336" w:lineRule="auto"/>
        <w:ind w:firstLine="420" w:firstLineChars="200"/>
        <w:jc w:val="left"/>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6.1磋商小组依法按照本章第三节“响应文件的比较与评价”规定，对资格性检查和符合性检查合格的响应文件进行比较和评价。</w:t>
      </w:r>
    </w:p>
    <w:p w14:paraId="07854111">
      <w:pPr>
        <w:adjustRightInd w:val="0"/>
        <w:snapToGrid w:val="0"/>
        <w:spacing w:before="120" w:beforeLines="50" w:line="336" w:lineRule="auto"/>
        <w:ind w:firstLine="420" w:firstLineChars="200"/>
        <w:jc w:val="left"/>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6.2政府采购政策：价格评审优惠：</w:t>
      </w:r>
      <w:r>
        <w:rPr>
          <w:rFonts w:hint="eastAsia" w:ascii="宋体" w:hAnsi="宋体" w:eastAsia="宋体" w:cs="宋体"/>
          <w:color w:val="auto"/>
          <w:szCs w:val="21"/>
          <w:highlight w:val="none"/>
        </w:rPr>
        <w:t>按</w:t>
      </w:r>
      <w:r>
        <w:rPr>
          <w:rFonts w:hint="eastAsia" w:ascii="宋体" w:hAnsi="宋体" w:eastAsia="宋体" w:cs="宋体"/>
          <w:b/>
          <w:color w:val="auto"/>
          <w:szCs w:val="21"/>
          <w:highlight w:val="none"/>
        </w:rPr>
        <w:t>【评审办法及标准前附表】</w:t>
      </w:r>
      <w:r>
        <w:rPr>
          <w:rFonts w:hint="eastAsia" w:ascii="宋体" w:hAnsi="宋体" w:eastAsia="宋体" w:cs="宋体"/>
          <w:color w:val="auto"/>
          <w:szCs w:val="21"/>
          <w:highlight w:val="none"/>
        </w:rPr>
        <w:t>及第二章“响应须知”的相关规定给予一定的价格折扣。</w:t>
      </w:r>
    </w:p>
    <w:p w14:paraId="1E1DD96F">
      <w:pPr>
        <w:keepNext w:val="0"/>
        <w:keepLines w:val="0"/>
        <w:adjustRightInd w:val="0"/>
        <w:snapToGrid w:val="0"/>
        <w:spacing w:before="120" w:beforeLines="50" w:after="0" w:line="336" w:lineRule="auto"/>
        <w:ind w:firstLine="482"/>
        <w:outlineLvl w:val="9"/>
        <w:rPr>
          <w:rFonts w:hint="eastAsia" w:ascii="宋体" w:hAnsi="宋体" w:eastAsia="宋体" w:cs="宋体"/>
          <w:color w:val="auto"/>
          <w:sz w:val="24"/>
          <w:szCs w:val="24"/>
          <w:highlight w:val="none"/>
        </w:rPr>
      </w:pPr>
      <w:bookmarkStart w:id="22" w:name="_Toc39092078"/>
      <w:r>
        <w:rPr>
          <w:rFonts w:hint="eastAsia" w:ascii="宋体" w:hAnsi="宋体" w:eastAsia="宋体" w:cs="宋体"/>
          <w:bCs w:val="0"/>
          <w:color w:val="auto"/>
          <w:sz w:val="24"/>
          <w:szCs w:val="24"/>
          <w:highlight w:val="none"/>
        </w:rPr>
        <w:t>7．</w:t>
      </w:r>
      <w:r>
        <w:rPr>
          <w:rFonts w:hint="eastAsia" w:ascii="宋体" w:hAnsi="宋体" w:eastAsia="宋体" w:cs="宋体"/>
          <w:color w:val="auto"/>
          <w:sz w:val="24"/>
          <w:szCs w:val="24"/>
          <w:highlight w:val="none"/>
        </w:rPr>
        <w:t>推荐</w:t>
      </w:r>
      <w:bookmarkEnd w:id="22"/>
      <w:r>
        <w:rPr>
          <w:rFonts w:hint="eastAsia" w:ascii="宋体" w:hAnsi="宋体" w:eastAsia="宋体" w:cs="宋体"/>
          <w:color w:val="auto"/>
          <w:sz w:val="24"/>
          <w:szCs w:val="24"/>
          <w:highlight w:val="none"/>
        </w:rPr>
        <w:t>成交候选供应商</w:t>
      </w:r>
    </w:p>
    <w:p w14:paraId="7A2B29E6">
      <w:pPr>
        <w:adjustRightInd w:val="0"/>
        <w:snapToGrid w:val="0"/>
        <w:spacing w:before="120" w:beforeLines="50" w:line="336" w:lineRule="auto"/>
        <w:ind w:firstLine="420" w:firstLineChars="200"/>
        <w:jc w:val="left"/>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综合评分法：评审结果按评审后得分由高到低顺序排列。得分相同的，按磋商报价由低到高顺序排列。得分且磋商报价相同的并列，按</w:t>
      </w:r>
      <w:r>
        <w:rPr>
          <w:rFonts w:hint="eastAsia" w:ascii="宋体" w:hAnsi="宋体" w:eastAsia="宋体" w:cs="宋体"/>
          <w:b/>
          <w:bCs/>
          <w:color w:val="auto"/>
          <w:szCs w:val="21"/>
          <w:highlight w:val="none"/>
        </w:rPr>
        <w:t>【评审办法及标准前附表】</w:t>
      </w:r>
      <w:r>
        <w:rPr>
          <w:rFonts w:hint="eastAsia" w:ascii="宋体" w:hAnsi="宋体" w:eastAsia="宋体" w:cs="宋体"/>
          <w:bCs/>
          <w:color w:val="auto"/>
          <w:szCs w:val="21"/>
          <w:highlight w:val="none"/>
        </w:rPr>
        <w:t>规定的方式确定成交供应商；磋商文件未规定的，采取随机抽取的方式确定。</w:t>
      </w:r>
    </w:p>
    <w:p w14:paraId="64F34DB2">
      <w:pPr>
        <w:keepNext w:val="0"/>
        <w:keepLines w:val="0"/>
        <w:adjustRightInd w:val="0"/>
        <w:snapToGrid w:val="0"/>
        <w:spacing w:before="120" w:beforeLines="50" w:after="0" w:line="336" w:lineRule="auto"/>
        <w:ind w:firstLine="482"/>
        <w:outlineLvl w:val="9"/>
        <w:rPr>
          <w:rFonts w:hint="eastAsia" w:ascii="宋体" w:hAnsi="宋体" w:eastAsia="宋体" w:cs="宋体"/>
          <w:color w:val="auto"/>
          <w:sz w:val="24"/>
          <w:szCs w:val="24"/>
          <w:highlight w:val="none"/>
        </w:rPr>
      </w:pPr>
      <w:bookmarkStart w:id="23" w:name="_Toc39092079"/>
      <w:r>
        <w:rPr>
          <w:rFonts w:hint="eastAsia" w:ascii="宋体" w:hAnsi="宋体" w:eastAsia="宋体" w:cs="宋体"/>
          <w:bCs w:val="0"/>
          <w:color w:val="auto"/>
          <w:sz w:val="24"/>
          <w:szCs w:val="24"/>
          <w:highlight w:val="none"/>
        </w:rPr>
        <w:t>8．</w:t>
      </w:r>
      <w:r>
        <w:rPr>
          <w:rFonts w:hint="eastAsia" w:ascii="宋体" w:hAnsi="宋体" w:eastAsia="宋体" w:cs="宋体"/>
          <w:color w:val="auto"/>
          <w:sz w:val="24"/>
          <w:szCs w:val="24"/>
          <w:highlight w:val="none"/>
        </w:rPr>
        <w:t>编写评审报告</w:t>
      </w:r>
      <w:bookmarkEnd w:id="23"/>
    </w:p>
    <w:p w14:paraId="64F88A4A">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8.1磋商小组根据全体评审成员的原始评审记录和评审结果编写评审报告。</w:t>
      </w:r>
    </w:p>
    <w:p w14:paraId="2DDE36EA">
      <w:pPr>
        <w:adjustRightInd w:val="0"/>
        <w:snapToGrid w:val="0"/>
        <w:spacing w:before="120" w:beforeLines="50" w:line="336" w:lineRule="auto"/>
        <w:ind w:firstLine="420" w:firstLineChars="200"/>
        <w:jc w:val="left"/>
        <w:outlineLvl w:val="9"/>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8.2</w:t>
      </w:r>
      <w:r>
        <w:rPr>
          <w:rFonts w:hint="eastAsia" w:ascii="宋体" w:hAnsi="宋体" w:eastAsia="宋体" w:cs="宋体"/>
          <w:bCs/>
          <w:color w:val="auto"/>
          <w:szCs w:val="21"/>
          <w:highlight w:val="none"/>
        </w:rPr>
        <w:t>磋商小组成员对需要共同认定的事项存在争议的，应当按照少数服从多数的原则作出结论。持不同意见的磋商小组成员应当在评审报告上签署不同意见及理由，否则视为同意评审报告。</w:t>
      </w:r>
    </w:p>
    <w:p w14:paraId="40ED766A">
      <w:pPr>
        <w:keepNext w:val="0"/>
        <w:keepLines w:val="0"/>
        <w:adjustRightInd w:val="0"/>
        <w:snapToGrid w:val="0"/>
        <w:spacing w:before="120" w:beforeLines="50" w:after="0" w:line="336" w:lineRule="auto"/>
        <w:ind w:firstLine="482"/>
        <w:outlineLvl w:val="9"/>
        <w:rPr>
          <w:rFonts w:hint="eastAsia" w:ascii="宋体" w:hAnsi="宋体" w:eastAsia="宋体" w:cs="宋体"/>
          <w:bCs w:val="0"/>
          <w:color w:val="auto"/>
          <w:sz w:val="24"/>
          <w:szCs w:val="24"/>
          <w:highlight w:val="none"/>
        </w:rPr>
      </w:pPr>
      <w:bookmarkStart w:id="24" w:name="_Toc39092080"/>
      <w:r>
        <w:rPr>
          <w:rFonts w:hint="eastAsia" w:ascii="宋体" w:hAnsi="宋体" w:eastAsia="宋体" w:cs="宋体"/>
          <w:bCs w:val="0"/>
          <w:color w:val="auto"/>
          <w:sz w:val="24"/>
          <w:szCs w:val="24"/>
          <w:highlight w:val="none"/>
        </w:rPr>
        <w:t>9．</w:t>
      </w:r>
      <w:r>
        <w:rPr>
          <w:rFonts w:hint="eastAsia" w:ascii="宋体" w:hAnsi="宋体" w:eastAsia="宋体" w:cs="宋体"/>
          <w:color w:val="auto"/>
          <w:sz w:val="24"/>
          <w:szCs w:val="24"/>
          <w:highlight w:val="none"/>
        </w:rPr>
        <w:t>评审报告</w:t>
      </w:r>
      <w:r>
        <w:rPr>
          <w:rFonts w:hint="eastAsia" w:ascii="宋体" w:hAnsi="宋体" w:eastAsia="宋体" w:cs="宋体"/>
          <w:bCs w:val="0"/>
          <w:color w:val="auto"/>
          <w:sz w:val="24"/>
          <w:szCs w:val="24"/>
          <w:highlight w:val="none"/>
        </w:rPr>
        <w:t>复核</w:t>
      </w:r>
      <w:bookmarkEnd w:id="24"/>
    </w:p>
    <w:p w14:paraId="70E49E51">
      <w:pPr>
        <w:adjustRightInd w:val="0"/>
        <w:snapToGrid w:val="0"/>
        <w:spacing w:before="120" w:beforeLines="50" w:line="336" w:lineRule="auto"/>
        <w:ind w:firstLine="420" w:firstLineChars="200"/>
        <w:jc w:val="left"/>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9.1汇总结束后，磋商小组应当进行复核，特别要对拟推荐为成交候选供应商的、报价最低的、响应文件被认定为无效的进行重点复核。</w:t>
      </w:r>
    </w:p>
    <w:p w14:paraId="0D9A7327">
      <w:pPr>
        <w:adjustRightInd w:val="0"/>
        <w:snapToGrid w:val="0"/>
        <w:spacing w:before="120" w:beforeLines="50" w:line="336" w:lineRule="auto"/>
        <w:ind w:firstLine="420" w:firstLineChars="200"/>
        <w:jc w:val="left"/>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9.2汇总完成后，除下列情形外，任何人不得修改评审结果：</w:t>
      </w:r>
    </w:p>
    <w:p w14:paraId="79405E08">
      <w:pPr>
        <w:adjustRightInd w:val="0"/>
        <w:snapToGrid w:val="0"/>
        <w:spacing w:before="120" w:beforeLines="50" w:line="336"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（1）资格性检查认定错误；</w:t>
      </w:r>
    </w:p>
    <w:p w14:paraId="356441F5">
      <w:pPr>
        <w:adjustRightInd w:val="0"/>
        <w:snapToGrid w:val="0"/>
        <w:spacing w:before="120" w:beforeLines="50" w:line="336"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（2）分值汇总计算错误的；</w:t>
      </w:r>
    </w:p>
    <w:p w14:paraId="624320F4">
      <w:pPr>
        <w:adjustRightInd w:val="0"/>
        <w:snapToGrid w:val="0"/>
        <w:spacing w:before="120" w:beforeLines="50" w:line="336"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（3）分项评分超出评分标准范围的；</w:t>
      </w:r>
    </w:p>
    <w:p w14:paraId="44541F62">
      <w:pPr>
        <w:adjustRightInd w:val="0"/>
        <w:snapToGrid w:val="0"/>
        <w:spacing w:before="120" w:beforeLines="50" w:line="336"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（4）磋商小组成员对客观评审因素评分不一致的；</w:t>
      </w:r>
    </w:p>
    <w:p w14:paraId="6A44DE45">
      <w:pPr>
        <w:adjustRightInd w:val="0"/>
        <w:snapToGrid w:val="0"/>
        <w:spacing w:before="120" w:beforeLines="50" w:line="336"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（5）经磋商小组认定评分畸高、畸低的。</w:t>
      </w:r>
    </w:p>
    <w:p w14:paraId="6F0FFDF1">
      <w:pPr>
        <w:adjustRightInd w:val="0"/>
        <w:snapToGrid w:val="0"/>
        <w:spacing w:before="120" w:beforeLines="50" w:line="336" w:lineRule="auto"/>
        <w:ind w:firstLine="420" w:firstLineChars="200"/>
        <w:jc w:val="left"/>
        <w:outlineLvl w:val="9"/>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9.3评审报告签署前，经复核发现存在以上情形之一的，磋商小组应当当场修改评审结果，并在评审报告中记载；评审报告签署后，采购人或者采购代理机构发现存在以上情形之一的，应当组织原磋商小组进行重新评审。重新评审改变评审结果的，书面报告本级财政部门。</w:t>
      </w:r>
    </w:p>
    <w:p w14:paraId="538DF093">
      <w:pPr>
        <w:keepNext w:val="0"/>
        <w:keepLines w:val="0"/>
        <w:adjustRightInd w:val="0"/>
        <w:snapToGrid w:val="0"/>
        <w:spacing w:before="120" w:beforeLines="50" w:after="0" w:line="336" w:lineRule="auto"/>
        <w:ind w:firstLine="482"/>
        <w:outlineLvl w:val="9"/>
        <w:rPr>
          <w:rFonts w:hint="eastAsia" w:ascii="宋体" w:hAnsi="宋体" w:eastAsia="宋体" w:cs="宋体"/>
          <w:bCs w:val="0"/>
          <w:color w:val="auto"/>
          <w:sz w:val="24"/>
          <w:szCs w:val="24"/>
          <w:highlight w:val="none"/>
        </w:rPr>
      </w:pPr>
      <w:bookmarkStart w:id="25" w:name="_Toc39092081"/>
      <w:r>
        <w:rPr>
          <w:rFonts w:hint="eastAsia" w:ascii="宋体" w:hAnsi="宋体" w:eastAsia="宋体" w:cs="宋体"/>
          <w:color w:val="auto"/>
          <w:sz w:val="24"/>
          <w:szCs w:val="24"/>
          <w:highlight w:val="none"/>
        </w:rPr>
        <w:t>10．</w:t>
      </w:r>
      <w:r>
        <w:rPr>
          <w:rFonts w:hint="eastAsia" w:ascii="宋体" w:hAnsi="宋体" w:eastAsia="宋体" w:cs="宋体"/>
          <w:bCs w:val="0"/>
          <w:color w:val="auto"/>
          <w:sz w:val="24"/>
          <w:szCs w:val="24"/>
          <w:highlight w:val="none"/>
        </w:rPr>
        <w:t>停止</w:t>
      </w:r>
      <w:bookmarkEnd w:id="25"/>
      <w:r>
        <w:rPr>
          <w:rFonts w:hint="eastAsia" w:ascii="宋体" w:hAnsi="宋体" w:eastAsia="宋体" w:cs="宋体"/>
          <w:bCs w:val="0"/>
          <w:color w:val="auto"/>
          <w:sz w:val="24"/>
          <w:szCs w:val="24"/>
          <w:highlight w:val="none"/>
        </w:rPr>
        <w:t>评审</w:t>
      </w:r>
    </w:p>
    <w:p w14:paraId="07531225">
      <w:pPr>
        <w:adjustRightInd w:val="0"/>
        <w:snapToGrid w:val="0"/>
        <w:spacing w:before="120" w:beforeLines="50" w:line="336"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10.1</w:t>
      </w:r>
      <w:r>
        <w:rPr>
          <w:rFonts w:hint="eastAsia" w:ascii="宋体" w:hAnsi="宋体" w:eastAsia="宋体" w:cs="宋体"/>
          <w:color w:val="auto"/>
          <w:kern w:val="0"/>
          <w:szCs w:val="21"/>
          <w:highlight w:val="none"/>
        </w:rPr>
        <w:t>磋商小组发现磋商文件存在歧义、重大缺陷导致评审工作无法进行，或者磋商文件内容违反国家有关强制性规定的，应当停止评审工作，与采购人、采购代理机构沟通并作书面记录。采购人、采购代理机构确认后，应当修改磋商文件，重新组织采购活动。</w:t>
      </w:r>
    </w:p>
    <w:p w14:paraId="18EBC7A5">
      <w:pPr>
        <w:adjustRightInd w:val="0"/>
        <w:snapToGrid w:val="0"/>
        <w:spacing w:before="120" w:beforeLines="50" w:line="336" w:lineRule="auto"/>
        <w:ind w:firstLine="482"/>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11.废标</w:t>
      </w:r>
    </w:p>
    <w:p w14:paraId="2856D33E">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 根据有关法律法规和磋商文件的有关规定，如出现下列情况之一的，应予以废标：</w:t>
      </w:r>
    </w:p>
    <w:p w14:paraId="25F2C43F">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（1）符合专业条件的供应商或者对磋商文件作实质响应的供应商不足的；</w:t>
      </w:r>
    </w:p>
    <w:p w14:paraId="6D5F6CBE">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（2）出现影响采购公正的违法、违规行为的；</w:t>
      </w:r>
    </w:p>
    <w:p w14:paraId="00DB9649">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（3）供应商的报价均超过采购人项目采购预算，采购人不能支付的；</w:t>
      </w:r>
    </w:p>
    <w:p w14:paraId="0321194F">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（4）因重大变故，采购任务取消的。</w:t>
      </w:r>
    </w:p>
    <w:p w14:paraId="27D49450">
      <w:pPr>
        <w:keepNext w:val="0"/>
        <w:keepLines w:val="0"/>
        <w:adjustRightInd w:val="0"/>
        <w:snapToGrid w:val="0"/>
        <w:spacing w:before="120" w:beforeLines="50" w:after="0" w:line="336" w:lineRule="auto"/>
        <w:ind w:firstLine="482"/>
        <w:outlineLvl w:val="9"/>
        <w:rPr>
          <w:rFonts w:hint="eastAsia" w:ascii="宋体" w:hAnsi="宋体" w:eastAsia="宋体" w:cs="宋体"/>
          <w:bCs w:val="0"/>
          <w:color w:val="auto"/>
          <w:sz w:val="24"/>
          <w:szCs w:val="24"/>
          <w:highlight w:val="none"/>
        </w:rPr>
      </w:pPr>
      <w:bookmarkStart w:id="26" w:name="_Toc39092082"/>
      <w:r>
        <w:rPr>
          <w:rFonts w:hint="eastAsia" w:ascii="宋体" w:hAnsi="宋体" w:eastAsia="宋体" w:cs="宋体"/>
          <w:color w:val="auto"/>
          <w:kern w:val="0"/>
          <w:sz w:val="24"/>
          <w:szCs w:val="24"/>
          <w:highlight w:val="none"/>
        </w:rPr>
        <w:t>12．重新组建磋商小组进行</w:t>
      </w:r>
      <w:bookmarkEnd w:id="26"/>
      <w:r>
        <w:rPr>
          <w:rFonts w:hint="eastAsia" w:ascii="宋体" w:hAnsi="宋体" w:eastAsia="宋体" w:cs="宋体"/>
          <w:color w:val="auto"/>
          <w:kern w:val="0"/>
          <w:sz w:val="24"/>
          <w:szCs w:val="24"/>
          <w:highlight w:val="none"/>
        </w:rPr>
        <w:t>评审</w:t>
      </w:r>
    </w:p>
    <w:p w14:paraId="214A9146">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12.1磋商小组或者其成员存在下列情形导致评审结果无效的，采购人、采购代理机构可以重新组建磋商小组进行评审，并书面报告本级财政部门，但采购合同已经履行的除外：</w:t>
      </w:r>
    </w:p>
    <w:p w14:paraId="44B3EB35">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（1）磋商小组组成不符合《政府采购竞争性磋商采购方式管理暂行办法》规定的；</w:t>
      </w:r>
    </w:p>
    <w:p w14:paraId="455317FF">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（2）磋商小组及其成员独立评审受到非法干预的；</w:t>
      </w:r>
    </w:p>
    <w:p w14:paraId="1FCC7B96">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（3）有政府采购法实施条例第七十五条规定的违法行为的。</w:t>
      </w:r>
    </w:p>
    <w:p w14:paraId="02ADFD31">
      <w:pPr>
        <w:adjustRightInd w:val="0"/>
        <w:snapToGrid w:val="0"/>
        <w:spacing w:before="120" w:beforeLines="50" w:line="336"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12.2有违法违规行为的原磋商小组成员不得参加重新组建的磋商小组。</w:t>
      </w:r>
    </w:p>
    <w:p w14:paraId="67D6F027">
      <w:pPr>
        <w:pStyle w:val="2"/>
        <w:outlineLvl w:val="9"/>
        <w:rPr>
          <w:color w:val="auto"/>
          <w:highlight w:val="none"/>
        </w:rPr>
      </w:pPr>
    </w:p>
    <w:p w14:paraId="3BC80095">
      <w:pPr>
        <w:pStyle w:val="2"/>
        <w:outlineLvl w:val="9"/>
        <w:rPr>
          <w:color w:val="auto"/>
          <w:highlight w:val="none"/>
        </w:rPr>
      </w:pPr>
    </w:p>
    <w:p w14:paraId="02CB1AA4">
      <w:pPr>
        <w:pStyle w:val="2"/>
        <w:outlineLvl w:val="9"/>
        <w:rPr>
          <w:color w:val="auto"/>
          <w:highlight w:val="none"/>
        </w:rPr>
      </w:pPr>
    </w:p>
    <w:p w14:paraId="44C9B622">
      <w:pPr>
        <w:pStyle w:val="2"/>
        <w:outlineLvl w:val="9"/>
        <w:rPr>
          <w:color w:val="auto"/>
          <w:highlight w:val="none"/>
        </w:rPr>
      </w:pPr>
    </w:p>
    <w:p w14:paraId="095D04CF">
      <w:pPr>
        <w:pStyle w:val="2"/>
        <w:outlineLvl w:val="9"/>
        <w:rPr>
          <w:color w:val="auto"/>
          <w:highlight w:val="none"/>
        </w:rPr>
      </w:pPr>
    </w:p>
    <w:p w14:paraId="508E2422">
      <w:pPr>
        <w:pStyle w:val="2"/>
        <w:outlineLvl w:val="9"/>
        <w:rPr>
          <w:color w:val="auto"/>
          <w:highlight w:val="none"/>
        </w:rPr>
      </w:pPr>
    </w:p>
    <w:p w14:paraId="780D0942">
      <w:pPr>
        <w:pStyle w:val="2"/>
        <w:outlineLvl w:val="9"/>
        <w:rPr>
          <w:color w:val="auto"/>
          <w:highlight w:val="none"/>
        </w:rPr>
      </w:pPr>
    </w:p>
    <w:p w14:paraId="06CEDAA7">
      <w:pPr>
        <w:pStyle w:val="4"/>
        <w:outlineLvl w:val="9"/>
        <w:rPr>
          <w:color w:val="auto"/>
          <w:highlight w:val="none"/>
        </w:rPr>
      </w:pPr>
    </w:p>
    <w:p w14:paraId="0D013BD6">
      <w:pPr>
        <w:outlineLvl w:val="9"/>
        <w:rPr>
          <w:color w:val="auto"/>
          <w:highlight w:val="none"/>
        </w:rPr>
      </w:pPr>
    </w:p>
    <w:p w14:paraId="5673A4B4">
      <w:pPr>
        <w:pStyle w:val="2"/>
        <w:outlineLvl w:val="9"/>
      </w:pPr>
    </w:p>
    <w:p w14:paraId="2729322C">
      <w:pPr>
        <w:pStyle w:val="2"/>
        <w:outlineLvl w:val="9"/>
        <w:rPr>
          <w:color w:val="auto"/>
          <w:highlight w:val="none"/>
        </w:rPr>
      </w:pPr>
    </w:p>
    <w:p w14:paraId="6B442DA3">
      <w:pPr>
        <w:pStyle w:val="2"/>
        <w:ind w:left="0" w:leftChars="0" w:firstLine="0" w:firstLineChars="0"/>
        <w:outlineLvl w:val="9"/>
        <w:rPr>
          <w:color w:val="auto"/>
          <w:highlight w:val="none"/>
        </w:rPr>
      </w:pPr>
    </w:p>
    <w:p w14:paraId="3197B077">
      <w:pPr>
        <w:adjustRightInd w:val="0"/>
        <w:snapToGrid w:val="0"/>
        <w:spacing w:line="360" w:lineRule="auto"/>
        <w:ind w:firstLine="562"/>
        <w:jc w:val="center"/>
        <w:outlineLvl w:val="1"/>
        <w:rPr>
          <w:rFonts w:hint="eastAsia" w:ascii="宋体" w:hAnsi="宋体" w:eastAsia="宋体" w:cs="宋体"/>
          <w:b/>
          <w:color w:val="auto"/>
          <w:sz w:val="28"/>
          <w:szCs w:val="28"/>
          <w:highlight w:val="none"/>
        </w:rPr>
      </w:pPr>
      <w:bookmarkStart w:id="27" w:name="_Toc27785"/>
      <w:r>
        <w:rPr>
          <w:rFonts w:hint="eastAsia" w:ascii="宋体" w:hAnsi="宋体" w:eastAsia="宋体" w:cs="宋体"/>
          <w:b/>
          <w:color w:val="auto"/>
          <w:sz w:val="28"/>
          <w:szCs w:val="28"/>
          <w:highlight w:val="none"/>
        </w:rPr>
        <w:t>第三节  响应文件的资格性审查</w:t>
      </w:r>
      <w:bookmarkEnd w:id="27"/>
    </w:p>
    <w:p w14:paraId="23598E96">
      <w:pPr>
        <w:pageBreakBefore w:val="0"/>
        <w:widowControl w:val="0"/>
        <w:kinsoku/>
        <w:wordWrap/>
        <w:overflowPunct/>
        <w:topLinePunct w:val="0"/>
        <w:autoSpaceDE/>
        <w:autoSpaceDN/>
        <w:bidi w:val="0"/>
        <w:adjustRightInd w:val="0"/>
        <w:snapToGrid w:val="0"/>
        <w:spacing w:before="0" w:after="0" w:line="324" w:lineRule="auto"/>
        <w:ind w:firstLine="482"/>
        <w:textAlignment w:val="auto"/>
        <w:outlineLvl w:val="9"/>
        <w:rPr>
          <w:rFonts w:hint="eastAsia" w:ascii="宋体" w:hAnsi="宋体" w:eastAsia="宋体" w:cs="宋体"/>
          <w:color w:val="auto"/>
          <w:sz w:val="24"/>
          <w:szCs w:val="24"/>
          <w:highlight w:val="none"/>
        </w:rPr>
      </w:pPr>
      <w:bookmarkStart w:id="28" w:name="_Toc39092067"/>
      <w:r>
        <w:rPr>
          <w:rFonts w:hint="eastAsia" w:ascii="宋体" w:hAnsi="宋体" w:eastAsia="宋体" w:cs="宋体"/>
          <w:color w:val="auto"/>
          <w:sz w:val="24"/>
          <w:szCs w:val="24"/>
          <w:highlight w:val="none"/>
        </w:rPr>
        <w:t>1．资格审查主体</w:t>
      </w:r>
      <w:bookmarkEnd w:id="28"/>
    </w:p>
    <w:p w14:paraId="3DBFE3AA">
      <w:pPr>
        <w:pageBreakBefore w:val="0"/>
        <w:widowControl w:val="0"/>
        <w:kinsoku/>
        <w:wordWrap/>
        <w:overflowPunct/>
        <w:topLinePunct w:val="0"/>
        <w:autoSpaceDE/>
        <w:autoSpaceDN/>
        <w:bidi w:val="0"/>
        <w:adjustRightInd w:val="0"/>
        <w:snapToGrid w:val="0"/>
        <w:spacing w:line="324" w:lineRule="auto"/>
        <w:ind w:firstLine="417" w:firstLineChars="199"/>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1.1资格审查主体：采购人及代理公司。</w:t>
      </w:r>
    </w:p>
    <w:p w14:paraId="058DBC11">
      <w:pPr>
        <w:pageBreakBefore w:val="0"/>
        <w:widowControl w:val="0"/>
        <w:kinsoku/>
        <w:wordWrap/>
        <w:overflowPunct/>
        <w:topLinePunct w:val="0"/>
        <w:autoSpaceDE/>
        <w:autoSpaceDN/>
        <w:bidi w:val="0"/>
        <w:adjustRightInd w:val="0"/>
        <w:snapToGrid w:val="0"/>
        <w:spacing w:before="0" w:after="0" w:line="324" w:lineRule="auto"/>
        <w:ind w:firstLine="482"/>
        <w:textAlignment w:val="auto"/>
        <w:outlineLvl w:val="9"/>
        <w:rPr>
          <w:rFonts w:hint="eastAsia" w:ascii="宋体" w:hAnsi="宋体" w:eastAsia="宋体" w:cs="宋体"/>
          <w:color w:val="auto"/>
          <w:sz w:val="24"/>
          <w:szCs w:val="24"/>
          <w:highlight w:val="none"/>
        </w:rPr>
      </w:pPr>
      <w:bookmarkStart w:id="29" w:name="_Toc39092068"/>
      <w:r>
        <w:rPr>
          <w:rFonts w:hint="eastAsia" w:ascii="宋体" w:hAnsi="宋体" w:eastAsia="宋体" w:cs="宋体"/>
          <w:color w:val="auto"/>
          <w:sz w:val="24"/>
          <w:szCs w:val="24"/>
          <w:highlight w:val="none"/>
        </w:rPr>
        <w:t>2．资格审查</w:t>
      </w:r>
      <w:bookmarkEnd w:id="29"/>
    </w:p>
    <w:p w14:paraId="29747A58">
      <w:pPr>
        <w:pageBreakBefore w:val="0"/>
        <w:widowControl w:val="0"/>
        <w:kinsoku/>
        <w:wordWrap/>
        <w:overflowPunct/>
        <w:topLinePunct w:val="0"/>
        <w:autoSpaceDE/>
        <w:autoSpaceDN/>
        <w:bidi w:val="0"/>
        <w:adjustRightInd w:val="0"/>
        <w:snapToGrid w:val="0"/>
        <w:spacing w:line="324" w:lineRule="auto"/>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2.1资格审查依据法律法规和磋商文件的规定，对响应文件中的磋商保证金、磋商报价等进行审查，以确定供应商是否具备响应资格。</w:t>
      </w:r>
    </w:p>
    <w:p w14:paraId="74865536">
      <w:pPr>
        <w:pageBreakBefore w:val="0"/>
        <w:widowControl w:val="0"/>
        <w:kinsoku/>
        <w:wordWrap/>
        <w:overflowPunct/>
        <w:topLinePunct w:val="0"/>
        <w:autoSpaceDE/>
        <w:autoSpaceDN/>
        <w:bidi w:val="0"/>
        <w:adjustRightInd w:val="0"/>
        <w:snapToGrid w:val="0"/>
        <w:spacing w:line="324" w:lineRule="auto"/>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2.2在资格审查时，供应商存在下列情况之一的，资格审查不合格，其响应无效：</w:t>
      </w:r>
    </w:p>
    <w:p w14:paraId="607FF140">
      <w:pPr>
        <w:pageBreakBefore w:val="0"/>
        <w:widowControl w:val="0"/>
        <w:kinsoku/>
        <w:wordWrap/>
        <w:overflowPunct/>
        <w:topLinePunct w:val="0"/>
        <w:autoSpaceDE/>
        <w:autoSpaceDN/>
        <w:bidi w:val="0"/>
        <w:adjustRightInd w:val="0"/>
        <w:snapToGrid w:val="0"/>
        <w:spacing w:line="324" w:lineRule="auto"/>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（1）不具备磋商文件中规定的资格要求的，或提交的响应文件不符合磋商文件要求的；</w:t>
      </w:r>
    </w:p>
    <w:p w14:paraId="27570F2D">
      <w:pPr>
        <w:pageBreakBefore w:val="0"/>
        <w:widowControl w:val="0"/>
        <w:kinsoku/>
        <w:wordWrap/>
        <w:overflowPunct/>
        <w:topLinePunct w:val="0"/>
        <w:autoSpaceDE/>
        <w:autoSpaceDN/>
        <w:bidi w:val="0"/>
        <w:adjustRightInd w:val="0"/>
        <w:snapToGrid w:val="0"/>
        <w:spacing w:line="324" w:lineRule="auto"/>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（2）联合体响应未提交联合体协议书，或未提交联合体各方响应文件的；</w:t>
      </w:r>
    </w:p>
    <w:p w14:paraId="51EDEC8A">
      <w:pPr>
        <w:pageBreakBefore w:val="0"/>
        <w:widowControl w:val="0"/>
        <w:kinsoku/>
        <w:wordWrap/>
        <w:overflowPunct/>
        <w:topLinePunct w:val="0"/>
        <w:autoSpaceDE/>
        <w:autoSpaceDN/>
        <w:bidi w:val="0"/>
        <w:adjustRightInd w:val="0"/>
        <w:snapToGrid w:val="0"/>
        <w:spacing w:line="324" w:lineRule="auto"/>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（3）响应文件未按照磋商文件要求进行签署、盖章的；</w:t>
      </w:r>
    </w:p>
    <w:p w14:paraId="2F985701">
      <w:pPr>
        <w:pageBreakBefore w:val="0"/>
        <w:widowControl w:val="0"/>
        <w:kinsoku/>
        <w:wordWrap/>
        <w:overflowPunct/>
        <w:topLinePunct w:val="0"/>
        <w:autoSpaceDE/>
        <w:autoSpaceDN/>
        <w:bidi w:val="0"/>
        <w:adjustRightInd w:val="0"/>
        <w:snapToGrid w:val="0"/>
        <w:spacing w:line="324" w:lineRule="auto"/>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（4）未按照磋商文件的规定提交磋商保证金的。</w:t>
      </w:r>
    </w:p>
    <w:p w14:paraId="024E9849">
      <w:pPr>
        <w:pageBreakBefore w:val="0"/>
        <w:widowControl w:val="0"/>
        <w:kinsoku/>
        <w:wordWrap/>
        <w:overflowPunct/>
        <w:topLinePunct w:val="0"/>
        <w:autoSpaceDE/>
        <w:autoSpaceDN/>
        <w:bidi w:val="0"/>
        <w:adjustRightInd w:val="0"/>
        <w:snapToGrid w:val="0"/>
        <w:spacing w:line="324" w:lineRule="auto"/>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（5）磋商报价超过磋商文件中规定的预算金额或者最高限价的；</w:t>
      </w:r>
    </w:p>
    <w:p w14:paraId="1C34D09C">
      <w:pPr>
        <w:pageBreakBefore w:val="0"/>
        <w:widowControl w:val="0"/>
        <w:kinsoku/>
        <w:wordWrap/>
        <w:overflowPunct/>
        <w:topLinePunct w:val="0"/>
        <w:autoSpaceDE/>
        <w:autoSpaceDN/>
        <w:bidi w:val="0"/>
        <w:adjustRightInd w:val="0"/>
        <w:snapToGrid w:val="0"/>
        <w:spacing w:line="324" w:lineRule="auto"/>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（6）法律、法规和磋商文件规定的其他响应无效情形的。</w:t>
      </w:r>
    </w:p>
    <w:p w14:paraId="3133AAF8">
      <w:pPr>
        <w:pageBreakBefore w:val="0"/>
        <w:widowControl w:val="0"/>
        <w:kinsoku/>
        <w:wordWrap/>
        <w:overflowPunct/>
        <w:topLinePunct w:val="0"/>
        <w:autoSpaceDE/>
        <w:autoSpaceDN/>
        <w:bidi w:val="0"/>
        <w:adjustRightInd w:val="0"/>
        <w:snapToGrid w:val="0"/>
        <w:spacing w:line="324" w:lineRule="auto"/>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2.3信用记录。资格审查时，磋商小组将对供应商信用记录进行甄别。</w:t>
      </w:r>
    </w:p>
    <w:p w14:paraId="2632C2B6">
      <w:pPr>
        <w:pageBreakBefore w:val="0"/>
        <w:widowControl w:val="0"/>
        <w:kinsoku/>
        <w:wordWrap/>
        <w:overflowPunct/>
        <w:topLinePunct w:val="0"/>
        <w:autoSpaceDE/>
        <w:autoSpaceDN/>
        <w:bidi w:val="0"/>
        <w:adjustRightInd w:val="0"/>
        <w:snapToGrid w:val="0"/>
        <w:spacing w:line="324" w:lineRule="auto"/>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（1）信用信息查询的查询渠道：信用中国网（www.creditchina.gov.cn）、中国湖南政府采购网（www.ccgp.gov.cn）；</w:t>
      </w:r>
    </w:p>
    <w:p w14:paraId="04649910">
      <w:pPr>
        <w:pageBreakBefore w:val="0"/>
        <w:widowControl w:val="0"/>
        <w:kinsoku/>
        <w:wordWrap/>
        <w:overflowPunct/>
        <w:topLinePunct w:val="0"/>
        <w:autoSpaceDE/>
        <w:autoSpaceDN/>
        <w:bidi w:val="0"/>
        <w:adjustRightInd w:val="0"/>
        <w:snapToGrid w:val="0"/>
        <w:spacing w:line="324" w:lineRule="auto"/>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良信用记录是指：供应商在“信用中国”网站被列入失信被执行人和重大税收违法案件当事人名单，或在“中国湖南政府采购网”网站被列入政府采购严重违法失信行为记录名单。供应商有上述不良信用记录的，其响应无效，其中，列入政府采购严重违法失信行为记录名单的，按处罚结果执行。</w:t>
      </w:r>
    </w:p>
    <w:p w14:paraId="22509F3B">
      <w:pPr>
        <w:pageBreakBefore w:val="0"/>
        <w:widowControl w:val="0"/>
        <w:kinsoku/>
        <w:wordWrap/>
        <w:overflowPunct/>
        <w:topLinePunct w:val="0"/>
        <w:autoSpaceDE/>
        <w:autoSpaceDN/>
        <w:bidi w:val="0"/>
        <w:adjustRightInd w:val="0"/>
        <w:snapToGrid w:val="0"/>
        <w:spacing w:line="324" w:lineRule="auto"/>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（3）联合体形式响应的，联合体成员存在不良信用记录的，视同联合体存在不良信用记录。</w:t>
      </w:r>
    </w:p>
    <w:p w14:paraId="09F9588E">
      <w:pPr>
        <w:pageBreakBefore w:val="0"/>
        <w:widowControl w:val="0"/>
        <w:kinsoku/>
        <w:wordWrap/>
        <w:overflowPunct/>
        <w:topLinePunct w:val="0"/>
        <w:autoSpaceDE/>
        <w:autoSpaceDN/>
        <w:bidi w:val="0"/>
        <w:adjustRightInd w:val="0"/>
        <w:snapToGrid w:val="0"/>
        <w:spacing w:line="324" w:lineRule="auto"/>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（4）信用信息查询记录和证据留存具体方式：采购人、采购代理机构经办人将查询网页截图、打印、签字，作为查询记录和证据，与其他采购文件一并保存。供应商不良信用记录查询结果为准。</w:t>
      </w:r>
    </w:p>
    <w:p w14:paraId="3DC6E2F4">
      <w:pPr>
        <w:pageBreakBefore w:val="0"/>
        <w:widowControl w:val="0"/>
        <w:kinsoku/>
        <w:wordWrap/>
        <w:overflowPunct/>
        <w:topLinePunct w:val="0"/>
        <w:autoSpaceDE/>
        <w:autoSpaceDN/>
        <w:bidi w:val="0"/>
        <w:adjustRightInd w:val="0"/>
        <w:snapToGrid w:val="0"/>
        <w:spacing w:before="0" w:after="0" w:line="324" w:lineRule="auto"/>
        <w:ind w:firstLine="482"/>
        <w:textAlignment w:val="auto"/>
        <w:outlineLvl w:val="9"/>
        <w:rPr>
          <w:rFonts w:hint="eastAsia" w:ascii="宋体" w:hAnsi="宋体" w:eastAsia="宋体" w:cs="宋体"/>
          <w:color w:val="auto"/>
          <w:sz w:val="24"/>
          <w:szCs w:val="24"/>
          <w:highlight w:val="none"/>
        </w:rPr>
      </w:pPr>
      <w:bookmarkStart w:id="30" w:name="_Toc39092069"/>
      <w:r>
        <w:rPr>
          <w:rFonts w:hint="eastAsia" w:ascii="宋体" w:hAnsi="宋体" w:eastAsia="宋体" w:cs="宋体"/>
          <w:color w:val="auto"/>
          <w:sz w:val="24"/>
          <w:szCs w:val="24"/>
          <w:highlight w:val="none"/>
        </w:rPr>
        <w:t>3．资格审查结果</w:t>
      </w:r>
      <w:bookmarkEnd w:id="30"/>
    </w:p>
    <w:p w14:paraId="11FD7A4B">
      <w:pPr>
        <w:pageBreakBefore w:val="0"/>
        <w:widowControl w:val="0"/>
        <w:kinsoku/>
        <w:wordWrap/>
        <w:overflowPunct/>
        <w:topLinePunct w:val="0"/>
        <w:autoSpaceDE/>
        <w:autoSpaceDN/>
        <w:bidi w:val="0"/>
        <w:adjustRightInd w:val="0"/>
        <w:snapToGrid w:val="0"/>
        <w:spacing w:line="324" w:lineRule="auto"/>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3.1未通过资格审查的供应商，磋商小组应当告知其未通过的原因。</w:t>
      </w:r>
    </w:p>
    <w:p w14:paraId="444945F2">
      <w:pPr>
        <w:pageBreakBefore w:val="0"/>
        <w:widowControl w:val="0"/>
        <w:kinsoku/>
        <w:wordWrap/>
        <w:overflowPunct/>
        <w:topLinePunct w:val="0"/>
        <w:autoSpaceDE/>
        <w:autoSpaceDN/>
        <w:bidi w:val="0"/>
        <w:adjustRightInd w:val="0"/>
        <w:snapToGrid w:val="0"/>
        <w:spacing w:line="324" w:lineRule="auto"/>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3.2 未通过符合性审查的供应商，其将被认定为响应无效，不能进入下一阶段评审。通过资格性审查的供应商数量不足 3 家的，不得作进一步的比较和评价。</w:t>
      </w:r>
    </w:p>
    <w:p w14:paraId="4A0D1F51">
      <w:pPr>
        <w:pageBreakBefore w:val="0"/>
        <w:widowControl w:val="0"/>
        <w:kinsoku/>
        <w:wordWrap/>
        <w:overflowPunct/>
        <w:topLinePunct w:val="0"/>
        <w:autoSpaceDE/>
        <w:autoSpaceDN/>
        <w:bidi w:val="0"/>
        <w:adjustRightInd w:val="0"/>
        <w:snapToGrid w:val="0"/>
        <w:spacing w:before="0" w:after="0" w:line="324" w:lineRule="auto"/>
        <w:ind w:firstLine="482"/>
        <w:textAlignment w:val="auto"/>
        <w:outlineLvl w:val="9"/>
        <w:rPr>
          <w:rFonts w:hint="eastAsia" w:ascii="宋体" w:hAnsi="宋体" w:eastAsia="宋体" w:cs="宋体"/>
          <w:color w:val="auto"/>
          <w:sz w:val="24"/>
          <w:szCs w:val="24"/>
          <w:highlight w:val="none"/>
        </w:rPr>
      </w:pPr>
      <w:bookmarkStart w:id="31" w:name="_Toc20651209"/>
      <w:r>
        <w:rPr>
          <w:rFonts w:hint="eastAsia" w:ascii="宋体" w:hAnsi="宋体" w:eastAsia="宋体" w:cs="宋体"/>
          <w:color w:val="auto"/>
          <w:sz w:val="24"/>
          <w:szCs w:val="24"/>
          <w:highlight w:val="none"/>
        </w:rPr>
        <w:t>4．其他</w:t>
      </w:r>
      <w:bookmarkEnd w:id="31"/>
    </w:p>
    <w:p w14:paraId="74774E6C">
      <w:pPr>
        <w:pageBreakBefore w:val="0"/>
        <w:widowControl w:val="0"/>
        <w:kinsoku/>
        <w:wordWrap/>
        <w:overflowPunct/>
        <w:topLinePunct w:val="0"/>
        <w:autoSpaceDE/>
        <w:autoSpaceDN/>
        <w:bidi w:val="0"/>
        <w:adjustRightInd w:val="0"/>
        <w:snapToGrid w:val="0"/>
        <w:spacing w:line="324" w:lineRule="auto"/>
        <w:ind w:firstLine="420" w:firstLineChars="200"/>
        <w:jc w:val="left"/>
        <w:textAlignment w:val="auto"/>
        <w:outlineLvl w:val="9"/>
        <w:rPr>
          <w:rFonts w:hint="eastAsia" w:ascii="宋体" w:hAnsi="宋体" w:eastAsia="宋体" w:cs="宋体"/>
          <w:color w:val="auto"/>
          <w:szCs w:val="21"/>
          <w:highlight w:val="none"/>
        </w:rPr>
        <w:sectPr>
          <w:pgSz w:w="11906" w:h="16838"/>
          <w:pgMar w:top="1440" w:right="1800" w:bottom="1440" w:left="1800" w:header="567" w:footer="283" w:gutter="0"/>
          <w:paperSrc w:first="1" w:other="1"/>
          <w:pgNumType w:fmt="decimal"/>
          <w:cols w:space="720" w:num="1"/>
          <w:docGrid w:linePitch="312" w:charSpace="0"/>
        </w:sectPr>
      </w:pPr>
      <w:r>
        <w:rPr>
          <w:rFonts w:hint="eastAsia" w:ascii="宋体" w:hAnsi="宋体" w:eastAsia="宋体" w:cs="宋体"/>
          <w:color w:val="auto"/>
          <w:szCs w:val="21"/>
          <w:highlight w:val="none"/>
        </w:rPr>
        <w:t>4.1 资格审查合格的供应商在提交最后报价的截止时间前资格发生变化的，应当通知采购人、采购代理机构，并按新情况更新或补充其在递交响应文件时提供的证明资料，以证实其各项资格条件仍能继续满足磋商文件的要求。</w:t>
      </w:r>
    </w:p>
    <w:p w14:paraId="200889EF">
      <w:pPr>
        <w:adjustRightInd w:val="0"/>
        <w:snapToGrid w:val="0"/>
        <w:spacing w:before="120" w:beforeLines="50" w:line="360" w:lineRule="auto"/>
        <w:ind w:firstLine="422"/>
        <w:jc w:val="left"/>
        <w:outlineLvl w:val="2"/>
        <w:rPr>
          <w:rFonts w:hint="eastAsia" w:ascii="宋体" w:hAnsi="宋体" w:eastAsia="宋体" w:cs="宋体"/>
          <w:b/>
          <w:bCs/>
          <w:color w:val="auto"/>
          <w:szCs w:val="21"/>
          <w:highlight w:val="none"/>
        </w:rPr>
      </w:pPr>
      <w:bookmarkStart w:id="32" w:name="_Toc8191"/>
      <w:r>
        <w:rPr>
          <w:rFonts w:hint="eastAsia" w:ascii="宋体" w:hAnsi="宋体" w:eastAsia="宋体" w:cs="宋体"/>
          <w:b/>
          <w:bCs/>
          <w:color w:val="auto"/>
          <w:szCs w:val="21"/>
          <w:highlight w:val="none"/>
        </w:rPr>
        <w:t>附表1资格审查表</w:t>
      </w:r>
      <w:bookmarkEnd w:id="32"/>
    </w:p>
    <w:p w14:paraId="02A063AE">
      <w:pPr>
        <w:adjustRightInd w:val="0"/>
        <w:snapToGrid w:val="0"/>
        <w:spacing w:line="360" w:lineRule="auto"/>
        <w:ind w:firstLine="562"/>
        <w:jc w:val="cente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资格性审查表</w:t>
      </w:r>
    </w:p>
    <w:p w14:paraId="5E1CB31F">
      <w:pPr>
        <w:adjustRightInd w:val="0"/>
        <w:snapToGrid w:val="0"/>
        <w:spacing w:line="360" w:lineRule="auto"/>
        <w:outlineLvl w:val="9"/>
        <w:rPr>
          <w:rFonts w:hint="eastAsia" w:ascii="宋体" w:hAnsi="宋体" w:eastAsia="宋体" w:cs="宋体"/>
          <w:color w:val="auto"/>
          <w:sz w:val="28"/>
          <w:szCs w:val="28"/>
          <w:highlight w:val="none"/>
        </w:rPr>
      </w:pPr>
      <w:r>
        <w:rPr>
          <w:rFonts w:hint="eastAsia" w:ascii="宋体" w:hAnsi="宋体" w:eastAsia="宋体" w:cs="宋体"/>
          <w:color w:val="auto"/>
          <w:szCs w:val="21"/>
          <w:highlight w:val="none"/>
        </w:rPr>
        <w:t>项目名称：                      采购代理编号：              包号：</w:t>
      </w:r>
    </w:p>
    <w:tbl>
      <w:tblPr>
        <w:tblStyle w:val="31"/>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5380"/>
        <w:gridCol w:w="2997"/>
      </w:tblGrid>
      <w:tr w14:paraId="2BF758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vAlign w:val="center"/>
          </w:tcPr>
          <w:p w14:paraId="0E108CDA">
            <w:pPr>
              <w:adjustRightInd w:val="0"/>
              <w:snapToGrid w:val="0"/>
              <w:spacing w:before="120" w:beforeLines="50" w:line="360" w:lineRule="auto"/>
              <w:jc w:val="both"/>
              <w:outlineLvl w:val="9"/>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5380" w:type="dxa"/>
            <w:vAlign w:val="center"/>
          </w:tcPr>
          <w:p w14:paraId="2BF8307B">
            <w:pPr>
              <w:adjustRightInd w:val="0"/>
              <w:snapToGrid w:val="0"/>
              <w:spacing w:before="120" w:beforeLines="50" w:line="360" w:lineRule="auto"/>
              <w:ind w:firstLine="422"/>
              <w:jc w:val="center"/>
              <w:outlineLvl w:val="9"/>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审查项目</w:t>
            </w:r>
          </w:p>
        </w:tc>
        <w:tc>
          <w:tcPr>
            <w:tcW w:w="2997" w:type="dxa"/>
            <w:vAlign w:val="center"/>
          </w:tcPr>
          <w:p w14:paraId="6B68BBBE">
            <w:pPr>
              <w:adjustRightInd w:val="0"/>
              <w:snapToGrid w:val="0"/>
              <w:spacing w:before="120" w:beforeLines="50" w:line="360" w:lineRule="auto"/>
              <w:ind w:firstLine="422"/>
              <w:jc w:val="center"/>
              <w:outlineLvl w:val="9"/>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审查标准</w:t>
            </w:r>
          </w:p>
        </w:tc>
      </w:tr>
      <w:tr w14:paraId="525EBE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5" w:hRule="atLeast"/>
        </w:trPr>
        <w:tc>
          <w:tcPr>
            <w:tcW w:w="683" w:type="dxa"/>
            <w:vAlign w:val="center"/>
          </w:tcPr>
          <w:p w14:paraId="4B162575">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5380" w:type="dxa"/>
          </w:tcPr>
          <w:p w14:paraId="2BA7DECF">
            <w:pPr>
              <w:adjustRightInd w:val="0"/>
              <w:snapToGrid w:val="0"/>
              <w:spacing w:before="120" w:beforeLines="50" w:line="360" w:lineRule="auto"/>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具备磋商文件中规定的资格要求的，提交的响应文件符合磋商文件要求的；</w:t>
            </w:r>
          </w:p>
        </w:tc>
        <w:tc>
          <w:tcPr>
            <w:tcW w:w="2997" w:type="dxa"/>
            <w:vAlign w:val="center"/>
          </w:tcPr>
          <w:p w14:paraId="621B74DA">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第二章第3.1款</w:t>
            </w:r>
          </w:p>
        </w:tc>
      </w:tr>
      <w:tr w14:paraId="470D03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7B50B58">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5380" w:type="dxa"/>
          </w:tcPr>
          <w:p w14:paraId="1780F900">
            <w:pPr>
              <w:adjustRightInd w:val="0"/>
              <w:snapToGrid w:val="0"/>
              <w:spacing w:before="120" w:beforeLines="50" w:line="360" w:lineRule="auto"/>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联合体响应提交联合体协议书，提交联合体各方响应文件的；</w:t>
            </w:r>
          </w:p>
        </w:tc>
        <w:tc>
          <w:tcPr>
            <w:tcW w:w="2997" w:type="dxa"/>
            <w:vAlign w:val="center"/>
          </w:tcPr>
          <w:p w14:paraId="49DD3A29">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第二章第6.1款</w:t>
            </w:r>
          </w:p>
        </w:tc>
      </w:tr>
      <w:tr w14:paraId="6405B3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94B04DC">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5380" w:type="dxa"/>
          </w:tcPr>
          <w:p w14:paraId="2E0645D6">
            <w:pPr>
              <w:adjustRightInd w:val="0"/>
              <w:snapToGrid w:val="0"/>
              <w:spacing w:before="120" w:beforeLines="50" w:line="360" w:lineRule="auto"/>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响应文件按照磋商文件要求进行签名、盖章的</w:t>
            </w:r>
          </w:p>
        </w:tc>
        <w:tc>
          <w:tcPr>
            <w:tcW w:w="2997" w:type="dxa"/>
            <w:vAlign w:val="center"/>
          </w:tcPr>
          <w:p w14:paraId="41B1FB62">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第二章第21款</w:t>
            </w:r>
          </w:p>
        </w:tc>
      </w:tr>
      <w:tr w14:paraId="608208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9D2409C">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5380" w:type="dxa"/>
          </w:tcPr>
          <w:p w14:paraId="22058F45">
            <w:pPr>
              <w:adjustRightInd w:val="0"/>
              <w:snapToGrid w:val="0"/>
              <w:spacing w:before="120" w:beforeLines="50" w:line="360" w:lineRule="auto"/>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磋商报价未超过磋商文件中规定的预算金额或者最高限价的</w:t>
            </w:r>
          </w:p>
        </w:tc>
        <w:tc>
          <w:tcPr>
            <w:tcW w:w="2997" w:type="dxa"/>
            <w:vAlign w:val="center"/>
          </w:tcPr>
          <w:p w14:paraId="4A560170">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第二章第16.4款</w:t>
            </w:r>
          </w:p>
        </w:tc>
      </w:tr>
      <w:tr w14:paraId="296959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78AC052">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5380" w:type="dxa"/>
          </w:tcPr>
          <w:p w14:paraId="210111DC">
            <w:pPr>
              <w:adjustRightInd w:val="0"/>
              <w:snapToGrid w:val="0"/>
              <w:spacing w:before="120" w:beforeLines="50" w:line="360" w:lineRule="auto"/>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不属于法律、法规和磋商文件规定的其他响应无效情形的</w:t>
            </w:r>
          </w:p>
        </w:tc>
        <w:tc>
          <w:tcPr>
            <w:tcW w:w="2997" w:type="dxa"/>
            <w:vAlign w:val="center"/>
          </w:tcPr>
          <w:p w14:paraId="4116F95E">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第二章第42.1款</w:t>
            </w:r>
          </w:p>
        </w:tc>
      </w:tr>
      <w:tr w14:paraId="518432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9A7C2DA">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5380" w:type="dxa"/>
          </w:tcPr>
          <w:p w14:paraId="43EAFECF">
            <w:pPr>
              <w:adjustRightInd w:val="0"/>
              <w:snapToGrid w:val="0"/>
              <w:spacing w:before="120" w:beforeLines="50" w:line="360" w:lineRule="auto"/>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997" w:type="dxa"/>
            <w:vAlign w:val="center"/>
          </w:tcPr>
          <w:p w14:paraId="293E2E55">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r>
      <w:tr w14:paraId="191FE3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063" w:type="dxa"/>
            <w:gridSpan w:val="2"/>
            <w:vAlign w:val="center"/>
          </w:tcPr>
          <w:p w14:paraId="57894E2B">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结论</w:t>
            </w:r>
          </w:p>
        </w:tc>
        <w:tc>
          <w:tcPr>
            <w:tcW w:w="2997" w:type="dxa"/>
            <w:vAlign w:val="center"/>
          </w:tcPr>
          <w:p w14:paraId="49889DF0">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合格/不合格</w:t>
            </w:r>
          </w:p>
        </w:tc>
      </w:tr>
    </w:tbl>
    <w:p w14:paraId="776BFFA8">
      <w:pPr>
        <w:outlineLvl w:val="9"/>
        <w:rPr>
          <w:rFonts w:hint="eastAsia" w:ascii="宋体" w:hAnsi="宋体" w:eastAsia="宋体" w:cs="宋体"/>
          <w:color w:val="auto"/>
          <w:highlight w:val="none"/>
        </w:rPr>
      </w:pPr>
    </w:p>
    <w:p w14:paraId="053BD961">
      <w:pPr>
        <w:widowControl/>
        <w:ind w:firstLine="422"/>
        <w:jc w:val="left"/>
        <w:outlineLvl w:val="9"/>
        <w:rPr>
          <w:rFonts w:hint="eastAsia" w:ascii="宋体" w:hAnsi="宋体" w:eastAsia="宋体" w:cs="宋体"/>
          <w:bCs/>
          <w:color w:val="auto"/>
          <w:szCs w:val="21"/>
          <w:highlight w:val="none"/>
        </w:rPr>
      </w:pPr>
      <w:r>
        <w:rPr>
          <w:rFonts w:hint="eastAsia" w:ascii="宋体" w:hAnsi="宋体" w:eastAsia="宋体" w:cs="宋体"/>
          <w:b/>
          <w:color w:val="auto"/>
          <w:szCs w:val="21"/>
          <w:highlight w:val="none"/>
        </w:rPr>
        <w:br w:type="page"/>
      </w:r>
    </w:p>
    <w:p w14:paraId="640F0FC4">
      <w:pPr>
        <w:adjustRightInd w:val="0"/>
        <w:snapToGrid w:val="0"/>
        <w:spacing w:before="0" w:after="0" w:line="360" w:lineRule="auto"/>
        <w:ind w:firstLine="422"/>
        <w:outlineLvl w:val="2"/>
        <w:rPr>
          <w:rFonts w:hint="eastAsia" w:ascii="宋体" w:hAnsi="宋体" w:eastAsia="宋体" w:cs="宋体"/>
          <w:b/>
          <w:bCs/>
          <w:color w:val="auto"/>
          <w:sz w:val="21"/>
          <w:szCs w:val="21"/>
          <w:highlight w:val="none"/>
        </w:rPr>
      </w:pPr>
      <w:bookmarkStart w:id="33" w:name="_Toc29619"/>
      <w:bookmarkStart w:id="34" w:name="_Toc22806618"/>
      <w:bookmarkStart w:id="35" w:name="_Toc24447"/>
      <w:bookmarkStart w:id="36" w:name="_Toc18782"/>
      <w:r>
        <w:rPr>
          <w:rFonts w:hint="eastAsia" w:ascii="宋体" w:hAnsi="宋体" w:eastAsia="宋体" w:cs="宋体"/>
          <w:b/>
          <w:bCs/>
          <w:color w:val="auto"/>
          <w:sz w:val="21"/>
          <w:szCs w:val="21"/>
          <w:highlight w:val="none"/>
        </w:rPr>
        <w:t>附表2 资格审查结果一览表</w:t>
      </w:r>
      <w:bookmarkEnd w:id="33"/>
      <w:bookmarkEnd w:id="34"/>
      <w:bookmarkEnd w:id="35"/>
      <w:bookmarkEnd w:id="36"/>
    </w:p>
    <w:p w14:paraId="30DCAE84">
      <w:pPr>
        <w:outlineLvl w:val="9"/>
        <w:rPr>
          <w:color w:val="auto"/>
          <w:highlight w:val="none"/>
        </w:rPr>
      </w:pPr>
    </w:p>
    <w:p w14:paraId="1D1FCF67">
      <w:pPr>
        <w:adjustRightInd w:val="0"/>
        <w:snapToGrid w:val="0"/>
        <w:spacing w:line="360" w:lineRule="auto"/>
        <w:ind w:firstLine="562"/>
        <w:jc w:val="cente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资格性审查结果一览表</w:t>
      </w:r>
    </w:p>
    <w:p w14:paraId="686466E6">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                        采购代理编号：            包号：</w:t>
      </w:r>
    </w:p>
    <w:tbl>
      <w:tblPr>
        <w:tblStyle w:val="31"/>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22C8DE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14:paraId="6ECC8681">
            <w:pPr>
              <w:ind w:firstLine="422"/>
              <w:jc w:val="center"/>
              <w:outlineLvl w:val="9"/>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2963" w:type="dxa"/>
            <w:vAlign w:val="center"/>
          </w:tcPr>
          <w:p w14:paraId="3750F3DB">
            <w:pPr>
              <w:ind w:firstLine="422"/>
              <w:jc w:val="center"/>
              <w:outlineLvl w:val="9"/>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供应商名称</w:t>
            </w:r>
          </w:p>
        </w:tc>
        <w:tc>
          <w:tcPr>
            <w:tcW w:w="2439" w:type="dxa"/>
            <w:vAlign w:val="center"/>
          </w:tcPr>
          <w:p w14:paraId="37A7EF1A">
            <w:pPr>
              <w:ind w:firstLine="422"/>
              <w:jc w:val="center"/>
              <w:outlineLvl w:val="9"/>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资格审查结果</w:t>
            </w:r>
          </w:p>
          <w:p w14:paraId="408C8A6B">
            <w:pPr>
              <w:ind w:firstLine="422"/>
              <w:jc w:val="center"/>
              <w:outlineLvl w:val="9"/>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（合格/不合格）</w:t>
            </w:r>
          </w:p>
        </w:tc>
        <w:tc>
          <w:tcPr>
            <w:tcW w:w="2961" w:type="dxa"/>
            <w:vAlign w:val="center"/>
          </w:tcPr>
          <w:p w14:paraId="6AA6F9C5">
            <w:pPr>
              <w:ind w:firstLine="422"/>
              <w:jc w:val="center"/>
              <w:outlineLvl w:val="9"/>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资格审查不合格原因</w:t>
            </w:r>
          </w:p>
        </w:tc>
      </w:tr>
      <w:tr w14:paraId="12B1A7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F1339BD">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3" w:type="dxa"/>
          </w:tcPr>
          <w:p w14:paraId="6F9AC58C">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439" w:type="dxa"/>
          </w:tcPr>
          <w:p w14:paraId="1F998D6A">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1" w:type="dxa"/>
          </w:tcPr>
          <w:p w14:paraId="60D2D13B">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2DF083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46D8574">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3" w:type="dxa"/>
          </w:tcPr>
          <w:p w14:paraId="38A58C9B">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439" w:type="dxa"/>
          </w:tcPr>
          <w:p w14:paraId="420FEB81">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1" w:type="dxa"/>
          </w:tcPr>
          <w:p w14:paraId="77CA7B7E">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0EBC64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EF12FD8">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3" w:type="dxa"/>
          </w:tcPr>
          <w:p w14:paraId="05C55EB8">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439" w:type="dxa"/>
          </w:tcPr>
          <w:p w14:paraId="7FCF6606">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1" w:type="dxa"/>
          </w:tcPr>
          <w:p w14:paraId="5289E253">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014F9E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C6BD7E9">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3" w:type="dxa"/>
          </w:tcPr>
          <w:p w14:paraId="0046E46F">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439" w:type="dxa"/>
          </w:tcPr>
          <w:p w14:paraId="3AB62142">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1" w:type="dxa"/>
          </w:tcPr>
          <w:p w14:paraId="7826BDE3">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6BBAEB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68764BB">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3" w:type="dxa"/>
          </w:tcPr>
          <w:p w14:paraId="73304CDF">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439" w:type="dxa"/>
          </w:tcPr>
          <w:p w14:paraId="1F0204BE">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1" w:type="dxa"/>
          </w:tcPr>
          <w:p w14:paraId="2B7CBF12">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2A8BAD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CE5D4C3">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3" w:type="dxa"/>
          </w:tcPr>
          <w:p w14:paraId="182030E8">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439" w:type="dxa"/>
          </w:tcPr>
          <w:p w14:paraId="2600F5B2">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1" w:type="dxa"/>
          </w:tcPr>
          <w:p w14:paraId="0DDE7719">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3BEBB2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B99981A">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3" w:type="dxa"/>
          </w:tcPr>
          <w:p w14:paraId="5E6D0CB6">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439" w:type="dxa"/>
          </w:tcPr>
          <w:p w14:paraId="188D9835">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1" w:type="dxa"/>
          </w:tcPr>
          <w:p w14:paraId="0B14E6EC">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48619B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C192BD4">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3" w:type="dxa"/>
          </w:tcPr>
          <w:p w14:paraId="4CB33ED4">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439" w:type="dxa"/>
          </w:tcPr>
          <w:p w14:paraId="137E2A8D">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1" w:type="dxa"/>
          </w:tcPr>
          <w:p w14:paraId="6A332D66">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29D01E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397DB49">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3" w:type="dxa"/>
          </w:tcPr>
          <w:p w14:paraId="53C47289">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439" w:type="dxa"/>
          </w:tcPr>
          <w:p w14:paraId="326AC4A4">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1" w:type="dxa"/>
          </w:tcPr>
          <w:p w14:paraId="45069D5F">
            <w:pPr>
              <w:adjustRightInd w:val="0"/>
              <w:snapToGrid w:val="0"/>
              <w:spacing w:line="360" w:lineRule="auto"/>
              <w:ind w:firstLine="480"/>
              <w:outlineLvl w:val="9"/>
              <w:rPr>
                <w:rFonts w:hint="eastAsia" w:ascii="宋体" w:hAnsi="宋体" w:eastAsia="宋体" w:cs="宋体"/>
                <w:color w:val="auto"/>
                <w:kern w:val="0"/>
                <w:sz w:val="24"/>
                <w:highlight w:val="none"/>
              </w:rPr>
            </w:pPr>
          </w:p>
        </w:tc>
      </w:tr>
    </w:tbl>
    <w:p w14:paraId="302FF2CB">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磋商小组全体成员（签字）：</w:t>
      </w:r>
    </w:p>
    <w:p w14:paraId="3A820FBE">
      <w:pPr>
        <w:adjustRightInd w:val="0"/>
        <w:snapToGrid w:val="0"/>
        <w:spacing w:before="120" w:beforeLines="50" w:line="360" w:lineRule="auto"/>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2AA2B621">
      <w:pPr>
        <w:adjustRightInd w:val="0"/>
        <w:snapToGrid w:val="0"/>
        <w:spacing w:before="120" w:beforeLines="50" w:line="360" w:lineRule="auto"/>
        <w:ind w:firstLine="420" w:firstLineChars="200"/>
        <w:jc w:val="left"/>
        <w:outlineLvl w:val="9"/>
        <w:rPr>
          <w:rFonts w:hint="eastAsia" w:ascii="宋体" w:hAnsi="宋体" w:eastAsia="宋体" w:cs="宋体"/>
          <w:color w:val="auto"/>
          <w:highlight w:val="none"/>
        </w:rPr>
      </w:pPr>
    </w:p>
    <w:p w14:paraId="3F31DC1E">
      <w:pPr>
        <w:adjustRightInd w:val="0"/>
        <w:snapToGrid w:val="0"/>
        <w:spacing w:before="120" w:beforeLines="50" w:line="360" w:lineRule="auto"/>
        <w:ind w:firstLine="420" w:firstLineChars="200"/>
        <w:jc w:val="left"/>
        <w:outlineLvl w:val="9"/>
        <w:rPr>
          <w:rFonts w:hint="eastAsia" w:ascii="宋体" w:hAnsi="宋体" w:eastAsia="宋体" w:cs="宋体"/>
          <w:color w:val="auto"/>
          <w:highlight w:val="none"/>
        </w:rPr>
      </w:pPr>
    </w:p>
    <w:p w14:paraId="76D6335A">
      <w:pPr>
        <w:adjustRightInd w:val="0"/>
        <w:snapToGrid w:val="0"/>
        <w:spacing w:before="120" w:beforeLines="50" w:line="360" w:lineRule="auto"/>
        <w:ind w:firstLine="420" w:firstLineChars="200"/>
        <w:jc w:val="left"/>
        <w:outlineLvl w:val="9"/>
        <w:rPr>
          <w:rFonts w:hint="eastAsia" w:ascii="宋体" w:hAnsi="宋体" w:eastAsia="宋体" w:cs="宋体"/>
          <w:color w:val="auto"/>
          <w:highlight w:val="none"/>
        </w:rPr>
      </w:pPr>
    </w:p>
    <w:p w14:paraId="127CF657">
      <w:pPr>
        <w:adjustRightInd w:val="0"/>
        <w:snapToGrid w:val="0"/>
        <w:spacing w:before="120" w:beforeLines="50" w:line="360" w:lineRule="auto"/>
        <w:ind w:firstLine="420" w:firstLineChars="200"/>
        <w:jc w:val="left"/>
        <w:outlineLvl w:val="9"/>
        <w:rPr>
          <w:rFonts w:hint="eastAsia" w:ascii="宋体" w:hAnsi="宋体" w:eastAsia="宋体" w:cs="宋体"/>
          <w:color w:val="auto"/>
          <w:highlight w:val="none"/>
        </w:rPr>
      </w:pPr>
    </w:p>
    <w:p w14:paraId="5F0317C8">
      <w:pPr>
        <w:adjustRightInd w:val="0"/>
        <w:snapToGrid w:val="0"/>
        <w:spacing w:before="120" w:beforeLines="50" w:line="360" w:lineRule="auto"/>
        <w:ind w:firstLine="420" w:firstLineChars="200"/>
        <w:jc w:val="left"/>
        <w:outlineLvl w:val="9"/>
        <w:rPr>
          <w:rFonts w:hint="eastAsia" w:ascii="宋体" w:hAnsi="宋体" w:eastAsia="宋体" w:cs="宋体"/>
          <w:color w:val="auto"/>
          <w:highlight w:val="none"/>
        </w:rPr>
      </w:pPr>
    </w:p>
    <w:p w14:paraId="14B44BFE">
      <w:pPr>
        <w:adjustRightInd w:val="0"/>
        <w:snapToGrid w:val="0"/>
        <w:spacing w:before="120" w:beforeLines="50" w:line="360" w:lineRule="auto"/>
        <w:ind w:firstLine="420" w:firstLineChars="200"/>
        <w:jc w:val="left"/>
        <w:outlineLvl w:val="9"/>
        <w:rPr>
          <w:rFonts w:hint="eastAsia" w:ascii="宋体" w:hAnsi="宋体" w:eastAsia="宋体" w:cs="宋体"/>
          <w:color w:val="auto"/>
          <w:highlight w:val="none"/>
        </w:rPr>
      </w:pPr>
    </w:p>
    <w:p w14:paraId="63D41E2C">
      <w:pPr>
        <w:adjustRightInd w:val="0"/>
        <w:snapToGrid w:val="0"/>
        <w:spacing w:before="120" w:beforeLines="50" w:line="360" w:lineRule="auto"/>
        <w:ind w:firstLine="420" w:firstLineChars="200"/>
        <w:jc w:val="left"/>
        <w:outlineLvl w:val="9"/>
        <w:rPr>
          <w:rFonts w:hint="eastAsia" w:ascii="宋体" w:hAnsi="宋体" w:eastAsia="宋体" w:cs="宋体"/>
          <w:color w:val="auto"/>
          <w:highlight w:val="none"/>
        </w:rPr>
      </w:pPr>
    </w:p>
    <w:p w14:paraId="5B966216">
      <w:pPr>
        <w:adjustRightInd w:val="0"/>
        <w:snapToGrid w:val="0"/>
        <w:spacing w:before="120" w:beforeLines="50" w:line="360" w:lineRule="auto"/>
        <w:ind w:firstLine="420" w:firstLineChars="200"/>
        <w:jc w:val="left"/>
        <w:outlineLvl w:val="9"/>
        <w:rPr>
          <w:rFonts w:hint="eastAsia" w:ascii="宋体" w:hAnsi="宋体" w:eastAsia="宋体" w:cs="宋体"/>
          <w:color w:val="auto"/>
          <w:highlight w:val="none"/>
        </w:rPr>
      </w:pPr>
    </w:p>
    <w:p w14:paraId="333DD99C">
      <w:pPr>
        <w:adjustRightInd w:val="0"/>
        <w:snapToGrid w:val="0"/>
        <w:spacing w:before="120" w:beforeLines="50" w:line="360" w:lineRule="auto"/>
        <w:ind w:firstLine="420" w:firstLineChars="200"/>
        <w:jc w:val="left"/>
        <w:outlineLvl w:val="9"/>
        <w:rPr>
          <w:rFonts w:hint="eastAsia" w:ascii="宋体" w:hAnsi="宋体" w:eastAsia="宋体" w:cs="宋体"/>
          <w:color w:val="auto"/>
          <w:highlight w:val="none"/>
        </w:rPr>
      </w:pPr>
    </w:p>
    <w:p w14:paraId="66D1F390">
      <w:pPr>
        <w:pStyle w:val="2"/>
        <w:outlineLvl w:val="9"/>
        <w:rPr>
          <w:rFonts w:hint="eastAsia" w:ascii="宋体" w:hAnsi="宋体" w:cs="宋体"/>
          <w:color w:val="auto"/>
          <w:highlight w:val="none"/>
        </w:rPr>
      </w:pPr>
    </w:p>
    <w:p w14:paraId="1F79B681">
      <w:pPr>
        <w:pStyle w:val="2"/>
        <w:outlineLvl w:val="9"/>
        <w:rPr>
          <w:rFonts w:hint="eastAsia" w:ascii="宋体" w:hAnsi="宋体" w:cs="宋体"/>
          <w:color w:val="auto"/>
          <w:highlight w:val="none"/>
        </w:rPr>
      </w:pPr>
    </w:p>
    <w:p w14:paraId="1B5B2884">
      <w:pPr>
        <w:pStyle w:val="2"/>
        <w:outlineLvl w:val="9"/>
        <w:rPr>
          <w:rFonts w:hint="eastAsia" w:ascii="宋体" w:hAnsi="宋体" w:cs="宋体"/>
          <w:color w:val="auto"/>
          <w:highlight w:val="none"/>
        </w:rPr>
      </w:pPr>
    </w:p>
    <w:p w14:paraId="132E0588">
      <w:pPr>
        <w:pStyle w:val="2"/>
        <w:outlineLvl w:val="9"/>
        <w:rPr>
          <w:rFonts w:hint="eastAsia" w:ascii="宋体" w:hAnsi="宋体" w:cs="宋体"/>
          <w:color w:val="auto"/>
          <w:highlight w:val="none"/>
        </w:rPr>
      </w:pPr>
    </w:p>
    <w:p w14:paraId="6796E102">
      <w:pPr>
        <w:pStyle w:val="2"/>
        <w:outlineLvl w:val="9"/>
        <w:rPr>
          <w:rFonts w:hint="eastAsia" w:ascii="宋体" w:hAnsi="宋体" w:cs="宋体"/>
          <w:color w:val="auto"/>
          <w:highlight w:val="none"/>
        </w:rPr>
      </w:pPr>
    </w:p>
    <w:p w14:paraId="2243092F">
      <w:pPr>
        <w:adjustRightInd w:val="0"/>
        <w:snapToGrid w:val="0"/>
        <w:spacing w:before="120" w:beforeLines="50" w:line="360" w:lineRule="auto"/>
        <w:ind w:firstLine="420" w:firstLineChars="200"/>
        <w:jc w:val="left"/>
        <w:outlineLvl w:val="9"/>
        <w:rPr>
          <w:rFonts w:hint="eastAsia" w:ascii="宋体" w:hAnsi="宋体" w:eastAsia="宋体" w:cs="宋体"/>
          <w:color w:val="auto"/>
          <w:highlight w:val="none"/>
        </w:rPr>
      </w:pPr>
    </w:p>
    <w:p w14:paraId="00C4026E">
      <w:pPr>
        <w:adjustRightInd w:val="0"/>
        <w:snapToGrid w:val="0"/>
        <w:spacing w:before="0" w:after="0" w:line="360" w:lineRule="auto"/>
        <w:ind w:firstLine="422"/>
        <w:outlineLvl w:val="2"/>
        <w:rPr>
          <w:rFonts w:hint="eastAsia" w:ascii="宋体" w:hAnsi="宋体" w:eastAsia="宋体" w:cs="宋体"/>
          <w:bCs w:val="0"/>
          <w:color w:val="auto"/>
          <w:sz w:val="21"/>
          <w:szCs w:val="21"/>
          <w:highlight w:val="none"/>
        </w:rPr>
      </w:pPr>
      <w:bookmarkStart w:id="37" w:name="_Toc30014"/>
      <w:bookmarkStart w:id="38" w:name="_Toc3917"/>
      <w:bookmarkStart w:id="39" w:name="_Toc22806619"/>
      <w:bookmarkStart w:id="40" w:name="_Toc32678"/>
      <w:r>
        <w:rPr>
          <w:rFonts w:hint="eastAsia" w:ascii="宋体" w:hAnsi="宋体" w:eastAsia="宋体" w:cs="宋体"/>
          <w:bCs w:val="0"/>
          <w:color w:val="auto"/>
          <w:sz w:val="21"/>
          <w:szCs w:val="21"/>
          <w:highlight w:val="none"/>
        </w:rPr>
        <w:t>附表3 资格审查合格供应商名单</w:t>
      </w:r>
      <w:bookmarkEnd w:id="37"/>
      <w:bookmarkEnd w:id="38"/>
      <w:bookmarkEnd w:id="39"/>
      <w:bookmarkEnd w:id="40"/>
    </w:p>
    <w:p w14:paraId="7A9DEBD5">
      <w:pPr>
        <w:outlineLvl w:val="9"/>
        <w:rPr>
          <w:color w:val="auto"/>
          <w:highlight w:val="none"/>
        </w:rPr>
      </w:pPr>
    </w:p>
    <w:p w14:paraId="176D3B3A">
      <w:pPr>
        <w:adjustRightInd w:val="0"/>
        <w:snapToGrid w:val="0"/>
        <w:spacing w:line="360" w:lineRule="auto"/>
        <w:ind w:firstLine="562"/>
        <w:jc w:val="cente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资格性审查合格供应商名单</w:t>
      </w:r>
    </w:p>
    <w:p w14:paraId="5485CDDA">
      <w:pPr>
        <w:adjustRightInd w:val="0"/>
        <w:snapToGrid w:val="0"/>
        <w:spacing w:line="360" w:lineRule="auto"/>
        <w:outlineLvl w:val="9"/>
        <w:rPr>
          <w:rFonts w:hint="eastAsia" w:ascii="宋体" w:hAnsi="宋体" w:eastAsia="宋体" w:cs="宋体"/>
          <w:color w:val="auto"/>
          <w:sz w:val="32"/>
          <w:szCs w:val="32"/>
          <w:highlight w:val="none"/>
        </w:rPr>
      </w:pPr>
      <w:r>
        <w:rPr>
          <w:rFonts w:hint="eastAsia" w:ascii="宋体" w:hAnsi="宋体" w:eastAsia="宋体" w:cs="宋体"/>
          <w:color w:val="auto"/>
          <w:szCs w:val="21"/>
          <w:highlight w:val="none"/>
        </w:rPr>
        <w:t>项目名称：                           采购代理编号：             包号：</w:t>
      </w:r>
    </w:p>
    <w:tbl>
      <w:tblPr>
        <w:tblStyle w:val="31"/>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7BCBED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7" w:hRule="atLeast"/>
        </w:trPr>
        <w:tc>
          <w:tcPr>
            <w:tcW w:w="993" w:type="dxa"/>
            <w:vAlign w:val="center"/>
          </w:tcPr>
          <w:p w14:paraId="2C36FD5D">
            <w:pPr>
              <w:jc w:val="center"/>
              <w:outlineLvl w:val="9"/>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7796" w:type="dxa"/>
            <w:vAlign w:val="center"/>
          </w:tcPr>
          <w:p w14:paraId="54A2921B">
            <w:pPr>
              <w:ind w:firstLine="422"/>
              <w:jc w:val="center"/>
              <w:outlineLvl w:val="9"/>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合格供应商名称</w:t>
            </w:r>
          </w:p>
        </w:tc>
      </w:tr>
      <w:tr w14:paraId="165C45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597367F3">
            <w:pPr>
              <w:adjustRightInd w:val="0"/>
              <w:snapToGrid w:val="0"/>
              <w:spacing w:line="360" w:lineRule="auto"/>
              <w:outlineLvl w:val="9"/>
              <w:rPr>
                <w:rFonts w:hint="eastAsia" w:ascii="宋体" w:hAnsi="宋体" w:eastAsia="宋体" w:cs="宋体"/>
                <w:color w:val="auto"/>
                <w:kern w:val="0"/>
                <w:szCs w:val="21"/>
                <w:highlight w:val="none"/>
              </w:rPr>
            </w:pPr>
          </w:p>
        </w:tc>
        <w:tc>
          <w:tcPr>
            <w:tcW w:w="7796" w:type="dxa"/>
          </w:tcPr>
          <w:p w14:paraId="3B67C0CD">
            <w:pPr>
              <w:adjustRightInd w:val="0"/>
              <w:snapToGrid w:val="0"/>
              <w:spacing w:line="360" w:lineRule="auto"/>
              <w:outlineLvl w:val="9"/>
              <w:rPr>
                <w:rFonts w:hint="eastAsia" w:ascii="宋体" w:hAnsi="宋体" w:eastAsia="宋体" w:cs="宋体"/>
                <w:color w:val="auto"/>
                <w:kern w:val="0"/>
                <w:szCs w:val="21"/>
                <w:highlight w:val="none"/>
              </w:rPr>
            </w:pPr>
          </w:p>
        </w:tc>
      </w:tr>
      <w:tr w14:paraId="3675E3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6CD1CF9F">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7796" w:type="dxa"/>
          </w:tcPr>
          <w:p w14:paraId="4817070A">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47EF36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639CC9B2">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7796" w:type="dxa"/>
          </w:tcPr>
          <w:p w14:paraId="10F2A6A1">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3489A5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3F130E94">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7796" w:type="dxa"/>
          </w:tcPr>
          <w:p w14:paraId="59232685">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248CF4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FA27390">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7796" w:type="dxa"/>
          </w:tcPr>
          <w:p w14:paraId="36382FC2">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04BDD1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4E7F4B5E">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7796" w:type="dxa"/>
          </w:tcPr>
          <w:p w14:paraId="047B2EC4">
            <w:pPr>
              <w:adjustRightInd w:val="0"/>
              <w:snapToGrid w:val="0"/>
              <w:spacing w:line="360" w:lineRule="auto"/>
              <w:ind w:firstLine="480"/>
              <w:outlineLvl w:val="9"/>
              <w:rPr>
                <w:rFonts w:hint="eastAsia" w:ascii="宋体" w:hAnsi="宋体" w:eastAsia="宋体" w:cs="宋体"/>
                <w:color w:val="auto"/>
                <w:kern w:val="0"/>
                <w:sz w:val="24"/>
                <w:highlight w:val="none"/>
              </w:rPr>
            </w:pPr>
          </w:p>
        </w:tc>
      </w:tr>
    </w:tbl>
    <w:p w14:paraId="012CFCDA">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磋商小组全体成员（签字）：</w:t>
      </w:r>
    </w:p>
    <w:p w14:paraId="35ECDDEF">
      <w:pPr>
        <w:adjustRightInd w:val="0"/>
        <w:snapToGrid w:val="0"/>
        <w:spacing w:line="360" w:lineRule="auto"/>
        <w:outlineLvl w:val="9"/>
        <w:rPr>
          <w:rFonts w:hint="eastAsia" w:ascii="宋体" w:hAnsi="宋体" w:eastAsia="宋体" w:cs="宋体"/>
          <w:bCs/>
          <w:color w:val="auto"/>
          <w:sz w:val="24"/>
          <w:highlight w:val="none"/>
        </w:rPr>
      </w:pPr>
      <w:r>
        <w:rPr>
          <w:rFonts w:hint="eastAsia" w:ascii="宋体" w:hAnsi="宋体" w:eastAsia="宋体" w:cs="宋体"/>
          <w:color w:val="auto"/>
          <w:szCs w:val="21"/>
          <w:highlight w:val="none"/>
        </w:rPr>
        <w:t>日期：  年  月  日</w:t>
      </w:r>
    </w:p>
    <w:p w14:paraId="5B0AF024">
      <w:pPr>
        <w:pStyle w:val="14"/>
        <w:adjustRightInd w:val="0"/>
        <w:snapToGrid w:val="0"/>
        <w:spacing w:line="360" w:lineRule="auto"/>
        <w:ind w:firstLine="643"/>
        <w:jc w:val="center"/>
        <w:outlineLvl w:val="9"/>
        <w:rPr>
          <w:rFonts w:hint="eastAsia" w:hAnsi="宋体" w:eastAsia="宋体" w:cs="宋体"/>
          <w:b/>
          <w:color w:val="auto"/>
          <w:sz w:val="32"/>
          <w:szCs w:val="32"/>
          <w:highlight w:val="none"/>
        </w:rPr>
      </w:pPr>
      <w:bookmarkStart w:id="41" w:name="_Toc39092070"/>
    </w:p>
    <w:p w14:paraId="4DAB83F9">
      <w:pPr>
        <w:pStyle w:val="14"/>
        <w:adjustRightInd w:val="0"/>
        <w:snapToGrid w:val="0"/>
        <w:spacing w:line="360" w:lineRule="auto"/>
        <w:ind w:firstLine="643"/>
        <w:jc w:val="center"/>
        <w:outlineLvl w:val="9"/>
        <w:rPr>
          <w:rFonts w:hint="eastAsia" w:hAnsi="宋体" w:eastAsia="宋体" w:cs="宋体"/>
          <w:b/>
          <w:color w:val="auto"/>
          <w:sz w:val="32"/>
          <w:szCs w:val="32"/>
          <w:highlight w:val="none"/>
        </w:rPr>
      </w:pPr>
    </w:p>
    <w:p w14:paraId="47F2BAB4">
      <w:pPr>
        <w:pStyle w:val="14"/>
        <w:adjustRightInd w:val="0"/>
        <w:snapToGrid w:val="0"/>
        <w:spacing w:line="360" w:lineRule="auto"/>
        <w:ind w:firstLine="643"/>
        <w:jc w:val="center"/>
        <w:outlineLvl w:val="9"/>
        <w:rPr>
          <w:rFonts w:hint="eastAsia" w:hAnsi="宋体" w:eastAsia="宋体" w:cs="宋体"/>
          <w:b/>
          <w:color w:val="auto"/>
          <w:sz w:val="32"/>
          <w:szCs w:val="32"/>
          <w:highlight w:val="none"/>
        </w:rPr>
      </w:pPr>
    </w:p>
    <w:p w14:paraId="45F15DA9">
      <w:pPr>
        <w:pStyle w:val="14"/>
        <w:adjustRightInd w:val="0"/>
        <w:snapToGrid w:val="0"/>
        <w:spacing w:line="360" w:lineRule="auto"/>
        <w:ind w:firstLine="643"/>
        <w:jc w:val="center"/>
        <w:outlineLvl w:val="9"/>
        <w:rPr>
          <w:rFonts w:hint="eastAsia" w:hAnsi="宋体" w:eastAsia="宋体" w:cs="宋体"/>
          <w:b/>
          <w:color w:val="auto"/>
          <w:sz w:val="32"/>
          <w:szCs w:val="32"/>
          <w:highlight w:val="none"/>
        </w:rPr>
      </w:pPr>
    </w:p>
    <w:p w14:paraId="57A3072B">
      <w:pPr>
        <w:pStyle w:val="14"/>
        <w:adjustRightInd w:val="0"/>
        <w:snapToGrid w:val="0"/>
        <w:spacing w:line="360" w:lineRule="auto"/>
        <w:ind w:firstLine="643"/>
        <w:jc w:val="center"/>
        <w:outlineLvl w:val="9"/>
        <w:rPr>
          <w:rFonts w:hint="eastAsia" w:hAnsi="宋体" w:eastAsia="宋体" w:cs="宋体"/>
          <w:b/>
          <w:color w:val="auto"/>
          <w:sz w:val="32"/>
          <w:szCs w:val="32"/>
          <w:highlight w:val="none"/>
        </w:rPr>
      </w:pPr>
    </w:p>
    <w:p w14:paraId="2456D03E">
      <w:pPr>
        <w:pStyle w:val="14"/>
        <w:adjustRightInd w:val="0"/>
        <w:snapToGrid w:val="0"/>
        <w:spacing w:line="360" w:lineRule="auto"/>
        <w:ind w:firstLine="643"/>
        <w:jc w:val="center"/>
        <w:outlineLvl w:val="9"/>
        <w:rPr>
          <w:rFonts w:hint="eastAsia" w:hAnsi="宋体" w:eastAsia="宋体" w:cs="宋体"/>
          <w:b/>
          <w:color w:val="auto"/>
          <w:sz w:val="32"/>
          <w:szCs w:val="32"/>
          <w:highlight w:val="none"/>
        </w:rPr>
      </w:pPr>
    </w:p>
    <w:p w14:paraId="317FA946">
      <w:pPr>
        <w:pStyle w:val="14"/>
        <w:adjustRightInd w:val="0"/>
        <w:snapToGrid w:val="0"/>
        <w:spacing w:line="360" w:lineRule="auto"/>
        <w:ind w:firstLine="643"/>
        <w:jc w:val="center"/>
        <w:outlineLvl w:val="9"/>
        <w:rPr>
          <w:rFonts w:hint="eastAsia" w:hAnsi="宋体" w:eastAsia="宋体" w:cs="宋体"/>
          <w:b/>
          <w:color w:val="auto"/>
          <w:sz w:val="32"/>
          <w:szCs w:val="32"/>
          <w:highlight w:val="none"/>
        </w:rPr>
      </w:pPr>
    </w:p>
    <w:p w14:paraId="098DB89A">
      <w:pPr>
        <w:pStyle w:val="14"/>
        <w:adjustRightInd w:val="0"/>
        <w:snapToGrid w:val="0"/>
        <w:spacing w:line="360" w:lineRule="auto"/>
        <w:ind w:firstLine="643"/>
        <w:jc w:val="center"/>
        <w:outlineLvl w:val="9"/>
        <w:rPr>
          <w:rFonts w:hint="eastAsia" w:hAnsi="宋体" w:eastAsia="宋体" w:cs="宋体"/>
          <w:b/>
          <w:color w:val="auto"/>
          <w:sz w:val="32"/>
          <w:szCs w:val="32"/>
          <w:highlight w:val="none"/>
        </w:rPr>
      </w:pPr>
    </w:p>
    <w:p w14:paraId="1CEF9B14">
      <w:pPr>
        <w:pStyle w:val="14"/>
        <w:adjustRightInd w:val="0"/>
        <w:snapToGrid w:val="0"/>
        <w:spacing w:line="360" w:lineRule="auto"/>
        <w:ind w:firstLine="643"/>
        <w:jc w:val="center"/>
        <w:outlineLvl w:val="9"/>
        <w:rPr>
          <w:rFonts w:hint="eastAsia" w:hAnsi="宋体" w:eastAsia="宋体" w:cs="宋体"/>
          <w:b/>
          <w:color w:val="auto"/>
          <w:sz w:val="32"/>
          <w:szCs w:val="32"/>
          <w:highlight w:val="none"/>
        </w:rPr>
      </w:pPr>
    </w:p>
    <w:p w14:paraId="2F1D0B69">
      <w:pPr>
        <w:pStyle w:val="14"/>
        <w:adjustRightInd w:val="0"/>
        <w:snapToGrid w:val="0"/>
        <w:spacing w:line="360" w:lineRule="auto"/>
        <w:ind w:firstLine="643"/>
        <w:jc w:val="center"/>
        <w:outlineLvl w:val="9"/>
        <w:rPr>
          <w:rFonts w:hint="eastAsia" w:hAnsi="宋体" w:eastAsia="宋体" w:cs="宋体"/>
          <w:b/>
          <w:color w:val="auto"/>
          <w:sz w:val="32"/>
          <w:szCs w:val="32"/>
          <w:highlight w:val="none"/>
        </w:rPr>
      </w:pPr>
    </w:p>
    <w:p w14:paraId="084B7704">
      <w:pPr>
        <w:pStyle w:val="14"/>
        <w:adjustRightInd w:val="0"/>
        <w:snapToGrid w:val="0"/>
        <w:spacing w:line="360" w:lineRule="auto"/>
        <w:ind w:firstLine="643"/>
        <w:jc w:val="center"/>
        <w:outlineLvl w:val="9"/>
        <w:rPr>
          <w:rFonts w:hint="eastAsia" w:hAnsi="宋体" w:eastAsia="宋体" w:cs="宋体"/>
          <w:b/>
          <w:color w:val="auto"/>
          <w:sz w:val="32"/>
          <w:szCs w:val="32"/>
          <w:highlight w:val="none"/>
        </w:rPr>
      </w:pPr>
    </w:p>
    <w:p w14:paraId="52218CF3">
      <w:pPr>
        <w:pStyle w:val="14"/>
        <w:adjustRightInd w:val="0"/>
        <w:snapToGrid w:val="0"/>
        <w:spacing w:line="360" w:lineRule="auto"/>
        <w:ind w:firstLine="643"/>
        <w:jc w:val="center"/>
        <w:outlineLvl w:val="9"/>
        <w:rPr>
          <w:rFonts w:hint="eastAsia" w:hAnsi="宋体" w:eastAsia="宋体" w:cs="宋体"/>
          <w:b/>
          <w:color w:val="auto"/>
          <w:sz w:val="32"/>
          <w:szCs w:val="32"/>
          <w:highlight w:val="none"/>
        </w:rPr>
      </w:pPr>
    </w:p>
    <w:bookmarkEnd w:id="41"/>
    <w:p w14:paraId="3129D0D6">
      <w:pPr>
        <w:adjustRightInd w:val="0"/>
        <w:snapToGrid w:val="0"/>
        <w:ind w:firstLine="562"/>
        <w:jc w:val="center"/>
        <w:outlineLvl w:val="1"/>
        <w:rPr>
          <w:rFonts w:hint="eastAsia" w:ascii="宋体" w:hAnsi="宋体" w:eastAsia="宋体" w:cs="宋体"/>
          <w:b/>
          <w:bCs/>
          <w:color w:val="auto"/>
          <w:sz w:val="28"/>
          <w:szCs w:val="28"/>
          <w:highlight w:val="none"/>
        </w:rPr>
      </w:pPr>
      <w:bookmarkStart w:id="42" w:name="_Toc39092083"/>
      <w:bookmarkStart w:id="43" w:name="_Toc3215"/>
      <w:r>
        <w:rPr>
          <w:rFonts w:hint="eastAsia" w:ascii="宋体" w:hAnsi="宋体" w:eastAsia="宋体" w:cs="宋体"/>
          <w:b/>
          <w:bCs/>
          <w:color w:val="auto"/>
          <w:sz w:val="28"/>
          <w:szCs w:val="28"/>
          <w:highlight w:val="none"/>
        </w:rPr>
        <w:t>第四节 响应文件的符合性审查</w:t>
      </w:r>
      <w:bookmarkEnd w:id="42"/>
      <w:bookmarkEnd w:id="43"/>
    </w:p>
    <w:p w14:paraId="2C3D67BA">
      <w:pPr>
        <w:adjustRightInd w:val="0"/>
        <w:snapToGrid w:val="0"/>
        <w:spacing w:before="120" w:beforeLines="50" w:line="360" w:lineRule="auto"/>
        <w:ind w:firstLine="482"/>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1.符合性审查</w:t>
      </w:r>
    </w:p>
    <w:p w14:paraId="4AC12293">
      <w:pPr>
        <w:adjustRightInd w:val="0"/>
        <w:snapToGrid w:val="0"/>
        <w:spacing w:before="120" w:beforeLines="50" w:line="360" w:lineRule="auto"/>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1.1</w:t>
      </w:r>
      <w:r>
        <w:rPr>
          <w:rFonts w:hint="eastAsia" w:ascii="宋体" w:hAnsi="宋体" w:eastAsia="宋体" w:cs="宋体"/>
          <w:color w:val="auto"/>
          <w:szCs w:val="21"/>
          <w:highlight w:val="none"/>
        </w:rPr>
        <w:t>磋商小组应</w:t>
      </w:r>
      <w:r>
        <w:rPr>
          <w:rFonts w:hint="eastAsia" w:ascii="宋体" w:hAnsi="宋体" w:eastAsia="宋体" w:cs="宋体"/>
          <w:color w:val="auto"/>
          <w:highlight w:val="none"/>
        </w:rPr>
        <w:t>对符合资格条件的供应商的响应文件进行符合性审查，以确定其是否满足磋商文件的实质性要求。</w:t>
      </w:r>
    </w:p>
    <w:p w14:paraId="6E5834FB">
      <w:pPr>
        <w:adjustRightInd w:val="0"/>
        <w:snapToGrid w:val="0"/>
        <w:spacing w:before="120" w:beforeLines="50"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依据磋商文件的规定，从响应文件的有效性、完整性和对磋商文件的响应程度进行审查，以确定是否对磋商文件的实质性要求作出响应。磋商小组判断响应文件的响应性只根据响应文件的内容，而不依据外部的证据。</w:t>
      </w:r>
    </w:p>
    <w:p w14:paraId="48F585F5">
      <w:pPr>
        <w:adjustRightInd w:val="0"/>
        <w:snapToGrid w:val="0"/>
        <w:spacing w:before="120" w:beforeLines="50"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（2）供应商不得通过修正或撤销不合要求的偏离从而使其响应成为实质上的响应。</w:t>
      </w:r>
    </w:p>
    <w:p w14:paraId="0E20DCC0">
      <w:pPr>
        <w:adjustRightInd w:val="0"/>
        <w:snapToGrid w:val="0"/>
        <w:spacing w:before="120" w:beforeLines="50" w:line="360" w:lineRule="auto"/>
        <w:ind w:firstLine="420" w:firstLineChars="200"/>
        <w:jc w:val="left"/>
        <w:outlineLvl w:val="9"/>
        <w:rPr>
          <w:rFonts w:hint="eastAsia" w:ascii="宋体" w:hAnsi="宋体" w:eastAsia="宋体" w:cs="宋体"/>
          <w:color w:val="auto"/>
          <w:highlight w:val="none"/>
        </w:rPr>
      </w:pPr>
      <w:r>
        <w:rPr>
          <w:rFonts w:hint="eastAsia" w:ascii="宋体" w:hAnsi="宋体" w:eastAsia="宋体" w:cs="宋体"/>
          <w:color w:val="auto"/>
          <w:kern w:val="0"/>
          <w:szCs w:val="21"/>
          <w:highlight w:val="none"/>
        </w:rPr>
        <w:t>1.2</w:t>
      </w:r>
      <w:r>
        <w:rPr>
          <w:rFonts w:hint="eastAsia" w:ascii="宋体" w:hAnsi="宋体" w:eastAsia="宋体" w:cs="宋体"/>
          <w:color w:val="auto"/>
          <w:highlight w:val="none"/>
        </w:rPr>
        <w:t>未通过符合性审查的供应商，其响应将被认定为响应无效，不能进入下一阶段评审。通过符合性审查的供应商数量不足 3 家的，不得作进一步的比较和评价。</w:t>
      </w:r>
    </w:p>
    <w:p w14:paraId="1DC175F0">
      <w:pPr>
        <w:adjustRightInd w:val="0"/>
        <w:snapToGrid w:val="0"/>
        <w:spacing w:before="120" w:beforeLines="50" w:line="360" w:lineRule="auto"/>
        <w:ind w:firstLine="482"/>
        <w:jc w:val="left"/>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2.响应无效</w:t>
      </w:r>
    </w:p>
    <w:p w14:paraId="21D636E8">
      <w:pPr>
        <w:adjustRightInd w:val="0"/>
        <w:snapToGrid w:val="0"/>
        <w:spacing w:before="120" w:beforeLines="50"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2.1供应商存在下列情况之一的，符合性审查不合格，响应无效：</w:t>
      </w:r>
    </w:p>
    <w:p w14:paraId="32051708">
      <w:pPr>
        <w:adjustRightInd w:val="0"/>
        <w:snapToGrid w:val="0"/>
        <w:spacing w:before="120" w:beforeLines="50"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（1）响应文件未按照磋商文件规定要求签署、盖章的；</w:t>
      </w:r>
    </w:p>
    <w:p w14:paraId="085162F4">
      <w:pPr>
        <w:adjustRightInd w:val="0"/>
        <w:snapToGrid w:val="0"/>
        <w:spacing w:before="120" w:beforeLines="50"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（2）响应文件没有对磋商文件的实质性要求和条件作出响应；</w:t>
      </w:r>
    </w:p>
    <w:p w14:paraId="354DE456">
      <w:pPr>
        <w:adjustRightInd w:val="0"/>
        <w:snapToGrid w:val="0"/>
        <w:spacing w:before="120" w:beforeLines="50"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（3）响应有效期不足的；</w:t>
      </w:r>
    </w:p>
    <w:p w14:paraId="083D8BD7">
      <w:pPr>
        <w:adjustRightInd w:val="0"/>
        <w:snapToGrid w:val="0"/>
        <w:spacing w:before="120" w:beforeLines="50"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（4）响应文件含有采购人不能接受的附加条件的；</w:t>
      </w:r>
    </w:p>
    <w:p w14:paraId="3C2A6D5B">
      <w:pPr>
        <w:adjustRightInd w:val="0"/>
        <w:snapToGrid w:val="0"/>
        <w:spacing w:before="120" w:beforeLines="50"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（5）不符合本节第1.1款规定符合性审查标准的；</w:t>
      </w:r>
    </w:p>
    <w:p w14:paraId="42B20304">
      <w:pPr>
        <w:adjustRightInd w:val="0"/>
        <w:snapToGrid w:val="0"/>
        <w:spacing w:before="120" w:beforeLines="50"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（6）法律、法规和磋商文件规定的其他响应无效情形的。</w:t>
      </w:r>
    </w:p>
    <w:p w14:paraId="422A8AD1">
      <w:pPr>
        <w:adjustRightInd w:val="0"/>
        <w:snapToGrid w:val="0"/>
        <w:spacing w:before="120" w:beforeLines="50"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2.2在评审过程中发现供应商有不遵循公平竞争的原则，恶意串通，妨碍其他供应商的竞争行为，损害采购人或者其他供应商的合法权益的，磋商小组应当认定其</w:t>
      </w:r>
      <w:r>
        <w:rPr>
          <w:rFonts w:hint="eastAsia" w:ascii="宋体" w:hAnsi="宋体" w:eastAsia="宋体" w:cs="宋体"/>
          <w:b/>
          <w:color w:val="auto"/>
          <w:kern w:val="0"/>
          <w:szCs w:val="21"/>
          <w:highlight w:val="none"/>
        </w:rPr>
        <w:t>响应无效</w:t>
      </w:r>
      <w:r>
        <w:rPr>
          <w:rFonts w:hint="eastAsia" w:ascii="宋体" w:hAnsi="宋体" w:eastAsia="宋体" w:cs="宋体"/>
          <w:color w:val="auto"/>
          <w:kern w:val="0"/>
          <w:szCs w:val="21"/>
          <w:highlight w:val="none"/>
        </w:rPr>
        <w:t>，并书面报告本级财政部门。</w:t>
      </w:r>
    </w:p>
    <w:p w14:paraId="751C5002">
      <w:pPr>
        <w:outlineLvl w:val="9"/>
        <w:rPr>
          <w:rFonts w:hint="eastAsia" w:ascii="宋体" w:hAnsi="宋体" w:eastAsia="宋体" w:cs="宋体"/>
          <w:color w:val="auto"/>
          <w:highlight w:val="none"/>
        </w:rPr>
      </w:pPr>
    </w:p>
    <w:p w14:paraId="5A3665FE">
      <w:pPr>
        <w:outlineLvl w:val="9"/>
        <w:rPr>
          <w:rFonts w:hint="eastAsia" w:ascii="宋体" w:hAnsi="宋体" w:eastAsia="宋体" w:cs="宋体"/>
          <w:color w:val="auto"/>
          <w:highlight w:val="none"/>
        </w:rPr>
      </w:pPr>
    </w:p>
    <w:p w14:paraId="73F3B87B">
      <w:pPr>
        <w:widowControl/>
        <w:ind w:firstLine="422"/>
        <w:jc w:val="left"/>
        <w:outlineLvl w:val="9"/>
        <w:rPr>
          <w:rFonts w:hint="eastAsia" w:ascii="宋体" w:hAnsi="宋体" w:eastAsia="宋体" w:cs="宋体"/>
          <w:b/>
          <w:color w:val="auto"/>
          <w:szCs w:val="21"/>
          <w:highlight w:val="none"/>
        </w:rPr>
      </w:pPr>
    </w:p>
    <w:p w14:paraId="67F94682">
      <w:pPr>
        <w:widowControl/>
        <w:ind w:firstLine="422"/>
        <w:jc w:val="left"/>
        <w:outlineLvl w:val="9"/>
        <w:rPr>
          <w:rFonts w:hint="eastAsia" w:ascii="宋体" w:hAnsi="宋体" w:eastAsia="宋体" w:cs="宋体"/>
          <w:b/>
          <w:color w:val="auto"/>
          <w:szCs w:val="21"/>
          <w:highlight w:val="none"/>
        </w:rPr>
      </w:pPr>
    </w:p>
    <w:p w14:paraId="6112E4EE">
      <w:pPr>
        <w:widowControl/>
        <w:ind w:firstLine="422"/>
        <w:jc w:val="left"/>
        <w:outlineLvl w:val="9"/>
        <w:rPr>
          <w:rFonts w:hint="eastAsia" w:ascii="宋体" w:hAnsi="宋体" w:eastAsia="宋体" w:cs="宋体"/>
          <w:b/>
          <w:color w:val="auto"/>
          <w:szCs w:val="21"/>
          <w:highlight w:val="none"/>
        </w:rPr>
      </w:pPr>
    </w:p>
    <w:p w14:paraId="2CE57A65">
      <w:pPr>
        <w:widowControl/>
        <w:ind w:firstLine="422"/>
        <w:jc w:val="left"/>
        <w:outlineLvl w:val="9"/>
        <w:rPr>
          <w:rFonts w:hint="eastAsia" w:ascii="宋体" w:hAnsi="宋体" w:eastAsia="宋体" w:cs="宋体"/>
          <w:b/>
          <w:color w:val="auto"/>
          <w:szCs w:val="21"/>
          <w:highlight w:val="none"/>
        </w:rPr>
      </w:pPr>
    </w:p>
    <w:p w14:paraId="7A9538CC">
      <w:pPr>
        <w:pStyle w:val="2"/>
        <w:ind w:firstLine="422"/>
        <w:outlineLvl w:val="9"/>
        <w:rPr>
          <w:rFonts w:hint="eastAsia" w:ascii="宋体" w:hAnsi="宋体" w:cs="宋体"/>
          <w:b/>
          <w:color w:val="auto"/>
          <w:szCs w:val="21"/>
          <w:highlight w:val="none"/>
        </w:rPr>
      </w:pPr>
    </w:p>
    <w:p w14:paraId="49B0EE95">
      <w:pPr>
        <w:pStyle w:val="2"/>
        <w:ind w:firstLine="422"/>
        <w:outlineLvl w:val="9"/>
        <w:rPr>
          <w:rFonts w:hint="eastAsia" w:ascii="宋体" w:hAnsi="宋体" w:cs="宋体"/>
          <w:b/>
          <w:color w:val="auto"/>
          <w:szCs w:val="21"/>
          <w:highlight w:val="none"/>
        </w:rPr>
      </w:pPr>
    </w:p>
    <w:p w14:paraId="23BDA95D">
      <w:pPr>
        <w:pStyle w:val="2"/>
        <w:ind w:firstLine="422"/>
        <w:outlineLvl w:val="9"/>
        <w:rPr>
          <w:rFonts w:hint="eastAsia" w:ascii="宋体" w:hAnsi="宋体" w:cs="宋体"/>
          <w:b/>
          <w:color w:val="auto"/>
          <w:szCs w:val="21"/>
          <w:highlight w:val="none"/>
        </w:rPr>
      </w:pPr>
    </w:p>
    <w:p w14:paraId="3E172974">
      <w:pPr>
        <w:widowControl/>
        <w:ind w:firstLine="422"/>
        <w:jc w:val="left"/>
        <w:outlineLvl w:val="9"/>
        <w:rPr>
          <w:rFonts w:hint="eastAsia" w:ascii="宋体" w:hAnsi="宋体" w:eastAsia="宋体" w:cs="宋体"/>
          <w:b/>
          <w:color w:val="auto"/>
          <w:szCs w:val="21"/>
          <w:highlight w:val="none"/>
        </w:rPr>
      </w:pPr>
    </w:p>
    <w:p w14:paraId="199E2AB9">
      <w:pPr>
        <w:widowControl/>
        <w:ind w:firstLine="422"/>
        <w:jc w:val="left"/>
        <w:outlineLvl w:val="9"/>
        <w:rPr>
          <w:rFonts w:hint="eastAsia" w:ascii="宋体" w:hAnsi="宋体" w:eastAsia="宋体" w:cs="宋体"/>
          <w:b/>
          <w:color w:val="auto"/>
          <w:szCs w:val="21"/>
          <w:highlight w:val="none"/>
        </w:rPr>
      </w:pPr>
    </w:p>
    <w:p w14:paraId="63D9BE0B">
      <w:pPr>
        <w:adjustRightInd w:val="0"/>
        <w:snapToGrid w:val="0"/>
        <w:spacing w:before="120" w:beforeLines="50" w:after="0" w:line="360" w:lineRule="auto"/>
        <w:ind w:firstLine="422"/>
        <w:outlineLvl w:val="9"/>
        <w:rPr>
          <w:rFonts w:hint="eastAsia" w:ascii="宋体" w:hAnsi="宋体" w:eastAsia="宋体" w:cs="宋体"/>
          <w:color w:val="auto"/>
          <w:sz w:val="21"/>
          <w:szCs w:val="21"/>
          <w:highlight w:val="none"/>
        </w:rPr>
      </w:pPr>
      <w:bookmarkStart w:id="44" w:name="_Toc22806634"/>
      <w:bookmarkStart w:id="45" w:name="_Toc31943"/>
      <w:bookmarkStart w:id="46" w:name="_Toc6429"/>
      <w:r>
        <w:rPr>
          <w:rFonts w:hint="eastAsia" w:ascii="宋体" w:hAnsi="宋体" w:eastAsia="宋体" w:cs="宋体"/>
          <w:color w:val="auto"/>
          <w:sz w:val="21"/>
          <w:szCs w:val="21"/>
          <w:highlight w:val="none"/>
        </w:rPr>
        <w:t>附表1 符合性审查表</w:t>
      </w:r>
      <w:bookmarkEnd w:id="44"/>
      <w:bookmarkEnd w:id="45"/>
      <w:bookmarkEnd w:id="46"/>
    </w:p>
    <w:p w14:paraId="335C86BC">
      <w:pPr>
        <w:adjustRightInd w:val="0"/>
        <w:snapToGrid w:val="0"/>
        <w:spacing w:before="120" w:beforeLines="50" w:line="360" w:lineRule="auto"/>
        <w:ind w:firstLine="562"/>
        <w:jc w:val="cente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符合性审查表</w:t>
      </w:r>
    </w:p>
    <w:p w14:paraId="7FA9B2DC">
      <w:pPr>
        <w:adjustRightInd w:val="0"/>
        <w:snapToGrid w:val="0"/>
        <w:spacing w:before="120" w:beforeLines="50"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                        采购代理编号：                 包号：</w:t>
      </w:r>
    </w:p>
    <w:tbl>
      <w:tblPr>
        <w:tblStyle w:val="31"/>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5662"/>
        <w:gridCol w:w="6"/>
        <w:gridCol w:w="2709"/>
      </w:tblGrid>
      <w:tr w14:paraId="7CD290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vAlign w:val="center"/>
          </w:tcPr>
          <w:p w14:paraId="2C3F9696">
            <w:pPr>
              <w:adjustRightInd w:val="0"/>
              <w:snapToGrid w:val="0"/>
              <w:spacing w:before="120" w:beforeLines="50" w:line="360" w:lineRule="auto"/>
              <w:outlineLvl w:val="9"/>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5662" w:type="dxa"/>
            <w:vAlign w:val="center"/>
          </w:tcPr>
          <w:p w14:paraId="1E80CB4A">
            <w:pPr>
              <w:adjustRightInd w:val="0"/>
              <w:snapToGrid w:val="0"/>
              <w:spacing w:before="120" w:beforeLines="50" w:line="360" w:lineRule="auto"/>
              <w:ind w:firstLine="422"/>
              <w:jc w:val="center"/>
              <w:outlineLvl w:val="9"/>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审查项目</w:t>
            </w:r>
          </w:p>
        </w:tc>
        <w:tc>
          <w:tcPr>
            <w:tcW w:w="2715" w:type="dxa"/>
            <w:gridSpan w:val="2"/>
            <w:vAlign w:val="center"/>
          </w:tcPr>
          <w:p w14:paraId="4E03A4B5">
            <w:pPr>
              <w:adjustRightInd w:val="0"/>
              <w:snapToGrid w:val="0"/>
              <w:spacing w:before="120" w:beforeLines="50" w:line="360" w:lineRule="auto"/>
              <w:ind w:firstLine="422"/>
              <w:jc w:val="center"/>
              <w:outlineLvl w:val="9"/>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审查标准</w:t>
            </w:r>
          </w:p>
        </w:tc>
      </w:tr>
      <w:tr w14:paraId="7E63E7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50D4C34">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5662" w:type="dxa"/>
          </w:tcPr>
          <w:p w14:paraId="5A31248E">
            <w:pPr>
              <w:adjustRightInd w:val="0"/>
              <w:snapToGrid w:val="0"/>
              <w:spacing w:before="120" w:beforeLines="50" w:line="360" w:lineRule="auto"/>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响应文件按照磋商文件规定要求签署、盖章</w:t>
            </w:r>
          </w:p>
        </w:tc>
        <w:tc>
          <w:tcPr>
            <w:tcW w:w="2715" w:type="dxa"/>
            <w:gridSpan w:val="2"/>
            <w:vAlign w:val="center"/>
          </w:tcPr>
          <w:p w14:paraId="2A54483C">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第二章第</w:t>
            </w:r>
            <w:r>
              <w:rPr>
                <w:rFonts w:hint="eastAsia" w:ascii="宋体" w:hAnsi="宋体" w:eastAsia="宋体" w:cs="宋体"/>
                <w:color w:val="auto"/>
                <w:kern w:val="0"/>
                <w:sz w:val="20"/>
                <w:szCs w:val="21"/>
                <w:highlight w:val="none"/>
              </w:rPr>
              <w:t>21款</w:t>
            </w:r>
          </w:p>
        </w:tc>
      </w:tr>
      <w:tr w14:paraId="5DE710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9C0CB03">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5662" w:type="dxa"/>
          </w:tcPr>
          <w:p w14:paraId="5439119F">
            <w:pPr>
              <w:adjustRightInd w:val="0"/>
              <w:snapToGrid w:val="0"/>
              <w:spacing w:before="120" w:beforeLines="50" w:line="360" w:lineRule="auto"/>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响应文件对磋商文件的实质性要求和条件作出响应</w:t>
            </w:r>
          </w:p>
        </w:tc>
        <w:tc>
          <w:tcPr>
            <w:tcW w:w="2715" w:type="dxa"/>
            <w:gridSpan w:val="2"/>
            <w:vAlign w:val="center"/>
          </w:tcPr>
          <w:p w14:paraId="2C65F14E">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第二章第</w:t>
            </w:r>
            <w:r>
              <w:rPr>
                <w:rFonts w:hint="eastAsia" w:ascii="宋体" w:hAnsi="宋体" w:eastAsia="宋体" w:cs="宋体"/>
                <w:color w:val="auto"/>
                <w:szCs w:val="21"/>
                <w:highlight w:val="none"/>
              </w:rPr>
              <w:t>14款</w:t>
            </w:r>
          </w:p>
        </w:tc>
      </w:tr>
      <w:tr w14:paraId="23E59E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46E36AA">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5662" w:type="dxa"/>
          </w:tcPr>
          <w:p w14:paraId="1333BE0D">
            <w:pPr>
              <w:adjustRightInd w:val="0"/>
              <w:snapToGrid w:val="0"/>
              <w:spacing w:before="120" w:beforeLines="50" w:line="360" w:lineRule="auto"/>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响应有效期</w:t>
            </w:r>
          </w:p>
        </w:tc>
        <w:tc>
          <w:tcPr>
            <w:tcW w:w="2715" w:type="dxa"/>
            <w:gridSpan w:val="2"/>
            <w:vAlign w:val="center"/>
          </w:tcPr>
          <w:p w14:paraId="430EA53B">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第二章第</w:t>
            </w:r>
            <w:r>
              <w:rPr>
                <w:rFonts w:hint="eastAsia" w:ascii="宋体" w:hAnsi="宋体" w:eastAsia="宋体" w:cs="宋体"/>
                <w:color w:val="auto"/>
                <w:szCs w:val="21"/>
                <w:highlight w:val="none"/>
              </w:rPr>
              <w:t>20款</w:t>
            </w:r>
          </w:p>
        </w:tc>
      </w:tr>
      <w:tr w14:paraId="68EA85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AF3F016">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5662" w:type="dxa"/>
          </w:tcPr>
          <w:p w14:paraId="3B4E4DBD">
            <w:pPr>
              <w:adjustRightInd w:val="0"/>
              <w:snapToGrid w:val="0"/>
              <w:spacing w:before="120" w:beforeLines="50" w:line="360" w:lineRule="auto"/>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响应文件未含有采购人不能接受的附加条件</w:t>
            </w:r>
          </w:p>
        </w:tc>
        <w:tc>
          <w:tcPr>
            <w:tcW w:w="2715" w:type="dxa"/>
            <w:gridSpan w:val="2"/>
            <w:vAlign w:val="center"/>
          </w:tcPr>
          <w:p w14:paraId="46092C05">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本节第2</w:t>
            </w:r>
            <w:r>
              <w:rPr>
                <w:rFonts w:hint="eastAsia" w:ascii="宋体" w:hAnsi="宋体" w:eastAsia="宋体" w:cs="宋体"/>
                <w:color w:val="auto"/>
                <w:kern w:val="0"/>
                <w:szCs w:val="21"/>
                <w:highlight w:val="none"/>
              </w:rPr>
              <w:t>款</w:t>
            </w:r>
          </w:p>
        </w:tc>
      </w:tr>
      <w:tr w14:paraId="031E69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8207ADE">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5662" w:type="dxa"/>
          </w:tcPr>
          <w:p w14:paraId="611638BD">
            <w:pPr>
              <w:adjustRightInd w:val="0"/>
              <w:snapToGrid w:val="0"/>
              <w:spacing w:before="120" w:beforeLines="50" w:line="360" w:lineRule="auto"/>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符合本节第1.1款规定符合性审查标准的</w:t>
            </w:r>
          </w:p>
        </w:tc>
        <w:tc>
          <w:tcPr>
            <w:tcW w:w="2715" w:type="dxa"/>
            <w:gridSpan w:val="2"/>
            <w:vAlign w:val="center"/>
          </w:tcPr>
          <w:p w14:paraId="2C8B9D4D">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本节第1款</w:t>
            </w:r>
          </w:p>
        </w:tc>
      </w:tr>
      <w:tr w14:paraId="3E7E99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0BCFF2F">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5662" w:type="dxa"/>
          </w:tcPr>
          <w:p w14:paraId="2D968538">
            <w:pPr>
              <w:adjustRightInd w:val="0"/>
              <w:snapToGrid w:val="0"/>
              <w:spacing w:before="120" w:beforeLines="50" w:line="360" w:lineRule="auto"/>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未含有法律、法规和磋商文件规定的其他响应无效情形</w:t>
            </w:r>
          </w:p>
        </w:tc>
        <w:tc>
          <w:tcPr>
            <w:tcW w:w="2715" w:type="dxa"/>
            <w:gridSpan w:val="2"/>
            <w:vAlign w:val="center"/>
          </w:tcPr>
          <w:p w14:paraId="02818958">
            <w:pPr>
              <w:adjustRightInd w:val="0"/>
              <w:snapToGrid w:val="0"/>
              <w:spacing w:before="120" w:beforeLines="50" w:line="360" w:lineRule="auto"/>
              <w:jc w:val="center"/>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本节第2款</w:t>
            </w:r>
          </w:p>
        </w:tc>
      </w:tr>
      <w:tr w14:paraId="3086F6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351" w:type="dxa"/>
            <w:gridSpan w:val="3"/>
            <w:tcBorders>
              <w:right w:val="single" w:color="auto" w:sz="4" w:space="0"/>
            </w:tcBorders>
            <w:vAlign w:val="center"/>
          </w:tcPr>
          <w:p w14:paraId="19E0684F">
            <w:pPr>
              <w:adjustRightInd w:val="0"/>
              <w:snapToGrid w:val="0"/>
              <w:spacing w:before="120" w:beforeLines="50" w:line="360" w:lineRule="auto"/>
              <w:ind w:firstLine="400"/>
              <w:jc w:val="center"/>
              <w:outlineLvl w:val="9"/>
              <w:rPr>
                <w:rFonts w:hint="eastAsia" w:ascii="宋体" w:hAnsi="宋体" w:eastAsia="宋体" w:cs="宋体"/>
                <w:color w:val="auto"/>
                <w:kern w:val="0"/>
                <w:sz w:val="20"/>
                <w:szCs w:val="21"/>
                <w:highlight w:val="none"/>
              </w:rPr>
            </w:pPr>
            <w:r>
              <w:rPr>
                <w:rFonts w:hint="eastAsia" w:ascii="宋体" w:hAnsi="宋体" w:eastAsia="宋体" w:cs="宋体"/>
                <w:color w:val="auto"/>
                <w:kern w:val="0"/>
                <w:sz w:val="20"/>
                <w:szCs w:val="21"/>
                <w:highlight w:val="none"/>
              </w:rPr>
              <w:t>结论</w:t>
            </w:r>
          </w:p>
        </w:tc>
        <w:tc>
          <w:tcPr>
            <w:tcW w:w="2709" w:type="dxa"/>
            <w:tcBorders>
              <w:left w:val="single" w:color="auto" w:sz="4" w:space="0"/>
            </w:tcBorders>
            <w:vAlign w:val="center"/>
          </w:tcPr>
          <w:p w14:paraId="510E66B4">
            <w:pPr>
              <w:adjustRightInd w:val="0"/>
              <w:snapToGrid w:val="0"/>
              <w:spacing w:before="120" w:beforeLines="50" w:line="360" w:lineRule="auto"/>
              <w:jc w:val="center"/>
              <w:outlineLvl w:val="9"/>
              <w:rPr>
                <w:rFonts w:hint="eastAsia" w:ascii="宋体" w:hAnsi="宋体" w:eastAsia="宋体" w:cs="宋体"/>
                <w:color w:val="auto"/>
                <w:kern w:val="0"/>
                <w:sz w:val="20"/>
                <w:szCs w:val="21"/>
                <w:highlight w:val="none"/>
              </w:rPr>
            </w:pPr>
            <w:r>
              <w:rPr>
                <w:rFonts w:hint="eastAsia" w:ascii="宋体" w:hAnsi="宋体" w:eastAsia="宋体" w:cs="宋体"/>
                <w:color w:val="auto"/>
                <w:kern w:val="0"/>
                <w:szCs w:val="21"/>
                <w:highlight w:val="none"/>
              </w:rPr>
              <w:t>合格/不合格</w:t>
            </w:r>
          </w:p>
        </w:tc>
      </w:tr>
    </w:tbl>
    <w:p w14:paraId="44AEA13F">
      <w:pPr>
        <w:adjustRightInd w:val="0"/>
        <w:snapToGrid w:val="0"/>
        <w:spacing w:line="360" w:lineRule="auto"/>
        <w:outlineLvl w:val="9"/>
        <w:rPr>
          <w:rFonts w:hint="eastAsia" w:ascii="宋体" w:hAnsi="宋体" w:eastAsia="宋体" w:cs="宋体"/>
          <w:color w:val="auto"/>
          <w:szCs w:val="21"/>
          <w:highlight w:val="none"/>
        </w:rPr>
      </w:pPr>
    </w:p>
    <w:p w14:paraId="7A6CD609">
      <w:pPr>
        <w:widowControl/>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3C5C038B">
      <w:pPr>
        <w:ind w:firstLine="422"/>
        <w:outlineLvl w:val="9"/>
        <w:rPr>
          <w:rFonts w:hint="eastAsia" w:ascii="宋体" w:hAnsi="宋体" w:eastAsia="宋体" w:cs="宋体"/>
          <w:color w:val="auto"/>
          <w:sz w:val="21"/>
          <w:szCs w:val="21"/>
          <w:highlight w:val="none"/>
        </w:rPr>
      </w:pPr>
      <w:bookmarkStart w:id="47" w:name="_Toc7765"/>
      <w:bookmarkStart w:id="48" w:name="_Toc22806635"/>
      <w:bookmarkStart w:id="49" w:name="_Toc27933"/>
      <w:r>
        <w:rPr>
          <w:rFonts w:hint="eastAsia" w:ascii="宋体" w:hAnsi="宋体" w:eastAsia="宋体" w:cs="宋体"/>
          <w:color w:val="auto"/>
          <w:sz w:val="21"/>
          <w:szCs w:val="21"/>
          <w:highlight w:val="none"/>
        </w:rPr>
        <w:t>附表2 符合性审查结果一览表</w:t>
      </w:r>
      <w:bookmarkEnd w:id="47"/>
      <w:bookmarkEnd w:id="48"/>
      <w:bookmarkEnd w:id="49"/>
    </w:p>
    <w:p w14:paraId="3100B11B">
      <w:pPr>
        <w:adjustRightInd w:val="0"/>
        <w:snapToGrid w:val="0"/>
        <w:spacing w:before="120" w:beforeLines="50" w:line="360" w:lineRule="auto"/>
        <w:ind w:firstLine="562"/>
        <w:jc w:val="cente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符合性审查结果一览表</w:t>
      </w:r>
    </w:p>
    <w:p w14:paraId="029728D6">
      <w:pPr>
        <w:adjustRightInd w:val="0"/>
        <w:snapToGrid w:val="0"/>
        <w:spacing w:before="120" w:beforeLines="50"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                          采购代理编号：                包号：</w:t>
      </w:r>
    </w:p>
    <w:tbl>
      <w:tblPr>
        <w:tblStyle w:val="31"/>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5A2E04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14:paraId="7C064CEA">
            <w:pPr>
              <w:outlineLvl w:val="9"/>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2963" w:type="dxa"/>
            <w:vAlign w:val="center"/>
          </w:tcPr>
          <w:p w14:paraId="18C1AF8A">
            <w:pPr>
              <w:ind w:firstLine="422"/>
              <w:jc w:val="center"/>
              <w:outlineLvl w:val="9"/>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供应商名称</w:t>
            </w:r>
          </w:p>
        </w:tc>
        <w:tc>
          <w:tcPr>
            <w:tcW w:w="2439" w:type="dxa"/>
            <w:vAlign w:val="center"/>
          </w:tcPr>
          <w:p w14:paraId="5977F55B">
            <w:pPr>
              <w:ind w:firstLine="422"/>
              <w:jc w:val="center"/>
              <w:outlineLvl w:val="9"/>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符合性审查结果</w:t>
            </w:r>
          </w:p>
          <w:p w14:paraId="6A0C950C">
            <w:pPr>
              <w:ind w:firstLine="422"/>
              <w:jc w:val="center"/>
              <w:outlineLvl w:val="9"/>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（合格/不合格）</w:t>
            </w:r>
          </w:p>
        </w:tc>
        <w:tc>
          <w:tcPr>
            <w:tcW w:w="2961" w:type="dxa"/>
            <w:vAlign w:val="center"/>
          </w:tcPr>
          <w:p w14:paraId="7FBEEA43">
            <w:pPr>
              <w:ind w:firstLine="422"/>
              <w:jc w:val="center"/>
              <w:outlineLvl w:val="9"/>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符合性审查不合格原因</w:t>
            </w:r>
          </w:p>
        </w:tc>
      </w:tr>
      <w:tr w14:paraId="5800C3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32762FE6">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3" w:type="dxa"/>
          </w:tcPr>
          <w:p w14:paraId="7B18563B">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439" w:type="dxa"/>
          </w:tcPr>
          <w:p w14:paraId="6FB100CE">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1" w:type="dxa"/>
          </w:tcPr>
          <w:p w14:paraId="7478C3E9">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5CBA52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304D3141">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3" w:type="dxa"/>
          </w:tcPr>
          <w:p w14:paraId="1C674728">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439" w:type="dxa"/>
          </w:tcPr>
          <w:p w14:paraId="41219A61">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1" w:type="dxa"/>
          </w:tcPr>
          <w:p w14:paraId="412C54B4">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388A40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2FF0C1F">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3" w:type="dxa"/>
          </w:tcPr>
          <w:p w14:paraId="3D80F3FA">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439" w:type="dxa"/>
          </w:tcPr>
          <w:p w14:paraId="171C9B42">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1" w:type="dxa"/>
          </w:tcPr>
          <w:p w14:paraId="3F7CF9DC">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0A8631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2AD243A3">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3" w:type="dxa"/>
          </w:tcPr>
          <w:p w14:paraId="5F798061">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439" w:type="dxa"/>
          </w:tcPr>
          <w:p w14:paraId="533F03F8">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1" w:type="dxa"/>
          </w:tcPr>
          <w:p w14:paraId="33882F2A">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0C0D83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928D401">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3" w:type="dxa"/>
          </w:tcPr>
          <w:p w14:paraId="0E5A1105">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439" w:type="dxa"/>
          </w:tcPr>
          <w:p w14:paraId="304B9A73">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1" w:type="dxa"/>
          </w:tcPr>
          <w:p w14:paraId="5F70F901">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5E9B32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D72853F">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3" w:type="dxa"/>
          </w:tcPr>
          <w:p w14:paraId="2D6EBA26">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439" w:type="dxa"/>
          </w:tcPr>
          <w:p w14:paraId="0BE80BD0">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1" w:type="dxa"/>
          </w:tcPr>
          <w:p w14:paraId="6019F364">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6F803B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2EB2792">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3" w:type="dxa"/>
          </w:tcPr>
          <w:p w14:paraId="1259AB96">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439" w:type="dxa"/>
          </w:tcPr>
          <w:p w14:paraId="15185F08">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1" w:type="dxa"/>
          </w:tcPr>
          <w:p w14:paraId="63026F99">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0C533F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2578F9BF">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3" w:type="dxa"/>
          </w:tcPr>
          <w:p w14:paraId="2D11DB58">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439" w:type="dxa"/>
          </w:tcPr>
          <w:p w14:paraId="21189956">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1" w:type="dxa"/>
          </w:tcPr>
          <w:p w14:paraId="47BF2DF7">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209725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0BD210F">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3" w:type="dxa"/>
          </w:tcPr>
          <w:p w14:paraId="22AA3C47">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439" w:type="dxa"/>
          </w:tcPr>
          <w:p w14:paraId="77D74522">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2961" w:type="dxa"/>
          </w:tcPr>
          <w:p w14:paraId="18842549">
            <w:pPr>
              <w:adjustRightInd w:val="0"/>
              <w:snapToGrid w:val="0"/>
              <w:spacing w:line="360" w:lineRule="auto"/>
              <w:ind w:firstLine="480"/>
              <w:outlineLvl w:val="9"/>
              <w:rPr>
                <w:rFonts w:hint="eastAsia" w:ascii="宋体" w:hAnsi="宋体" w:eastAsia="宋体" w:cs="宋体"/>
                <w:color w:val="auto"/>
                <w:kern w:val="0"/>
                <w:sz w:val="24"/>
                <w:highlight w:val="none"/>
              </w:rPr>
            </w:pPr>
          </w:p>
        </w:tc>
      </w:tr>
    </w:tbl>
    <w:p w14:paraId="61912F56">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磋商小组全体成员（签字）：</w:t>
      </w:r>
    </w:p>
    <w:p w14:paraId="19D1F39A">
      <w:pPr>
        <w:widowControl/>
        <w:jc w:val="left"/>
        <w:outlineLvl w:val="9"/>
        <w:rPr>
          <w:rFonts w:hint="eastAsia" w:ascii="宋体" w:hAnsi="宋体" w:eastAsia="宋体" w:cs="宋体"/>
          <w:color w:val="auto"/>
          <w:szCs w:val="21"/>
          <w:highlight w:val="none"/>
        </w:rPr>
      </w:pPr>
    </w:p>
    <w:p w14:paraId="267B0A01">
      <w:pPr>
        <w:widowControl/>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593B7E89">
      <w:pPr>
        <w:widowControl/>
        <w:jc w:val="left"/>
        <w:outlineLvl w:val="9"/>
        <w:rPr>
          <w:rFonts w:hint="eastAsia" w:ascii="宋体" w:hAnsi="宋体" w:eastAsia="宋体" w:cs="宋体"/>
          <w:color w:val="auto"/>
          <w:szCs w:val="21"/>
          <w:highlight w:val="none"/>
        </w:rPr>
      </w:pPr>
    </w:p>
    <w:p w14:paraId="5A72341F">
      <w:pPr>
        <w:widowControl/>
        <w:jc w:val="left"/>
        <w:outlineLvl w:val="9"/>
        <w:rPr>
          <w:rFonts w:hint="eastAsia" w:ascii="宋体" w:hAnsi="宋体" w:eastAsia="宋体" w:cs="宋体"/>
          <w:color w:val="auto"/>
          <w:szCs w:val="21"/>
          <w:highlight w:val="none"/>
        </w:rPr>
      </w:pPr>
    </w:p>
    <w:p w14:paraId="6A4667BE">
      <w:pPr>
        <w:widowControl/>
        <w:jc w:val="left"/>
        <w:outlineLvl w:val="9"/>
        <w:rPr>
          <w:rFonts w:hint="eastAsia" w:ascii="宋体" w:hAnsi="宋体" w:eastAsia="宋体" w:cs="宋体"/>
          <w:color w:val="auto"/>
          <w:szCs w:val="21"/>
          <w:highlight w:val="none"/>
        </w:rPr>
      </w:pPr>
    </w:p>
    <w:p w14:paraId="2A06E61A">
      <w:pPr>
        <w:widowControl/>
        <w:jc w:val="left"/>
        <w:outlineLvl w:val="9"/>
        <w:rPr>
          <w:rFonts w:hint="eastAsia" w:ascii="宋体" w:hAnsi="宋体" w:eastAsia="宋体" w:cs="宋体"/>
          <w:color w:val="auto"/>
          <w:szCs w:val="21"/>
          <w:highlight w:val="none"/>
        </w:rPr>
      </w:pPr>
    </w:p>
    <w:p w14:paraId="65B63382">
      <w:pPr>
        <w:widowControl/>
        <w:jc w:val="left"/>
        <w:outlineLvl w:val="9"/>
        <w:rPr>
          <w:rFonts w:hint="eastAsia" w:ascii="宋体" w:hAnsi="宋体" w:eastAsia="宋体" w:cs="宋体"/>
          <w:color w:val="auto"/>
          <w:szCs w:val="21"/>
          <w:highlight w:val="none"/>
        </w:rPr>
      </w:pPr>
    </w:p>
    <w:p w14:paraId="19E2E7AF">
      <w:pPr>
        <w:widowControl/>
        <w:jc w:val="left"/>
        <w:outlineLvl w:val="9"/>
        <w:rPr>
          <w:rFonts w:hint="eastAsia" w:ascii="宋体" w:hAnsi="宋体" w:eastAsia="宋体" w:cs="宋体"/>
          <w:color w:val="auto"/>
          <w:szCs w:val="21"/>
          <w:highlight w:val="none"/>
        </w:rPr>
      </w:pPr>
    </w:p>
    <w:p w14:paraId="30DED5CE">
      <w:pPr>
        <w:widowControl/>
        <w:jc w:val="left"/>
        <w:outlineLvl w:val="9"/>
        <w:rPr>
          <w:rFonts w:hint="eastAsia" w:ascii="宋体" w:hAnsi="宋体" w:eastAsia="宋体" w:cs="宋体"/>
          <w:color w:val="auto"/>
          <w:szCs w:val="21"/>
          <w:highlight w:val="none"/>
        </w:rPr>
      </w:pPr>
    </w:p>
    <w:p w14:paraId="6FBD0046">
      <w:pPr>
        <w:widowControl/>
        <w:jc w:val="left"/>
        <w:outlineLvl w:val="9"/>
        <w:rPr>
          <w:rFonts w:hint="eastAsia" w:ascii="宋体" w:hAnsi="宋体" w:eastAsia="宋体" w:cs="宋体"/>
          <w:color w:val="auto"/>
          <w:szCs w:val="21"/>
          <w:highlight w:val="none"/>
        </w:rPr>
      </w:pPr>
    </w:p>
    <w:p w14:paraId="40C05F5C">
      <w:pPr>
        <w:widowControl/>
        <w:jc w:val="left"/>
        <w:outlineLvl w:val="9"/>
        <w:rPr>
          <w:rFonts w:hint="eastAsia" w:ascii="宋体" w:hAnsi="宋体" w:eastAsia="宋体" w:cs="宋体"/>
          <w:color w:val="auto"/>
          <w:szCs w:val="21"/>
          <w:highlight w:val="none"/>
        </w:rPr>
      </w:pPr>
    </w:p>
    <w:p w14:paraId="2F1735D9">
      <w:pPr>
        <w:widowControl/>
        <w:jc w:val="left"/>
        <w:outlineLvl w:val="9"/>
        <w:rPr>
          <w:rFonts w:hint="eastAsia" w:ascii="宋体" w:hAnsi="宋体" w:eastAsia="宋体" w:cs="宋体"/>
          <w:color w:val="auto"/>
          <w:szCs w:val="21"/>
          <w:highlight w:val="none"/>
        </w:rPr>
      </w:pPr>
    </w:p>
    <w:p w14:paraId="28798F1D">
      <w:pPr>
        <w:widowControl/>
        <w:jc w:val="left"/>
        <w:outlineLvl w:val="9"/>
        <w:rPr>
          <w:rFonts w:hint="eastAsia" w:ascii="宋体" w:hAnsi="宋体" w:eastAsia="宋体" w:cs="宋体"/>
          <w:color w:val="auto"/>
          <w:szCs w:val="21"/>
          <w:highlight w:val="none"/>
        </w:rPr>
      </w:pPr>
    </w:p>
    <w:p w14:paraId="5A7417BC">
      <w:pPr>
        <w:widowControl/>
        <w:jc w:val="left"/>
        <w:outlineLvl w:val="9"/>
        <w:rPr>
          <w:rFonts w:hint="eastAsia" w:ascii="宋体" w:hAnsi="宋体" w:eastAsia="宋体" w:cs="宋体"/>
          <w:color w:val="auto"/>
          <w:szCs w:val="21"/>
          <w:highlight w:val="none"/>
        </w:rPr>
      </w:pPr>
    </w:p>
    <w:p w14:paraId="32BF7D16">
      <w:pPr>
        <w:widowControl/>
        <w:jc w:val="left"/>
        <w:outlineLvl w:val="9"/>
        <w:rPr>
          <w:rFonts w:hint="eastAsia" w:ascii="宋体" w:hAnsi="宋体" w:eastAsia="宋体" w:cs="宋体"/>
          <w:color w:val="auto"/>
          <w:szCs w:val="21"/>
          <w:highlight w:val="none"/>
        </w:rPr>
      </w:pPr>
    </w:p>
    <w:p w14:paraId="772E7D25">
      <w:pPr>
        <w:widowControl/>
        <w:jc w:val="left"/>
        <w:outlineLvl w:val="9"/>
        <w:rPr>
          <w:rFonts w:hint="eastAsia" w:ascii="宋体" w:hAnsi="宋体" w:eastAsia="宋体" w:cs="宋体"/>
          <w:color w:val="auto"/>
          <w:szCs w:val="21"/>
          <w:highlight w:val="none"/>
        </w:rPr>
      </w:pPr>
    </w:p>
    <w:p w14:paraId="4D83F192">
      <w:pPr>
        <w:widowControl/>
        <w:jc w:val="left"/>
        <w:outlineLvl w:val="9"/>
        <w:rPr>
          <w:rFonts w:hint="eastAsia" w:ascii="宋体" w:hAnsi="宋体" w:eastAsia="宋体" w:cs="宋体"/>
          <w:color w:val="auto"/>
          <w:szCs w:val="21"/>
          <w:highlight w:val="none"/>
        </w:rPr>
      </w:pPr>
    </w:p>
    <w:p w14:paraId="59D75510">
      <w:pPr>
        <w:widowControl/>
        <w:ind w:firstLine="422"/>
        <w:jc w:val="left"/>
        <w:outlineLvl w:val="9"/>
        <w:rPr>
          <w:rFonts w:hint="eastAsia" w:ascii="宋体" w:hAnsi="宋体" w:eastAsia="宋体" w:cs="宋体"/>
          <w:b/>
          <w:color w:val="auto"/>
          <w:szCs w:val="21"/>
          <w:highlight w:val="none"/>
        </w:rPr>
      </w:pPr>
    </w:p>
    <w:p w14:paraId="34E73DA6">
      <w:pPr>
        <w:pStyle w:val="2"/>
        <w:ind w:firstLine="422"/>
        <w:outlineLvl w:val="9"/>
        <w:rPr>
          <w:rFonts w:hint="eastAsia" w:ascii="宋体" w:hAnsi="宋体" w:cs="宋体"/>
          <w:b/>
          <w:color w:val="auto"/>
          <w:szCs w:val="21"/>
          <w:highlight w:val="none"/>
        </w:rPr>
      </w:pPr>
    </w:p>
    <w:p w14:paraId="2634E64B">
      <w:pPr>
        <w:pStyle w:val="2"/>
        <w:ind w:firstLine="422"/>
        <w:outlineLvl w:val="9"/>
        <w:rPr>
          <w:rFonts w:hint="eastAsia" w:ascii="宋体" w:hAnsi="宋体" w:cs="宋体"/>
          <w:b/>
          <w:color w:val="auto"/>
          <w:szCs w:val="21"/>
          <w:highlight w:val="none"/>
        </w:rPr>
      </w:pPr>
    </w:p>
    <w:p w14:paraId="56738EAE">
      <w:pPr>
        <w:pStyle w:val="2"/>
        <w:ind w:firstLine="422"/>
        <w:outlineLvl w:val="9"/>
        <w:rPr>
          <w:rFonts w:hint="eastAsia" w:ascii="宋体" w:hAnsi="宋体" w:cs="宋体"/>
          <w:b/>
          <w:color w:val="auto"/>
          <w:szCs w:val="21"/>
          <w:highlight w:val="none"/>
        </w:rPr>
      </w:pPr>
    </w:p>
    <w:p w14:paraId="2A359556">
      <w:pPr>
        <w:pStyle w:val="2"/>
        <w:ind w:firstLine="422"/>
        <w:outlineLvl w:val="9"/>
        <w:rPr>
          <w:rFonts w:hint="eastAsia" w:ascii="宋体" w:hAnsi="宋体" w:cs="宋体"/>
          <w:b/>
          <w:color w:val="auto"/>
          <w:szCs w:val="21"/>
          <w:highlight w:val="none"/>
        </w:rPr>
      </w:pPr>
    </w:p>
    <w:p w14:paraId="64AEBBD6">
      <w:pPr>
        <w:pStyle w:val="2"/>
        <w:ind w:firstLine="422"/>
        <w:outlineLvl w:val="9"/>
        <w:rPr>
          <w:rFonts w:hint="eastAsia" w:ascii="宋体" w:hAnsi="宋体" w:cs="宋体"/>
          <w:b/>
          <w:color w:val="auto"/>
          <w:szCs w:val="21"/>
          <w:highlight w:val="none"/>
        </w:rPr>
      </w:pPr>
    </w:p>
    <w:p w14:paraId="1E68F868">
      <w:pPr>
        <w:ind w:firstLine="422"/>
        <w:outlineLvl w:val="9"/>
        <w:rPr>
          <w:rFonts w:hint="eastAsia" w:ascii="宋体" w:hAnsi="宋体" w:eastAsia="宋体" w:cs="宋体"/>
          <w:color w:val="auto"/>
          <w:sz w:val="21"/>
          <w:szCs w:val="21"/>
          <w:highlight w:val="none"/>
        </w:rPr>
      </w:pPr>
      <w:bookmarkStart w:id="50" w:name="_Toc1465"/>
      <w:bookmarkStart w:id="51" w:name="_Toc22806636"/>
      <w:bookmarkStart w:id="52" w:name="_Toc22406"/>
      <w:r>
        <w:rPr>
          <w:rFonts w:hint="eastAsia" w:ascii="宋体" w:hAnsi="宋体" w:eastAsia="宋体" w:cs="宋体"/>
          <w:color w:val="auto"/>
          <w:sz w:val="21"/>
          <w:szCs w:val="21"/>
          <w:highlight w:val="none"/>
        </w:rPr>
        <w:t>附表3 符合性审查合格供应商名单</w:t>
      </w:r>
      <w:bookmarkEnd w:id="50"/>
      <w:bookmarkEnd w:id="51"/>
      <w:bookmarkEnd w:id="52"/>
    </w:p>
    <w:p w14:paraId="3C0E6454">
      <w:pPr>
        <w:adjustRightInd w:val="0"/>
        <w:snapToGrid w:val="0"/>
        <w:spacing w:before="120" w:beforeLines="50" w:line="360" w:lineRule="auto"/>
        <w:ind w:firstLine="562"/>
        <w:jc w:val="cente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符合性审查合格供应商名单</w:t>
      </w:r>
    </w:p>
    <w:p w14:paraId="0F2BCD59">
      <w:pPr>
        <w:adjustRightInd w:val="0"/>
        <w:snapToGrid w:val="0"/>
        <w:spacing w:before="120" w:beforeLines="50" w:line="360" w:lineRule="auto"/>
        <w:outlineLvl w:val="9"/>
        <w:rPr>
          <w:rFonts w:hint="eastAsia" w:ascii="宋体" w:hAnsi="宋体" w:eastAsia="宋体" w:cs="宋体"/>
          <w:color w:val="auto"/>
          <w:sz w:val="32"/>
          <w:szCs w:val="32"/>
          <w:highlight w:val="none"/>
        </w:rPr>
      </w:pPr>
      <w:r>
        <w:rPr>
          <w:rFonts w:hint="eastAsia" w:ascii="宋体" w:hAnsi="宋体" w:eastAsia="宋体" w:cs="宋体"/>
          <w:color w:val="auto"/>
          <w:szCs w:val="21"/>
          <w:highlight w:val="none"/>
        </w:rPr>
        <w:t>项目名称：                            采购代理编号：             包号：</w:t>
      </w:r>
    </w:p>
    <w:tbl>
      <w:tblPr>
        <w:tblStyle w:val="31"/>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7A35C1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7" w:hRule="atLeast"/>
        </w:trPr>
        <w:tc>
          <w:tcPr>
            <w:tcW w:w="993" w:type="dxa"/>
            <w:vAlign w:val="center"/>
          </w:tcPr>
          <w:p w14:paraId="1E719937">
            <w:pPr>
              <w:outlineLvl w:val="9"/>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7796" w:type="dxa"/>
            <w:vAlign w:val="center"/>
          </w:tcPr>
          <w:p w14:paraId="070F8A35">
            <w:pPr>
              <w:ind w:firstLine="422"/>
              <w:jc w:val="center"/>
              <w:outlineLvl w:val="9"/>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合格供应商名称</w:t>
            </w:r>
          </w:p>
        </w:tc>
      </w:tr>
      <w:tr w14:paraId="6FA717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7B552E44">
            <w:pPr>
              <w:adjustRightInd w:val="0"/>
              <w:snapToGrid w:val="0"/>
              <w:spacing w:line="360" w:lineRule="auto"/>
              <w:outlineLvl w:val="9"/>
              <w:rPr>
                <w:rFonts w:hint="eastAsia" w:ascii="宋体" w:hAnsi="宋体" w:eastAsia="宋体" w:cs="宋体"/>
                <w:color w:val="auto"/>
                <w:kern w:val="0"/>
                <w:szCs w:val="21"/>
                <w:highlight w:val="none"/>
              </w:rPr>
            </w:pPr>
          </w:p>
        </w:tc>
        <w:tc>
          <w:tcPr>
            <w:tcW w:w="7796" w:type="dxa"/>
          </w:tcPr>
          <w:p w14:paraId="0DDCEE1A">
            <w:pPr>
              <w:adjustRightInd w:val="0"/>
              <w:snapToGrid w:val="0"/>
              <w:spacing w:line="360" w:lineRule="auto"/>
              <w:outlineLvl w:val="9"/>
              <w:rPr>
                <w:rFonts w:hint="eastAsia" w:ascii="宋体" w:hAnsi="宋体" w:eastAsia="宋体" w:cs="宋体"/>
                <w:color w:val="auto"/>
                <w:kern w:val="0"/>
                <w:szCs w:val="21"/>
                <w:highlight w:val="none"/>
              </w:rPr>
            </w:pPr>
          </w:p>
        </w:tc>
      </w:tr>
      <w:tr w14:paraId="6336FD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7841B667">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7796" w:type="dxa"/>
          </w:tcPr>
          <w:p w14:paraId="0BFF7BA4">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75D44E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4FA9BBD3">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7796" w:type="dxa"/>
          </w:tcPr>
          <w:p w14:paraId="3D9770EF">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15805F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6CC6F306">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7796" w:type="dxa"/>
          </w:tcPr>
          <w:p w14:paraId="27662AB0">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08EFD0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78C9849F">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7796" w:type="dxa"/>
          </w:tcPr>
          <w:p w14:paraId="65F1D11A">
            <w:pPr>
              <w:adjustRightInd w:val="0"/>
              <w:snapToGrid w:val="0"/>
              <w:spacing w:line="360" w:lineRule="auto"/>
              <w:ind w:firstLine="480"/>
              <w:outlineLvl w:val="9"/>
              <w:rPr>
                <w:rFonts w:hint="eastAsia" w:ascii="宋体" w:hAnsi="宋体" w:eastAsia="宋体" w:cs="宋体"/>
                <w:color w:val="auto"/>
                <w:kern w:val="0"/>
                <w:sz w:val="24"/>
                <w:highlight w:val="none"/>
              </w:rPr>
            </w:pPr>
          </w:p>
        </w:tc>
      </w:tr>
      <w:tr w14:paraId="707FE3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73263F56">
            <w:pPr>
              <w:adjustRightInd w:val="0"/>
              <w:snapToGrid w:val="0"/>
              <w:spacing w:line="360" w:lineRule="auto"/>
              <w:ind w:firstLine="480"/>
              <w:outlineLvl w:val="9"/>
              <w:rPr>
                <w:rFonts w:hint="eastAsia" w:ascii="宋体" w:hAnsi="宋体" w:eastAsia="宋体" w:cs="宋体"/>
                <w:color w:val="auto"/>
                <w:kern w:val="0"/>
                <w:sz w:val="24"/>
                <w:highlight w:val="none"/>
              </w:rPr>
            </w:pPr>
          </w:p>
        </w:tc>
        <w:tc>
          <w:tcPr>
            <w:tcW w:w="7796" w:type="dxa"/>
          </w:tcPr>
          <w:p w14:paraId="1D58BE0E">
            <w:pPr>
              <w:adjustRightInd w:val="0"/>
              <w:snapToGrid w:val="0"/>
              <w:spacing w:line="360" w:lineRule="auto"/>
              <w:ind w:firstLine="480"/>
              <w:outlineLvl w:val="9"/>
              <w:rPr>
                <w:rFonts w:hint="eastAsia" w:ascii="宋体" w:hAnsi="宋体" w:eastAsia="宋体" w:cs="宋体"/>
                <w:color w:val="auto"/>
                <w:kern w:val="0"/>
                <w:sz w:val="24"/>
                <w:highlight w:val="none"/>
              </w:rPr>
            </w:pPr>
          </w:p>
        </w:tc>
      </w:tr>
    </w:tbl>
    <w:p w14:paraId="754D127F">
      <w:pPr>
        <w:outlineLvl w:val="9"/>
        <w:rPr>
          <w:rFonts w:hint="eastAsia" w:ascii="宋体" w:hAnsi="宋体" w:eastAsia="宋体" w:cs="宋体"/>
          <w:color w:val="auto"/>
          <w:w w:val="90"/>
          <w:highlight w:val="none"/>
        </w:rPr>
      </w:pPr>
      <w:r>
        <w:rPr>
          <w:rFonts w:hint="eastAsia" w:ascii="宋体" w:hAnsi="宋体" w:eastAsia="宋体" w:cs="宋体"/>
          <w:color w:val="auto"/>
          <w:szCs w:val="21"/>
          <w:highlight w:val="none"/>
        </w:rPr>
        <w:t>磋商小组全体成员（签字）：</w:t>
      </w:r>
    </w:p>
    <w:p w14:paraId="28CB7F29">
      <w:pPr>
        <w:adjustRightInd w:val="0"/>
        <w:snapToGrid w:val="0"/>
        <w:spacing w:line="360" w:lineRule="auto"/>
        <w:outlineLvl w:val="9"/>
        <w:rPr>
          <w:rFonts w:hint="eastAsia" w:ascii="宋体" w:hAnsi="宋体" w:eastAsia="宋体" w:cs="宋体"/>
          <w:color w:val="auto"/>
          <w:szCs w:val="21"/>
          <w:highlight w:val="none"/>
        </w:rPr>
      </w:pPr>
    </w:p>
    <w:p w14:paraId="21DA0676">
      <w:pPr>
        <w:adjustRightInd w:val="0"/>
        <w:snapToGrid w:val="0"/>
        <w:spacing w:line="360" w:lineRule="auto"/>
        <w:outlineLvl w:val="9"/>
        <w:rPr>
          <w:rFonts w:hint="eastAsia" w:ascii="宋体" w:hAnsi="宋体" w:eastAsia="宋体" w:cs="宋体"/>
          <w:bCs/>
          <w:color w:val="auto"/>
          <w:sz w:val="24"/>
          <w:highlight w:val="none"/>
        </w:rPr>
      </w:pPr>
      <w:r>
        <w:rPr>
          <w:rFonts w:hint="eastAsia" w:ascii="宋体" w:hAnsi="宋体" w:eastAsia="宋体" w:cs="宋体"/>
          <w:color w:val="auto"/>
          <w:szCs w:val="21"/>
          <w:highlight w:val="none"/>
        </w:rPr>
        <w:t>日期： 年 月 日</w:t>
      </w:r>
    </w:p>
    <w:p w14:paraId="4436AA0B">
      <w:pPr>
        <w:adjustRightInd w:val="0"/>
        <w:snapToGrid w:val="0"/>
        <w:spacing w:line="360" w:lineRule="auto"/>
        <w:ind w:firstLine="480"/>
        <w:outlineLvl w:val="9"/>
        <w:rPr>
          <w:rFonts w:hint="eastAsia" w:ascii="宋体" w:hAnsi="宋体" w:eastAsia="宋体" w:cs="宋体"/>
          <w:bCs/>
          <w:color w:val="auto"/>
          <w:sz w:val="24"/>
          <w:highlight w:val="none"/>
        </w:rPr>
      </w:pPr>
    </w:p>
    <w:p w14:paraId="00264549">
      <w:pPr>
        <w:adjustRightInd w:val="0"/>
        <w:snapToGrid w:val="0"/>
        <w:spacing w:line="360" w:lineRule="auto"/>
        <w:ind w:firstLine="480"/>
        <w:outlineLvl w:val="9"/>
        <w:rPr>
          <w:rFonts w:hint="eastAsia" w:ascii="宋体" w:hAnsi="宋体" w:eastAsia="宋体" w:cs="宋体"/>
          <w:bCs/>
          <w:color w:val="auto"/>
          <w:sz w:val="24"/>
          <w:highlight w:val="none"/>
        </w:rPr>
      </w:pPr>
    </w:p>
    <w:p w14:paraId="573CBA77">
      <w:pPr>
        <w:adjustRightInd w:val="0"/>
        <w:snapToGrid w:val="0"/>
        <w:spacing w:line="360" w:lineRule="auto"/>
        <w:ind w:firstLine="480"/>
        <w:outlineLvl w:val="9"/>
        <w:rPr>
          <w:rFonts w:hint="eastAsia" w:ascii="宋体" w:hAnsi="宋体" w:eastAsia="宋体" w:cs="宋体"/>
          <w:bCs/>
          <w:color w:val="auto"/>
          <w:sz w:val="24"/>
          <w:highlight w:val="none"/>
        </w:rPr>
      </w:pPr>
    </w:p>
    <w:p w14:paraId="4FCA42DE">
      <w:pPr>
        <w:adjustRightInd w:val="0"/>
        <w:snapToGrid w:val="0"/>
        <w:spacing w:line="360" w:lineRule="auto"/>
        <w:ind w:firstLine="480"/>
        <w:outlineLvl w:val="9"/>
        <w:rPr>
          <w:rFonts w:hint="eastAsia" w:ascii="宋体" w:hAnsi="宋体" w:eastAsia="宋体" w:cs="宋体"/>
          <w:bCs/>
          <w:color w:val="auto"/>
          <w:sz w:val="24"/>
          <w:highlight w:val="none"/>
        </w:rPr>
      </w:pPr>
    </w:p>
    <w:p w14:paraId="1D742C7F">
      <w:pPr>
        <w:adjustRightInd w:val="0"/>
        <w:snapToGrid w:val="0"/>
        <w:spacing w:line="360" w:lineRule="auto"/>
        <w:ind w:firstLine="482"/>
        <w:jc w:val="center"/>
        <w:outlineLvl w:val="9"/>
        <w:rPr>
          <w:rFonts w:hint="eastAsia" w:ascii="宋体" w:hAnsi="宋体" w:eastAsia="宋体" w:cs="宋体"/>
          <w:b/>
          <w:color w:val="auto"/>
          <w:sz w:val="24"/>
          <w:szCs w:val="20"/>
          <w:highlight w:val="none"/>
        </w:rPr>
        <w:sectPr>
          <w:pgSz w:w="11906" w:h="16838"/>
          <w:pgMar w:top="1440" w:right="1800" w:bottom="1440" w:left="1800" w:header="567" w:footer="283" w:gutter="0"/>
          <w:paperSrc w:first="1" w:other="1"/>
          <w:pgNumType w:fmt="decimal"/>
          <w:cols w:space="720" w:num="1"/>
          <w:docGrid w:linePitch="312" w:charSpace="0"/>
        </w:sectPr>
      </w:pPr>
    </w:p>
    <w:p w14:paraId="0CDBC28E">
      <w:pPr>
        <w:adjustRightInd w:val="0"/>
        <w:snapToGrid w:val="0"/>
        <w:ind w:firstLine="562"/>
        <w:jc w:val="center"/>
        <w:outlineLvl w:val="1"/>
        <w:rPr>
          <w:rFonts w:hint="eastAsia" w:ascii="宋体" w:hAnsi="宋体" w:eastAsia="宋体" w:cs="宋体"/>
          <w:b/>
          <w:bCs/>
          <w:color w:val="auto"/>
          <w:sz w:val="28"/>
          <w:szCs w:val="28"/>
          <w:highlight w:val="none"/>
        </w:rPr>
      </w:pPr>
      <w:bookmarkStart w:id="53" w:name="_Toc39092084"/>
      <w:bookmarkStart w:id="54" w:name="_Toc16833"/>
      <w:r>
        <w:rPr>
          <w:rFonts w:hint="eastAsia" w:ascii="宋体" w:hAnsi="宋体" w:eastAsia="宋体" w:cs="宋体"/>
          <w:b/>
          <w:bCs/>
          <w:color w:val="auto"/>
          <w:sz w:val="28"/>
          <w:szCs w:val="28"/>
          <w:highlight w:val="none"/>
        </w:rPr>
        <w:t>第</w:t>
      </w:r>
      <w:r>
        <w:rPr>
          <w:rFonts w:hint="eastAsia" w:ascii="宋体" w:hAnsi="宋体" w:eastAsia="宋体" w:cs="宋体"/>
          <w:b/>
          <w:bCs/>
          <w:color w:val="auto"/>
          <w:sz w:val="28"/>
          <w:szCs w:val="28"/>
          <w:highlight w:val="none"/>
          <w:lang w:eastAsia="zh-CN"/>
        </w:rPr>
        <w:t>五</w:t>
      </w:r>
      <w:r>
        <w:rPr>
          <w:rFonts w:hint="eastAsia" w:ascii="宋体" w:hAnsi="宋体" w:eastAsia="宋体" w:cs="宋体"/>
          <w:b/>
          <w:bCs/>
          <w:color w:val="auto"/>
          <w:sz w:val="28"/>
          <w:szCs w:val="28"/>
          <w:highlight w:val="none"/>
        </w:rPr>
        <w:t>节 响应文件的比较与评价</w:t>
      </w:r>
      <w:bookmarkEnd w:id="53"/>
      <w:bookmarkEnd w:id="54"/>
    </w:p>
    <w:p w14:paraId="65C380D3">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82"/>
        <w:jc w:val="left"/>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1.综合评分法</w:t>
      </w:r>
    </w:p>
    <w:p w14:paraId="1832042F">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20" w:firstLineChars="200"/>
        <w:jc w:val="left"/>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1.1综合评分法，指响应文件满足磋商文件全部实质性要求，且按照评审因素的量化指标评审得分最高的供应商为成交候选供应商的评审办法。</w:t>
      </w:r>
    </w:p>
    <w:p w14:paraId="51D73745">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20" w:firstLineChars="200"/>
        <w:jc w:val="left"/>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1.2评审因素：评审因素的设定应当与供应商所提供服务的质量相关，包括最终报价、技术或者服务水平、履约能力、售后服务等，但不包括第一章供应商的资格要求。本采购项目的评审因素和标准见本章本节附页1“评审办法及标准表”。</w:t>
      </w:r>
    </w:p>
    <w:p w14:paraId="487034BF">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20" w:firstLineChars="200"/>
        <w:jc w:val="left"/>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1.3未通过资格性审查或符合性审查的响应文件不得进入比较与评价。</w:t>
      </w:r>
    </w:p>
    <w:p w14:paraId="13A465B2">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82"/>
        <w:jc w:val="left"/>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2.磋商报价的算术修正及政府采购政策调整</w:t>
      </w:r>
    </w:p>
    <w:p w14:paraId="24DE1D21">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20" w:firstLineChars="200"/>
        <w:jc w:val="left"/>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2.1如果有算术错误，磋商报价将按本章第二节第5.2款、第5.3款规定进行算术修正。</w:t>
      </w:r>
    </w:p>
    <w:p w14:paraId="78104F0E">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20" w:firstLineChars="200"/>
        <w:jc w:val="left"/>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2.2需落实政府采购政策（价格评审优惠）的，按第二章“响应须知”及本章第二节第6.3（1）项的相关规定进行价格调整。</w:t>
      </w:r>
    </w:p>
    <w:p w14:paraId="24B5C4A6">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20" w:firstLineChars="200"/>
        <w:jc w:val="left"/>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2.3按本章本节第5.1款、第5.2款规定，以修正或调整后的价格确定供应商的磋商报价和评审基准价，用于磋商报价评价。</w:t>
      </w:r>
    </w:p>
    <w:p w14:paraId="6C45D1D2">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82"/>
        <w:jc w:val="left"/>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3.磋商报价评价</w:t>
      </w:r>
    </w:p>
    <w:p w14:paraId="4D8F43FF">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3.1磋商报价评价：价格分应当采用低价优先法计算，即满足磋商文件要求且响应价格最低的磋商报价为评审基准价，其价格分为满分（报价权重分）。其他供应商的价格分统一按照下列公式计算：</w:t>
      </w:r>
    </w:p>
    <w:p w14:paraId="0C307E42">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磋商报价得分=（磋商基准价</w:t>
      </w:r>
      <w:r>
        <w:rPr>
          <w:rFonts w:hint="eastAsia" w:ascii="宋体" w:hAnsi="宋体" w:eastAsia="宋体" w:cs="宋体"/>
          <w:color w:val="auto"/>
          <w:szCs w:val="21"/>
          <w:highlight w:val="none"/>
          <w:vertAlign w:val="subscript"/>
        </w:rPr>
        <w:t>修正或调整</w:t>
      </w:r>
      <w:r>
        <w:rPr>
          <w:rFonts w:hint="eastAsia" w:ascii="宋体" w:hAnsi="宋体" w:eastAsia="宋体" w:cs="宋体"/>
          <w:color w:val="auto"/>
          <w:szCs w:val="21"/>
          <w:highlight w:val="none"/>
        </w:rPr>
        <w:t>／最后磋商报价</w:t>
      </w:r>
      <w:r>
        <w:rPr>
          <w:rFonts w:hint="eastAsia" w:ascii="宋体" w:hAnsi="宋体" w:eastAsia="宋体" w:cs="宋体"/>
          <w:color w:val="auto"/>
          <w:szCs w:val="21"/>
          <w:highlight w:val="none"/>
          <w:vertAlign w:val="subscript"/>
        </w:rPr>
        <w:t>修正或调整</w:t>
      </w:r>
      <w:r>
        <w:rPr>
          <w:rFonts w:hint="eastAsia" w:ascii="宋体" w:hAnsi="宋体" w:eastAsia="宋体" w:cs="宋体"/>
          <w:color w:val="auto"/>
          <w:szCs w:val="21"/>
          <w:highlight w:val="none"/>
        </w:rPr>
        <w:t>）×报价权重分</w:t>
      </w:r>
    </w:p>
    <w:p w14:paraId="3B685DAD">
      <w:pPr>
        <w:pStyle w:val="2"/>
        <w:keepNext w:val="0"/>
        <w:keepLines w:val="0"/>
        <w:pageBreakBefore w:val="0"/>
        <w:widowControl w:val="0"/>
        <w:kinsoku/>
        <w:wordWrap w:val="0"/>
        <w:overflowPunct/>
        <w:topLinePunct w:val="0"/>
        <w:autoSpaceDE w:val="0"/>
        <w:autoSpaceDN w:val="0"/>
        <w:bidi w:val="0"/>
        <w:adjustRightInd w:val="0"/>
        <w:snapToGrid w:val="0"/>
        <w:spacing w:after="0" w:line="340" w:lineRule="exact"/>
        <w:ind w:left="0" w:leftChars="0" w:firstLineChars="200"/>
        <w:textAlignment w:val="auto"/>
        <w:outlineLvl w:val="9"/>
        <w:rPr>
          <w:rFonts w:hint="eastAsia" w:ascii="宋体" w:hAnsi="宋体" w:cs="宋体"/>
          <w:color w:val="auto"/>
          <w:kern w:val="2"/>
          <w:szCs w:val="21"/>
          <w:highlight w:val="none"/>
        </w:rPr>
      </w:pPr>
      <w:r>
        <w:rPr>
          <w:rFonts w:hint="eastAsia" w:ascii="宋体" w:hAnsi="宋体" w:cs="宋体"/>
          <w:color w:val="auto"/>
          <w:kern w:val="2"/>
          <w:szCs w:val="21"/>
          <w:highlight w:val="none"/>
        </w:rPr>
        <w:t>3.2 项目评审过程中，不得去掉最后高价中的最高报价和最低报价。</w:t>
      </w:r>
    </w:p>
    <w:p w14:paraId="2DDE9C6D">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82"/>
        <w:jc w:val="left"/>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4.技术、商务等评分项响应评价及政府采购政策加分</w:t>
      </w:r>
    </w:p>
    <w:p w14:paraId="5023CEA0">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4.1技术、商务等评分项响应评分。按</w:t>
      </w:r>
      <w:r>
        <w:rPr>
          <w:rFonts w:hint="eastAsia" w:ascii="宋体" w:hAnsi="宋体" w:eastAsia="宋体" w:cs="宋体"/>
          <w:bCs/>
          <w:color w:val="auto"/>
          <w:szCs w:val="21"/>
          <w:highlight w:val="none"/>
        </w:rPr>
        <w:t>本章</w:t>
      </w:r>
      <w:r>
        <w:rPr>
          <w:rFonts w:hint="eastAsia" w:ascii="宋体" w:hAnsi="宋体" w:eastAsia="宋体" w:cs="宋体"/>
          <w:color w:val="auto"/>
          <w:szCs w:val="21"/>
          <w:highlight w:val="none"/>
        </w:rPr>
        <w:t>本节附页1“评审办法及标准表”规定的评审因素和标准，对技术、商务等评分项计算得分。</w:t>
      </w:r>
    </w:p>
    <w:p w14:paraId="08BA9F7A">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4.2需落实政府采购政策（优先采购）的，按第二章、本章第二节第6.3（2）项以及本节附页1“评审办法及标准表”的相关规定进行技术、价格、商务项得分(加分)计算。</w:t>
      </w:r>
    </w:p>
    <w:p w14:paraId="7A84CC81">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82"/>
        <w:jc w:val="left"/>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5.评审总得分</w:t>
      </w:r>
    </w:p>
    <w:p w14:paraId="53A6721D">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5.1评审总得分为磋商报价、技术、商务等评分项得分(含优先采购政策加分)之和。</w:t>
      </w:r>
    </w:p>
    <w:p w14:paraId="3374A91D">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评审总得分＝A</w:t>
      </w:r>
      <w:r>
        <w:rPr>
          <w:rFonts w:hint="eastAsia" w:ascii="宋体" w:hAnsi="宋体" w:eastAsia="宋体" w:cs="宋体"/>
          <w:color w:val="auto"/>
          <w:szCs w:val="21"/>
          <w:highlight w:val="none"/>
          <w:vertAlign w:val="subscript"/>
        </w:rPr>
        <w:t>磋商报价得分</w:t>
      </w:r>
      <w:r>
        <w:rPr>
          <w:rFonts w:hint="eastAsia" w:ascii="宋体" w:hAnsi="宋体" w:eastAsia="宋体" w:cs="宋体"/>
          <w:color w:val="auto"/>
          <w:szCs w:val="21"/>
          <w:highlight w:val="none"/>
        </w:rPr>
        <w:t>＋A</w:t>
      </w:r>
      <w:r>
        <w:rPr>
          <w:rFonts w:hint="eastAsia" w:ascii="宋体" w:hAnsi="宋体" w:eastAsia="宋体" w:cs="宋体"/>
          <w:color w:val="auto"/>
          <w:szCs w:val="21"/>
          <w:highlight w:val="none"/>
          <w:vertAlign w:val="subscript"/>
        </w:rPr>
        <w:t>技术项得分</w:t>
      </w:r>
      <w:r>
        <w:rPr>
          <w:rFonts w:hint="eastAsia" w:ascii="宋体" w:hAnsi="宋体" w:eastAsia="宋体" w:cs="宋体"/>
          <w:color w:val="auto"/>
          <w:szCs w:val="21"/>
          <w:highlight w:val="none"/>
        </w:rPr>
        <w:t>＋A</w:t>
      </w:r>
      <w:r>
        <w:rPr>
          <w:rFonts w:hint="eastAsia" w:ascii="宋体" w:hAnsi="宋体" w:eastAsia="宋体" w:cs="宋体"/>
          <w:color w:val="auto"/>
          <w:szCs w:val="21"/>
          <w:highlight w:val="none"/>
          <w:vertAlign w:val="subscript"/>
        </w:rPr>
        <w:t>商务项得分</w:t>
      </w:r>
      <w:r>
        <w:rPr>
          <w:rFonts w:hint="eastAsia" w:ascii="宋体" w:hAnsi="宋体" w:eastAsia="宋体" w:cs="宋体"/>
          <w:color w:val="auto"/>
          <w:szCs w:val="21"/>
          <w:highlight w:val="none"/>
        </w:rPr>
        <w:t>＋A</w:t>
      </w:r>
      <w:r>
        <w:rPr>
          <w:rFonts w:hint="eastAsia" w:ascii="宋体" w:hAnsi="宋体" w:eastAsia="宋体" w:cs="宋体"/>
          <w:color w:val="auto"/>
          <w:szCs w:val="21"/>
          <w:highlight w:val="none"/>
          <w:vertAlign w:val="subscript"/>
        </w:rPr>
        <w:t>优先采购加分</w:t>
      </w:r>
    </w:p>
    <w:p w14:paraId="1D888A90">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5.2评分分值计算保留小数点后两位，小数点后第三位“四舍五入”。</w:t>
      </w:r>
    </w:p>
    <w:p w14:paraId="1A3885AA">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5.3</w:t>
      </w:r>
      <w:r>
        <w:rPr>
          <w:rFonts w:hint="eastAsia" w:ascii="宋体" w:hAnsi="宋体" w:eastAsia="宋体" w:cs="宋体"/>
          <w:color w:val="auto"/>
          <w:szCs w:val="21"/>
          <w:highlight w:val="none"/>
        </w:rPr>
        <w:t>评审时，磋商小组成员应当独立对满足磋商文件全部实质性要求供应商的</w:t>
      </w:r>
      <w:r>
        <w:rPr>
          <w:rFonts w:hint="eastAsia" w:ascii="宋体" w:hAnsi="宋体" w:eastAsia="宋体" w:cs="宋体"/>
          <w:bCs/>
          <w:color w:val="auto"/>
          <w:szCs w:val="21"/>
          <w:highlight w:val="none"/>
        </w:rPr>
        <w:t>响应文件</w:t>
      </w:r>
      <w:r>
        <w:rPr>
          <w:rFonts w:hint="eastAsia" w:ascii="宋体" w:hAnsi="宋体" w:eastAsia="宋体" w:cs="宋体"/>
          <w:color w:val="auto"/>
          <w:szCs w:val="21"/>
          <w:highlight w:val="none"/>
        </w:rPr>
        <w:t>进行评价、评分，然后汇总每个供应商每项评分因素的得分。每个供应商的最终得分为所有磋商小组成员评分的算术平均值。</w:t>
      </w:r>
    </w:p>
    <w:p w14:paraId="056C8BF3">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82"/>
        <w:jc w:val="left"/>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6.成交候选供应商的推荐方法</w:t>
      </w:r>
    </w:p>
    <w:p w14:paraId="30419DCE">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20" w:firstLineChars="200"/>
        <w:jc w:val="left"/>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6.1评审结果按评审后得分由高到低顺序排列。得分相同的，按磋商报价由低到高顺序排列。得分且磋商报价相同的并列。响应文件满足磋商文件全部实质性要求，且按照评审因素的量化指标评审得分最高的供应商为排名第一的成交候选供应商。</w:t>
      </w:r>
    </w:p>
    <w:p w14:paraId="604FA7F9">
      <w:pPr>
        <w:keepNext w:val="0"/>
        <w:keepLines w:val="0"/>
        <w:pageBreakBefore w:val="0"/>
        <w:widowControl w:val="0"/>
        <w:kinsoku/>
        <w:wordWrap w:val="0"/>
        <w:overflowPunct/>
        <w:topLinePunct w:val="0"/>
        <w:autoSpaceDE w:val="0"/>
        <w:autoSpaceDN w:val="0"/>
        <w:bidi w:val="0"/>
        <w:adjustRightInd w:val="0"/>
        <w:snapToGrid w:val="0"/>
        <w:spacing w:line="340" w:lineRule="exact"/>
        <w:ind w:firstLine="420" w:firstLineChars="200"/>
        <w:jc w:val="left"/>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6.2得分且磋商报价相同的并列，按本章第二节规定确定成交候选供应商。</w:t>
      </w:r>
    </w:p>
    <w:p w14:paraId="6AEBE7E0">
      <w:pPr>
        <w:adjustRightInd w:val="0"/>
        <w:snapToGrid w:val="0"/>
        <w:spacing w:line="360" w:lineRule="auto"/>
        <w:ind w:firstLine="482"/>
        <w:jc w:val="center"/>
        <w:outlineLvl w:val="9"/>
        <w:rPr>
          <w:rFonts w:hint="eastAsia" w:ascii="宋体" w:hAnsi="宋体" w:eastAsia="宋体" w:cs="宋体"/>
          <w:b/>
          <w:color w:val="auto"/>
          <w:sz w:val="24"/>
          <w:szCs w:val="20"/>
          <w:highlight w:val="none"/>
        </w:rPr>
      </w:pPr>
    </w:p>
    <w:p w14:paraId="6A2974DE">
      <w:pPr>
        <w:adjustRightInd w:val="0"/>
        <w:snapToGrid w:val="0"/>
        <w:spacing w:line="360" w:lineRule="auto"/>
        <w:ind w:firstLine="482"/>
        <w:jc w:val="center"/>
        <w:outlineLvl w:val="9"/>
        <w:rPr>
          <w:rFonts w:hint="eastAsia" w:ascii="宋体" w:hAnsi="宋体" w:eastAsia="宋体" w:cs="宋体"/>
          <w:b/>
          <w:color w:val="auto"/>
          <w:sz w:val="24"/>
          <w:szCs w:val="20"/>
          <w:highlight w:val="none"/>
        </w:rPr>
        <w:sectPr>
          <w:footerReference r:id="rId6" w:type="default"/>
          <w:pgSz w:w="11906" w:h="16839"/>
          <w:pgMar w:top="1440" w:right="1800" w:bottom="1440" w:left="1800" w:header="0" w:footer="994" w:gutter="0"/>
          <w:pgNumType w:fmt="decimal"/>
          <w:cols w:space="720" w:num="1"/>
        </w:sectPr>
      </w:pPr>
    </w:p>
    <w:p w14:paraId="53754855">
      <w:pPr>
        <w:adjustRightInd w:val="0"/>
        <w:snapToGrid w:val="0"/>
        <w:spacing w:line="360" w:lineRule="auto"/>
        <w:jc w:val="center"/>
        <w:outlineLvl w:val="9"/>
        <w:rPr>
          <w:rFonts w:hint="eastAsia" w:ascii="宋体" w:hAnsi="宋体" w:eastAsia="宋体" w:cs="宋体"/>
          <w:bCs/>
          <w:color w:val="auto"/>
          <w:sz w:val="24"/>
          <w:highlight w:val="none"/>
        </w:rPr>
      </w:pPr>
      <w:r>
        <w:rPr>
          <w:rFonts w:hint="eastAsia" w:ascii="宋体" w:hAnsi="宋体" w:eastAsia="宋体" w:cs="宋体"/>
          <w:b/>
          <w:color w:val="auto"/>
          <w:sz w:val="24"/>
          <w:szCs w:val="20"/>
          <w:highlight w:val="none"/>
        </w:rPr>
        <w:t>供应商综合评分表</w:t>
      </w:r>
    </w:p>
    <w:tbl>
      <w:tblPr>
        <w:tblStyle w:val="30"/>
        <w:tblW w:w="5000" w:type="pct"/>
        <w:jc w:val="center"/>
        <w:tblLayout w:type="autofit"/>
        <w:tblCellMar>
          <w:top w:w="0" w:type="dxa"/>
          <w:left w:w="0" w:type="dxa"/>
          <w:bottom w:w="0" w:type="dxa"/>
          <w:right w:w="0" w:type="dxa"/>
        </w:tblCellMar>
      </w:tblPr>
      <w:tblGrid>
        <w:gridCol w:w="4860"/>
        <w:gridCol w:w="3462"/>
      </w:tblGrid>
      <w:tr w14:paraId="14B34D7E">
        <w:tblPrEx>
          <w:tblCellMar>
            <w:top w:w="0" w:type="dxa"/>
            <w:left w:w="0" w:type="dxa"/>
            <w:bottom w:w="0" w:type="dxa"/>
            <w:right w:w="0" w:type="dxa"/>
          </w:tblCellMar>
        </w:tblPrEx>
        <w:trPr>
          <w:trHeight w:val="397" w:hRule="atLeast"/>
          <w:jc w:val="center"/>
        </w:trPr>
        <w:tc>
          <w:tcPr>
            <w:tcW w:w="5000" w:type="pct"/>
            <w:gridSpan w:val="2"/>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5564BCFE">
            <w:pPr>
              <w:widowControl/>
              <w:jc w:val="center"/>
              <w:outlineLvl w:val="9"/>
              <w:rPr>
                <w:rFonts w:hint="eastAsia" w:ascii="宋体" w:hAnsi="宋体"/>
                <w:color w:val="auto"/>
                <w:kern w:val="0"/>
                <w:szCs w:val="21"/>
                <w:highlight w:val="none"/>
              </w:rPr>
            </w:pPr>
            <w:bookmarkStart w:id="55" w:name="_Hlk77107547"/>
            <w:r>
              <w:rPr>
                <w:rFonts w:ascii="宋体" w:hAnsi="宋体"/>
                <w:color w:val="auto"/>
                <w:kern w:val="0"/>
                <w:szCs w:val="21"/>
                <w:highlight w:val="none"/>
              </w:rPr>
              <w:t>评审因素及权值</w:t>
            </w:r>
          </w:p>
        </w:tc>
      </w:tr>
      <w:tr w14:paraId="3ADCB16E">
        <w:tblPrEx>
          <w:tblCellMar>
            <w:top w:w="0" w:type="dxa"/>
            <w:left w:w="0" w:type="dxa"/>
            <w:bottom w:w="0" w:type="dxa"/>
            <w:right w:w="0" w:type="dxa"/>
          </w:tblCellMar>
        </w:tblPrEx>
        <w:trPr>
          <w:trHeight w:val="397" w:hRule="atLeast"/>
          <w:jc w:val="center"/>
        </w:trPr>
        <w:tc>
          <w:tcPr>
            <w:tcW w:w="3071" w:type="pct"/>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3DB09FDC">
            <w:pPr>
              <w:widowControl/>
              <w:jc w:val="center"/>
              <w:outlineLvl w:val="9"/>
              <w:rPr>
                <w:rFonts w:hint="eastAsia" w:ascii="宋体" w:hAnsi="宋体"/>
                <w:color w:val="auto"/>
                <w:kern w:val="0"/>
                <w:szCs w:val="21"/>
                <w:highlight w:val="none"/>
              </w:rPr>
            </w:pPr>
            <w:r>
              <w:rPr>
                <w:rFonts w:ascii="宋体" w:hAnsi="宋体"/>
                <w:color w:val="auto"/>
                <w:kern w:val="0"/>
                <w:szCs w:val="21"/>
                <w:highlight w:val="none"/>
              </w:rPr>
              <w:t>评审因素</w:t>
            </w:r>
          </w:p>
        </w:tc>
        <w:tc>
          <w:tcPr>
            <w:tcW w:w="1929" w:type="pct"/>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3BF18088">
            <w:pPr>
              <w:widowControl/>
              <w:jc w:val="center"/>
              <w:outlineLvl w:val="9"/>
              <w:rPr>
                <w:rFonts w:hint="eastAsia" w:ascii="宋体" w:hAnsi="宋体"/>
                <w:color w:val="auto"/>
                <w:kern w:val="0"/>
                <w:szCs w:val="21"/>
                <w:highlight w:val="none"/>
              </w:rPr>
            </w:pPr>
            <w:r>
              <w:rPr>
                <w:rFonts w:hint="eastAsia" w:ascii="宋体" w:hAnsi="宋体"/>
                <w:color w:val="auto"/>
                <w:kern w:val="0"/>
                <w:szCs w:val="21"/>
                <w:highlight w:val="none"/>
              </w:rPr>
              <w:t>权值</w:t>
            </w:r>
          </w:p>
        </w:tc>
      </w:tr>
      <w:tr w14:paraId="07A61146">
        <w:tblPrEx>
          <w:tblCellMar>
            <w:top w:w="0" w:type="dxa"/>
            <w:left w:w="0" w:type="dxa"/>
            <w:bottom w:w="0" w:type="dxa"/>
            <w:right w:w="0" w:type="dxa"/>
          </w:tblCellMar>
        </w:tblPrEx>
        <w:trPr>
          <w:trHeight w:val="397" w:hRule="atLeast"/>
          <w:jc w:val="center"/>
        </w:trPr>
        <w:tc>
          <w:tcPr>
            <w:tcW w:w="3071" w:type="pct"/>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3F8FA280">
            <w:pPr>
              <w:widowControl/>
              <w:jc w:val="center"/>
              <w:outlineLvl w:val="9"/>
              <w:rPr>
                <w:rFonts w:hint="eastAsia" w:ascii="宋体" w:hAnsi="宋体"/>
                <w:color w:val="auto"/>
                <w:kern w:val="0"/>
                <w:szCs w:val="21"/>
                <w:highlight w:val="none"/>
              </w:rPr>
            </w:pPr>
            <w:r>
              <w:rPr>
                <w:rFonts w:ascii="宋体" w:hAnsi="宋体"/>
                <w:color w:val="auto"/>
                <w:kern w:val="0"/>
                <w:szCs w:val="21"/>
                <w:highlight w:val="none"/>
              </w:rPr>
              <w:t>技术部分</w:t>
            </w:r>
          </w:p>
        </w:tc>
        <w:tc>
          <w:tcPr>
            <w:tcW w:w="3462"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0459E4AA">
            <w:pPr>
              <w:widowControl/>
              <w:jc w:val="center"/>
              <w:outlineLvl w:val="9"/>
              <w:rPr>
                <w:rFonts w:hint="default" w:ascii="宋体" w:hAnsi="宋体" w:eastAsiaTheme="minorEastAsia"/>
                <w:color w:val="auto"/>
                <w:kern w:val="0"/>
                <w:szCs w:val="21"/>
                <w:highlight w:val="none"/>
                <w:lang w:val="en-US" w:eastAsia="zh-CN"/>
              </w:rPr>
            </w:pPr>
            <w:r>
              <w:rPr>
                <w:rFonts w:hint="eastAsia" w:ascii="宋体" w:hAnsi="宋体"/>
                <w:color w:val="auto"/>
                <w:kern w:val="0"/>
                <w:szCs w:val="21"/>
                <w:highlight w:val="none"/>
                <w:lang w:val="en-US" w:eastAsia="zh-CN"/>
              </w:rPr>
              <w:t>68</w:t>
            </w:r>
          </w:p>
        </w:tc>
      </w:tr>
      <w:tr w14:paraId="43A12D2A">
        <w:tblPrEx>
          <w:tblCellMar>
            <w:top w:w="0" w:type="dxa"/>
            <w:left w:w="0" w:type="dxa"/>
            <w:bottom w:w="0" w:type="dxa"/>
            <w:right w:w="0" w:type="dxa"/>
          </w:tblCellMar>
        </w:tblPrEx>
        <w:trPr>
          <w:trHeight w:val="397" w:hRule="atLeast"/>
          <w:jc w:val="center"/>
        </w:trPr>
        <w:tc>
          <w:tcPr>
            <w:tcW w:w="3071" w:type="pct"/>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08F150CC">
            <w:pPr>
              <w:widowControl/>
              <w:jc w:val="center"/>
              <w:outlineLvl w:val="9"/>
              <w:rPr>
                <w:rFonts w:hint="eastAsia" w:ascii="宋体" w:hAnsi="宋体"/>
                <w:color w:val="auto"/>
                <w:kern w:val="0"/>
                <w:szCs w:val="21"/>
                <w:highlight w:val="none"/>
              </w:rPr>
            </w:pPr>
            <w:r>
              <w:rPr>
                <w:rFonts w:ascii="宋体" w:hAnsi="宋体"/>
                <w:color w:val="auto"/>
                <w:kern w:val="0"/>
                <w:szCs w:val="21"/>
                <w:highlight w:val="none"/>
              </w:rPr>
              <w:t>商务部分</w:t>
            </w:r>
          </w:p>
        </w:tc>
        <w:tc>
          <w:tcPr>
            <w:tcW w:w="3462"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2CB55596">
            <w:pPr>
              <w:widowControl/>
              <w:jc w:val="center"/>
              <w:outlineLvl w:val="9"/>
              <w:rPr>
                <w:rFonts w:hint="default" w:ascii="宋体" w:hAnsi="宋体" w:eastAsiaTheme="minorEastAsia"/>
                <w:color w:val="auto"/>
                <w:kern w:val="0"/>
                <w:szCs w:val="21"/>
                <w:highlight w:val="none"/>
                <w:lang w:val="en-US" w:eastAsia="zh-CN"/>
              </w:rPr>
            </w:pPr>
            <w:r>
              <w:rPr>
                <w:rFonts w:hint="eastAsia" w:ascii="宋体" w:hAnsi="宋体"/>
                <w:color w:val="auto"/>
                <w:kern w:val="0"/>
                <w:szCs w:val="21"/>
                <w:highlight w:val="none"/>
                <w:lang w:val="en-US" w:eastAsia="zh-CN"/>
              </w:rPr>
              <w:t>12</w:t>
            </w:r>
          </w:p>
        </w:tc>
      </w:tr>
      <w:tr w14:paraId="238E8829">
        <w:tblPrEx>
          <w:tblCellMar>
            <w:top w:w="0" w:type="dxa"/>
            <w:left w:w="0" w:type="dxa"/>
            <w:bottom w:w="0" w:type="dxa"/>
            <w:right w:w="0" w:type="dxa"/>
          </w:tblCellMar>
        </w:tblPrEx>
        <w:trPr>
          <w:trHeight w:val="410" w:hRule="atLeast"/>
          <w:jc w:val="center"/>
        </w:trPr>
        <w:tc>
          <w:tcPr>
            <w:tcW w:w="3071" w:type="pct"/>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194E7DA6">
            <w:pPr>
              <w:widowControl/>
              <w:jc w:val="center"/>
              <w:outlineLvl w:val="9"/>
              <w:rPr>
                <w:rFonts w:hint="eastAsia" w:ascii="宋体" w:hAnsi="宋体"/>
                <w:color w:val="auto"/>
                <w:kern w:val="0"/>
                <w:szCs w:val="21"/>
                <w:highlight w:val="none"/>
              </w:rPr>
            </w:pPr>
            <w:r>
              <w:rPr>
                <w:rFonts w:ascii="宋体" w:hAnsi="宋体"/>
                <w:color w:val="auto"/>
                <w:kern w:val="0"/>
                <w:szCs w:val="21"/>
                <w:highlight w:val="none"/>
              </w:rPr>
              <w:t>价格部分</w:t>
            </w:r>
          </w:p>
        </w:tc>
        <w:tc>
          <w:tcPr>
            <w:tcW w:w="3462"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73371787">
            <w:pPr>
              <w:widowControl/>
              <w:jc w:val="center"/>
              <w:outlineLvl w:val="9"/>
              <w:rPr>
                <w:rFonts w:hint="default" w:ascii="宋体" w:hAnsi="宋体" w:eastAsiaTheme="minorEastAsia"/>
                <w:color w:val="auto"/>
                <w:kern w:val="0"/>
                <w:szCs w:val="21"/>
                <w:highlight w:val="none"/>
                <w:lang w:val="en-US" w:eastAsia="zh-CN"/>
              </w:rPr>
            </w:pPr>
            <w:r>
              <w:rPr>
                <w:rFonts w:hint="eastAsia" w:ascii="宋体" w:hAnsi="宋体"/>
                <w:color w:val="auto"/>
                <w:kern w:val="0"/>
                <w:szCs w:val="21"/>
                <w:highlight w:val="none"/>
                <w:lang w:val="en-US" w:eastAsia="zh-CN"/>
              </w:rPr>
              <w:t>20</w:t>
            </w:r>
          </w:p>
        </w:tc>
      </w:tr>
      <w:bookmarkEnd w:id="55"/>
    </w:tbl>
    <w:tbl>
      <w:tblPr>
        <w:tblStyle w:val="30"/>
        <w:tblpPr w:leftFromText="180" w:rightFromText="180" w:vertAnchor="text" w:horzAnchor="page" w:tblpXSpec="center" w:tblpY="587"/>
        <w:tblOverlap w:val="never"/>
        <w:tblW w:w="957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1"/>
        <w:gridCol w:w="1104"/>
        <w:gridCol w:w="844"/>
        <w:gridCol w:w="564"/>
        <w:gridCol w:w="6636"/>
      </w:tblGrid>
      <w:tr w14:paraId="780D06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4" w:hRule="atLeast"/>
          <w:jc w:val="center"/>
        </w:trPr>
        <w:tc>
          <w:tcPr>
            <w:tcW w:w="431" w:type="dxa"/>
            <w:vAlign w:val="center"/>
          </w:tcPr>
          <w:p w14:paraId="2E0A58F3">
            <w:pPr>
              <w:widowControl/>
              <w:jc w:val="center"/>
              <w:outlineLvl w:val="9"/>
              <w:rPr>
                <w:rFonts w:hint="eastAsia" w:ascii="宋体" w:hAnsi="宋体"/>
                <w:b/>
                <w:bCs/>
                <w:color w:val="auto"/>
                <w:kern w:val="0"/>
                <w:szCs w:val="21"/>
                <w:highlight w:val="none"/>
              </w:rPr>
            </w:pPr>
            <w:r>
              <w:rPr>
                <w:rFonts w:hint="eastAsia" w:ascii="宋体" w:hAnsi="宋体"/>
                <w:b/>
                <w:bCs/>
                <w:color w:val="auto"/>
                <w:kern w:val="0"/>
                <w:szCs w:val="21"/>
                <w:highlight w:val="none"/>
              </w:rPr>
              <w:t>序号</w:t>
            </w:r>
          </w:p>
        </w:tc>
        <w:tc>
          <w:tcPr>
            <w:tcW w:w="1948" w:type="dxa"/>
            <w:gridSpan w:val="2"/>
            <w:vAlign w:val="center"/>
          </w:tcPr>
          <w:p w14:paraId="5E0323C3">
            <w:pPr>
              <w:widowControl/>
              <w:jc w:val="center"/>
              <w:outlineLvl w:val="9"/>
              <w:rPr>
                <w:rFonts w:hint="eastAsia" w:ascii="宋体" w:hAnsi="宋体"/>
                <w:b/>
                <w:bCs/>
                <w:color w:val="auto"/>
                <w:kern w:val="0"/>
                <w:szCs w:val="21"/>
                <w:highlight w:val="none"/>
              </w:rPr>
            </w:pPr>
            <w:r>
              <w:rPr>
                <w:rFonts w:hint="eastAsia" w:ascii="宋体" w:hAnsi="宋体"/>
                <w:b/>
                <w:bCs/>
                <w:color w:val="auto"/>
                <w:kern w:val="0"/>
                <w:szCs w:val="21"/>
                <w:highlight w:val="none"/>
              </w:rPr>
              <w:t>评审项目</w:t>
            </w:r>
          </w:p>
        </w:tc>
        <w:tc>
          <w:tcPr>
            <w:tcW w:w="564" w:type="dxa"/>
            <w:vAlign w:val="center"/>
          </w:tcPr>
          <w:p w14:paraId="397FE69A">
            <w:pPr>
              <w:widowControl/>
              <w:jc w:val="center"/>
              <w:outlineLvl w:val="9"/>
              <w:rPr>
                <w:rFonts w:hint="eastAsia" w:ascii="宋体" w:hAnsi="宋体"/>
                <w:b/>
                <w:bCs/>
                <w:color w:val="auto"/>
                <w:kern w:val="0"/>
                <w:szCs w:val="21"/>
                <w:highlight w:val="none"/>
              </w:rPr>
            </w:pPr>
            <w:r>
              <w:rPr>
                <w:rFonts w:hint="eastAsia" w:ascii="宋体" w:hAnsi="宋体"/>
                <w:b/>
                <w:bCs/>
                <w:color w:val="auto"/>
                <w:kern w:val="0"/>
                <w:szCs w:val="21"/>
                <w:highlight w:val="none"/>
              </w:rPr>
              <w:t>分值</w:t>
            </w:r>
          </w:p>
        </w:tc>
        <w:tc>
          <w:tcPr>
            <w:tcW w:w="6636" w:type="dxa"/>
            <w:vAlign w:val="center"/>
          </w:tcPr>
          <w:p w14:paraId="7ABE77F6">
            <w:pPr>
              <w:widowControl/>
              <w:jc w:val="center"/>
              <w:outlineLvl w:val="9"/>
              <w:rPr>
                <w:rFonts w:hint="eastAsia" w:ascii="宋体" w:hAnsi="宋体"/>
                <w:b/>
                <w:bCs/>
                <w:color w:val="auto"/>
                <w:kern w:val="0"/>
                <w:szCs w:val="21"/>
                <w:highlight w:val="none"/>
              </w:rPr>
            </w:pPr>
            <w:r>
              <w:rPr>
                <w:rFonts w:hint="eastAsia" w:ascii="宋体" w:hAnsi="宋体"/>
                <w:b/>
                <w:bCs/>
                <w:color w:val="auto"/>
                <w:kern w:val="0"/>
                <w:szCs w:val="21"/>
                <w:highlight w:val="none"/>
              </w:rPr>
              <w:t>评审标准</w:t>
            </w:r>
          </w:p>
        </w:tc>
      </w:tr>
      <w:tr w14:paraId="35141C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4" w:hRule="atLeast"/>
          <w:jc w:val="center"/>
        </w:trPr>
        <w:tc>
          <w:tcPr>
            <w:tcW w:w="431" w:type="dxa"/>
            <w:vAlign w:val="center"/>
          </w:tcPr>
          <w:p w14:paraId="26B70A58">
            <w:pPr>
              <w:widowControl/>
              <w:jc w:val="center"/>
              <w:outlineLvl w:val="9"/>
              <w:rPr>
                <w:rFonts w:hint="eastAsia" w:ascii="宋体" w:hAnsi="宋体"/>
                <w:color w:val="auto"/>
                <w:kern w:val="0"/>
                <w:szCs w:val="21"/>
                <w:highlight w:val="none"/>
              </w:rPr>
            </w:pPr>
            <w:r>
              <w:rPr>
                <w:rFonts w:hint="eastAsia" w:ascii="宋体" w:hAnsi="宋体"/>
                <w:color w:val="auto"/>
                <w:kern w:val="0"/>
                <w:szCs w:val="21"/>
                <w:highlight w:val="none"/>
              </w:rPr>
              <w:t>1</w:t>
            </w:r>
          </w:p>
        </w:tc>
        <w:tc>
          <w:tcPr>
            <w:tcW w:w="1104" w:type="dxa"/>
            <w:vAlign w:val="center"/>
          </w:tcPr>
          <w:p w14:paraId="57149421">
            <w:pPr>
              <w:widowControl/>
              <w:jc w:val="center"/>
              <w:outlineLvl w:val="9"/>
              <w:rPr>
                <w:rFonts w:hint="eastAsia" w:ascii="宋体" w:hAnsi="宋体"/>
                <w:color w:val="auto"/>
                <w:kern w:val="0"/>
                <w:szCs w:val="21"/>
                <w:highlight w:val="none"/>
              </w:rPr>
            </w:pPr>
            <w:r>
              <w:rPr>
                <w:rFonts w:hint="eastAsia" w:ascii="宋体" w:hAnsi="宋体"/>
                <w:color w:val="auto"/>
                <w:kern w:val="0"/>
                <w:szCs w:val="21"/>
                <w:highlight w:val="none"/>
              </w:rPr>
              <w:t>价格</w:t>
            </w:r>
          </w:p>
          <w:p w14:paraId="4B839EBD">
            <w:pPr>
              <w:widowControl/>
              <w:jc w:val="center"/>
              <w:outlineLvl w:val="9"/>
              <w:rPr>
                <w:rFonts w:hint="eastAsia" w:ascii="宋体" w:hAnsi="宋体"/>
                <w:color w:val="auto"/>
                <w:kern w:val="0"/>
                <w:szCs w:val="21"/>
                <w:highlight w:val="none"/>
              </w:rPr>
            </w:pPr>
            <w:r>
              <w:rPr>
                <w:rFonts w:hint="eastAsia" w:ascii="宋体" w:hAnsi="宋体"/>
                <w:color w:val="auto"/>
                <w:kern w:val="0"/>
                <w:szCs w:val="21"/>
                <w:highlight w:val="none"/>
                <w:lang w:val="en-US" w:eastAsia="zh-CN"/>
              </w:rPr>
              <w:t>20</w:t>
            </w:r>
            <w:r>
              <w:rPr>
                <w:rFonts w:hint="eastAsia" w:ascii="宋体" w:hAnsi="宋体"/>
                <w:color w:val="auto"/>
                <w:kern w:val="0"/>
                <w:szCs w:val="21"/>
                <w:highlight w:val="none"/>
              </w:rPr>
              <w:t>分</w:t>
            </w:r>
          </w:p>
        </w:tc>
        <w:tc>
          <w:tcPr>
            <w:tcW w:w="844" w:type="dxa"/>
            <w:vAlign w:val="center"/>
          </w:tcPr>
          <w:p w14:paraId="136D8FF4">
            <w:pPr>
              <w:widowControl/>
              <w:jc w:val="center"/>
              <w:outlineLvl w:val="9"/>
              <w:rPr>
                <w:rFonts w:hint="eastAsia" w:ascii="宋体" w:hAnsi="宋体"/>
                <w:color w:val="auto"/>
                <w:kern w:val="0"/>
                <w:szCs w:val="21"/>
                <w:highlight w:val="none"/>
              </w:rPr>
            </w:pPr>
            <w:r>
              <w:rPr>
                <w:rFonts w:hint="eastAsia" w:ascii="宋体" w:hAnsi="宋体"/>
                <w:color w:val="auto"/>
                <w:kern w:val="0"/>
                <w:szCs w:val="21"/>
                <w:highlight w:val="none"/>
              </w:rPr>
              <w:t>投标报价</w:t>
            </w:r>
          </w:p>
        </w:tc>
        <w:tc>
          <w:tcPr>
            <w:tcW w:w="564" w:type="dxa"/>
            <w:vAlign w:val="center"/>
          </w:tcPr>
          <w:p w14:paraId="6D384E91">
            <w:pPr>
              <w:widowControl/>
              <w:jc w:val="center"/>
              <w:outlineLvl w:val="9"/>
              <w:rPr>
                <w:rFonts w:hint="default" w:ascii="宋体" w:hAnsi="宋体" w:eastAsiaTheme="minorEastAsia"/>
                <w:color w:val="auto"/>
                <w:kern w:val="0"/>
                <w:szCs w:val="21"/>
                <w:highlight w:val="none"/>
                <w:lang w:val="en-US" w:eastAsia="zh-CN"/>
              </w:rPr>
            </w:pPr>
            <w:r>
              <w:rPr>
                <w:rFonts w:hint="eastAsia" w:ascii="宋体" w:hAnsi="宋体"/>
                <w:color w:val="auto"/>
                <w:kern w:val="0"/>
                <w:szCs w:val="21"/>
                <w:highlight w:val="none"/>
                <w:lang w:val="en-US" w:eastAsia="zh-CN"/>
              </w:rPr>
              <w:t>20</w:t>
            </w:r>
          </w:p>
        </w:tc>
        <w:tc>
          <w:tcPr>
            <w:tcW w:w="6636" w:type="dxa"/>
            <w:vAlign w:val="center"/>
          </w:tcPr>
          <w:p w14:paraId="242B0318">
            <w:pPr>
              <w:keepNext w:val="0"/>
              <w:keepLines w:val="0"/>
              <w:pageBreakBefore w:val="0"/>
              <w:widowControl w:val="0"/>
              <w:kinsoku/>
              <w:wordWrap w:val="0"/>
              <w:overflowPunct/>
              <w:topLinePunct w:val="0"/>
              <w:autoSpaceDE w:val="0"/>
              <w:autoSpaceDN w:val="0"/>
              <w:bidi w:val="0"/>
              <w:adjustRightInd w:val="0"/>
              <w:snapToGrid w:val="0"/>
              <w:ind w:firstLine="210" w:firstLineChars="100"/>
              <w:jc w:val="left"/>
              <w:textAlignment w:val="auto"/>
              <w:outlineLvl w:val="9"/>
              <w:rPr>
                <w:rFonts w:hint="eastAsia" w:ascii="宋体" w:hAnsi="宋体"/>
                <w:color w:val="auto"/>
                <w:kern w:val="0"/>
                <w:szCs w:val="21"/>
                <w:highlight w:val="none"/>
              </w:rPr>
            </w:pPr>
            <w:r>
              <w:rPr>
                <w:rFonts w:hint="eastAsia" w:ascii="宋体" w:hAnsi="宋体"/>
                <w:color w:val="auto"/>
                <w:kern w:val="0"/>
                <w:szCs w:val="21"/>
                <w:highlight w:val="none"/>
              </w:rPr>
              <w:t>满足采购文件要求且投标价格最低的投标报价为评标基准价，其价格分为满分，其他有效供应商的价格分按照下列公式计算：</w:t>
            </w:r>
          </w:p>
          <w:p w14:paraId="21227149">
            <w:pPr>
              <w:keepNext w:val="0"/>
              <w:keepLines w:val="0"/>
              <w:pageBreakBefore w:val="0"/>
              <w:widowControl w:val="0"/>
              <w:kinsoku/>
              <w:wordWrap w:val="0"/>
              <w:overflowPunct/>
              <w:topLinePunct w:val="0"/>
              <w:autoSpaceDE w:val="0"/>
              <w:autoSpaceDN w:val="0"/>
              <w:bidi w:val="0"/>
              <w:adjustRightInd w:val="0"/>
              <w:snapToGrid w:val="0"/>
              <w:ind w:firstLine="210" w:firstLineChars="100"/>
              <w:jc w:val="left"/>
              <w:textAlignment w:val="auto"/>
              <w:outlineLvl w:val="9"/>
              <w:rPr>
                <w:rFonts w:hint="default" w:ascii="宋体" w:hAnsi="宋体" w:eastAsiaTheme="minorEastAsia"/>
                <w:color w:val="auto"/>
                <w:kern w:val="0"/>
                <w:szCs w:val="21"/>
                <w:highlight w:val="none"/>
                <w:lang w:val="en-US" w:eastAsia="zh-CN"/>
              </w:rPr>
            </w:pPr>
            <w:r>
              <w:rPr>
                <w:rFonts w:hint="eastAsia" w:ascii="宋体" w:hAnsi="宋体"/>
                <w:color w:val="auto"/>
                <w:kern w:val="0"/>
                <w:szCs w:val="21"/>
                <w:highlight w:val="none"/>
              </w:rPr>
              <w:t>投标报价得分=（评标基准价／投标报价）×</w:t>
            </w:r>
            <w:r>
              <w:rPr>
                <w:rFonts w:hint="eastAsia" w:ascii="宋体" w:hAnsi="宋体"/>
                <w:color w:val="auto"/>
                <w:kern w:val="0"/>
                <w:szCs w:val="21"/>
                <w:highlight w:val="none"/>
                <w:lang w:val="en-US" w:eastAsia="zh-CN"/>
              </w:rPr>
              <w:t>20</w:t>
            </w:r>
          </w:p>
          <w:p w14:paraId="4160AE86">
            <w:pPr>
              <w:keepNext w:val="0"/>
              <w:keepLines w:val="0"/>
              <w:pageBreakBefore w:val="0"/>
              <w:widowControl w:val="0"/>
              <w:kinsoku/>
              <w:wordWrap w:val="0"/>
              <w:overflowPunct/>
              <w:topLinePunct w:val="0"/>
              <w:autoSpaceDE w:val="0"/>
              <w:autoSpaceDN w:val="0"/>
              <w:bidi w:val="0"/>
              <w:adjustRightInd w:val="0"/>
              <w:snapToGrid w:val="0"/>
              <w:ind w:firstLine="210" w:firstLineChars="100"/>
              <w:jc w:val="left"/>
              <w:textAlignment w:val="auto"/>
              <w:outlineLvl w:val="9"/>
              <w:rPr>
                <w:rFonts w:hint="eastAsia" w:ascii="宋体" w:hAnsi="宋体"/>
                <w:color w:val="auto"/>
                <w:kern w:val="0"/>
                <w:szCs w:val="21"/>
                <w:highlight w:val="none"/>
              </w:rPr>
            </w:pPr>
            <w:r>
              <w:rPr>
                <w:rFonts w:hint="eastAsia" w:ascii="宋体" w:hAnsi="宋体"/>
                <w:color w:val="auto"/>
                <w:kern w:val="0"/>
                <w:szCs w:val="21"/>
                <w:highlight w:val="none"/>
              </w:rPr>
              <w:t>注：根据“财政部令第87号”第六十条的规定“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tc>
      </w:tr>
    </w:tbl>
    <w:p w14:paraId="73BC0113">
      <w:pPr>
        <w:outlineLvl w:val="9"/>
      </w:pPr>
    </w:p>
    <w:tbl>
      <w:tblPr>
        <w:tblStyle w:val="30"/>
        <w:tblpPr w:leftFromText="180" w:rightFromText="180" w:vertAnchor="text" w:horzAnchor="page" w:tblpXSpec="center" w:tblpY="3387"/>
        <w:tblOverlap w:val="never"/>
        <w:tblW w:w="957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1"/>
        <w:gridCol w:w="1104"/>
        <w:gridCol w:w="844"/>
        <w:gridCol w:w="564"/>
        <w:gridCol w:w="6636"/>
      </w:tblGrid>
      <w:tr w14:paraId="5D1E08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1" w:type="dxa"/>
            <w:vAlign w:val="center"/>
          </w:tcPr>
          <w:p w14:paraId="40C9876C">
            <w:pPr>
              <w:widowControl/>
              <w:jc w:val="center"/>
              <w:outlineLvl w:val="9"/>
              <w:rPr>
                <w:rFonts w:hint="eastAsia" w:ascii="宋体" w:hAnsi="宋体"/>
                <w:b/>
                <w:bCs/>
                <w:color w:val="auto"/>
                <w:kern w:val="0"/>
                <w:szCs w:val="21"/>
                <w:highlight w:val="none"/>
              </w:rPr>
            </w:pPr>
            <w:r>
              <w:rPr>
                <w:rFonts w:hint="eastAsia" w:ascii="宋体" w:hAnsi="宋体"/>
                <w:b/>
                <w:bCs/>
                <w:color w:val="auto"/>
                <w:kern w:val="0"/>
                <w:szCs w:val="21"/>
                <w:highlight w:val="none"/>
              </w:rPr>
              <w:t>序号</w:t>
            </w:r>
          </w:p>
        </w:tc>
        <w:tc>
          <w:tcPr>
            <w:tcW w:w="1948" w:type="dxa"/>
            <w:gridSpan w:val="2"/>
            <w:vAlign w:val="center"/>
          </w:tcPr>
          <w:p w14:paraId="617868FF">
            <w:pPr>
              <w:widowControl/>
              <w:jc w:val="center"/>
              <w:outlineLvl w:val="9"/>
              <w:rPr>
                <w:rFonts w:hint="eastAsia" w:ascii="宋体" w:hAnsi="宋体" w:eastAsia="宋体" w:cs="宋体"/>
                <w:b/>
                <w:bCs/>
                <w:color w:val="auto"/>
                <w:kern w:val="0"/>
                <w:szCs w:val="21"/>
                <w:highlight w:val="none"/>
              </w:rPr>
            </w:pPr>
            <w:r>
              <w:rPr>
                <w:rFonts w:hint="eastAsia" w:ascii="宋体" w:hAnsi="宋体"/>
                <w:b/>
                <w:bCs/>
                <w:color w:val="auto"/>
                <w:kern w:val="0"/>
                <w:szCs w:val="21"/>
                <w:highlight w:val="none"/>
              </w:rPr>
              <w:t>评审项目</w:t>
            </w:r>
          </w:p>
        </w:tc>
        <w:tc>
          <w:tcPr>
            <w:tcW w:w="564" w:type="dxa"/>
            <w:vAlign w:val="center"/>
          </w:tcPr>
          <w:p w14:paraId="570F9A05">
            <w:pPr>
              <w:widowControl/>
              <w:jc w:val="center"/>
              <w:outlineLvl w:val="9"/>
              <w:rPr>
                <w:rFonts w:hint="eastAsia" w:ascii="宋体" w:hAnsi="宋体" w:eastAsia="宋体" w:cs="宋体"/>
                <w:b/>
                <w:bCs/>
                <w:color w:val="auto"/>
                <w:szCs w:val="21"/>
                <w:highlight w:val="none"/>
                <w:lang w:val="en-US" w:eastAsia="zh-CN"/>
              </w:rPr>
            </w:pPr>
            <w:r>
              <w:rPr>
                <w:rFonts w:hint="eastAsia" w:ascii="宋体" w:hAnsi="宋体"/>
                <w:b/>
                <w:bCs/>
                <w:color w:val="auto"/>
                <w:kern w:val="0"/>
                <w:szCs w:val="21"/>
                <w:highlight w:val="none"/>
              </w:rPr>
              <w:t>分值</w:t>
            </w:r>
          </w:p>
        </w:tc>
        <w:tc>
          <w:tcPr>
            <w:tcW w:w="6636" w:type="dxa"/>
            <w:vAlign w:val="center"/>
          </w:tcPr>
          <w:p w14:paraId="5ACA4A87">
            <w:pPr>
              <w:widowControl/>
              <w:jc w:val="center"/>
              <w:outlineLvl w:val="9"/>
              <w:rPr>
                <w:rFonts w:hint="eastAsia" w:ascii="宋体" w:hAnsi="宋体" w:eastAsia="宋体" w:cs="宋体"/>
                <w:b/>
                <w:bCs/>
                <w:color w:val="auto"/>
                <w:kern w:val="2"/>
                <w:sz w:val="21"/>
                <w:szCs w:val="21"/>
                <w:highlight w:val="none"/>
                <w:lang w:val="en-US" w:eastAsia="zh-CN" w:bidi="ar-SA"/>
              </w:rPr>
            </w:pPr>
            <w:r>
              <w:rPr>
                <w:rFonts w:hint="eastAsia" w:ascii="宋体" w:hAnsi="宋体"/>
                <w:b/>
                <w:bCs/>
                <w:color w:val="auto"/>
                <w:kern w:val="0"/>
                <w:szCs w:val="21"/>
                <w:highlight w:val="none"/>
              </w:rPr>
              <w:t>评审标准</w:t>
            </w:r>
          </w:p>
        </w:tc>
      </w:tr>
      <w:tr w14:paraId="66DE9D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1" w:type="dxa"/>
            <w:vMerge w:val="restart"/>
            <w:vAlign w:val="center"/>
          </w:tcPr>
          <w:p w14:paraId="5F9921B2">
            <w:pPr>
              <w:widowControl/>
              <w:jc w:val="center"/>
              <w:outlineLvl w:val="9"/>
              <w:rPr>
                <w:rFonts w:hint="eastAsia" w:ascii="宋体" w:hAnsi="宋体"/>
                <w:color w:val="auto"/>
                <w:kern w:val="0"/>
                <w:szCs w:val="21"/>
                <w:highlight w:val="none"/>
              </w:rPr>
            </w:pPr>
            <w:r>
              <w:rPr>
                <w:rFonts w:hint="eastAsia" w:ascii="宋体" w:hAnsi="宋体"/>
                <w:color w:val="auto"/>
                <w:kern w:val="0"/>
                <w:szCs w:val="21"/>
                <w:highlight w:val="none"/>
              </w:rPr>
              <w:t>2</w:t>
            </w:r>
          </w:p>
        </w:tc>
        <w:tc>
          <w:tcPr>
            <w:tcW w:w="1104" w:type="dxa"/>
            <w:vMerge w:val="restart"/>
            <w:vAlign w:val="center"/>
          </w:tcPr>
          <w:p w14:paraId="10AE91E4">
            <w:pPr>
              <w:widowControl/>
              <w:jc w:val="center"/>
              <w:outlineLvl w:val="9"/>
              <w:rPr>
                <w:rFonts w:hint="eastAsia" w:ascii="宋体" w:hAnsi="宋体"/>
                <w:color w:val="auto"/>
                <w:kern w:val="0"/>
                <w:szCs w:val="21"/>
                <w:highlight w:val="none"/>
              </w:rPr>
            </w:pPr>
            <w:r>
              <w:rPr>
                <w:rFonts w:hint="eastAsia" w:ascii="宋体" w:hAnsi="宋体"/>
                <w:color w:val="auto"/>
                <w:kern w:val="0"/>
                <w:szCs w:val="21"/>
                <w:highlight w:val="none"/>
              </w:rPr>
              <w:t>技术</w:t>
            </w:r>
          </w:p>
          <w:p w14:paraId="141FA4B5">
            <w:pPr>
              <w:widowControl/>
              <w:jc w:val="center"/>
              <w:outlineLvl w:val="9"/>
              <w:rPr>
                <w:rFonts w:hint="eastAsia" w:ascii="宋体" w:hAnsi="宋体"/>
                <w:color w:val="auto"/>
                <w:kern w:val="0"/>
                <w:szCs w:val="21"/>
                <w:highlight w:val="none"/>
              </w:rPr>
            </w:pPr>
            <w:r>
              <w:rPr>
                <w:rFonts w:hint="eastAsia" w:ascii="宋体" w:hAnsi="宋体"/>
                <w:color w:val="auto"/>
                <w:kern w:val="0"/>
                <w:szCs w:val="21"/>
                <w:highlight w:val="none"/>
                <w:lang w:val="en-US" w:eastAsia="zh-CN"/>
              </w:rPr>
              <w:t>68</w:t>
            </w:r>
            <w:r>
              <w:rPr>
                <w:rFonts w:hint="eastAsia" w:ascii="宋体" w:hAnsi="宋体"/>
                <w:color w:val="auto"/>
                <w:kern w:val="0"/>
                <w:szCs w:val="21"/>
                <w:highlight w:val="none"/>
              </w:rPr>
              <w:t>分</w:t>
            </w:r>
          </w:p>
        </w:tc>
        <w:tc>
          <w:tcPr>
            <w:tcW w:w="844" w:type="dxa"/>
            <w:vAlign w:val="center"/>
          </w:tcPr>
          <w:p w14:paraId="1CFE752B">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ascii="宋体" w:hAnsi="宋体"/>
                <w:color w:val="auto"/>
                <w:kern w:val="0"/>
                <w:szCs w:val="21"/>
                <w:highlight w:val="none"/>
              </w:rPr>
            </w:pPr>
            <w:r>
              <w:rPr>
                <w:rFonts w:hint="eastAsia" w:ascii="宋体" w:hAnsi="宋体" w:eastAsia="宋体" w:cs="宋体"/>
                <w:color w:val="auto"/>
                <w:kern w:val="0"/>
                <w:szCs w:val="21"/>
                <w:highlight w:val="none"/>
              </w:rPr>
              <w:t>施工方案与技术措施</w:t>
            </w:r>
          </w:p>
        </w:tc>
        <w:tc>
          <w:tcPr>
            <w:tcW w:w="564" w:type="dxa"/>
            <w:vAlign w:val="center"/>
          </w:tcPr>
          <w:p w14:paraId="68E1BC0C">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宋体" w:hAnsi="宋体"/>
                <w:color w:val="auto"/>
                <w:kern w:val="0"/>
                <w:szCs w:val="21"/>
                <w:highlight w:val="none"/>
                <w:lang w:val="en-US"/>
              </w:rPr>
            </w:pPr>
            <w:r>
              <w:rPr>
                <w:rFonts w:hint="eastAsia" w:ascii="宋体" w:hAnsi="宋体" w:eastAsia="宋体" w:cs="宋体"/>
                <w:color w:val="auto"/>
                <w:szCs w:val="21"/>
                <w:highlight w:val="none"/>
                <w:lang w:val="en-US" w:eastAsia="zh-CN"/>
              </w:rPr>
              <w:t>12</w:t>
            </w:r>
          </w:p>
        </w:tc>
        <w:tc>
          <w:tcPr>
            <w:tcW w:w="6636" w:type="dxa"/>
            <w:vAlign w:val="center"/>
          </w:tcPr>
          <w:p w14:paraId="090338CB">
            <w:pPr>
              <w:keepNext w:val="0"/>
              <w:keepLines w:val="0"/>
              <w:pageBreakBefore w:val="0"/>
              <w:widowControl w:val="0"/>
              <w:numPr>
                <w:ilvl w:val="0"/>
                <w:numId w:val="0"/>
              </w:numPr>
              <w:kinsoku/>
              <w:wordWrap/>
              <w:overflowPunct/>
              <w:topLinePunct w:val="0"/>
              <w:autoSpaceDE/>
              <w:autoSpaceDN/>
              <w:bidi w:val="0"/>
              <w:spacing w:line="240" w:lineRule="auto"/>
              <w:textAlignment w:val="auto"/>
              <w:outlineLvl w:val="9"/>
              <w:rPr>
                <w:rFonts w:hint="eastAsia" w:ascii="宋体" w:hAnsi="宋体" w:eastAsia="宋体" w:cs="宋体"/>
                <w:color w:val="auto"/>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一、</w:t>
            </w:r>
            <w:r>
              <w:rPr>
                <w:rFonts w:hint="eastAsia" w:ascii="宋体" w:hAnsi="宋体" w:eastAsia="宋体" w:cs="宋体"/>
                <w:b/>
                <w:bCs/>
                <w:color w:val="auto"/>
                <w:szCs w:val="21"/>
                <w:highlight w:val="none"/>
                <w:lang w:val="en-US" w:eastAsia="zh-CN"/>
              </w:rPr>
              <w:t>评审内容：</w:t>
            </w:r>
            <w:r>
              <w:rPr>
                <w:rFonts w:hint="eastAsia" w:ascii="宋体" w:hAnsi="宋体" w:eastAsia="宋体" w:cs="宋体"/>
                <w:color w:val="auto"/>
                <w:szCs w:val="21"/>
                <w:highlight w:val="none"/>
                <w:lang w:val="en-US" w:eastAsia="zh-CN"/>
              </w:rPr>
              <w:t>根据</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提供</w:t>
            </w:r>
            <w:r>
              <w:rPr>
                <w:rFonts w:hint="eastAsia" w:ascii="宋体" w:hAnsi="宋体" w:eastAsia="宋体" w:cs="宋体"/>
                <w:color w:val="auto"/>
                <w:szCs w:val="21"/>
                <w:highlight w:val="none"/>
                <w:lang w:val="en-US" w:eastAsia="zh-CN"/>
              </w:rPr>
              <w:t>的施工方案与技术措施进行计分</w:t>
            </w:r>
            <w:r>
              <w:rPr>
                <w:rFonts w:hint="eastAsia" w:ascii="宋体" w:hAnsi="宋体" w:eastAsia="宋体" w:cs="宋体"/>
                <w:color w:val="auto"/>
                <w:szCs w:val="21"/>
                <w:highlight w:val="none"/>
              </w:rPr>
              <w:t>（内容包括但不限于：</w:t>
            </w:r>
            <w:r>
              <w:rPr>
                <w:rFonts w:hint="eastAsia" w:ascii="宋体" w:hAnsi="宋体" w:eastAsia="宋体" w:cs="宋体"/>
                <w:color w:val="auto"/>
                <w:szCs w:val="21"/>
                <w:highlight w:val="none"/>
                <w:lang w:val="en-US" w:eastAsia="zh-CN"/>
              </w:rPr>
              <w:t>❶</w:t>
            </w:r>
            <w:r>
              <w:rPr>
                <w:rFonts w:hint="eastAsia" w:ascii="宋体" w:hAnsi="宋体" w:eastAsia="宋体" w:cs="宋体"/>
                <w:color w:val="auto"/>
                <w:szCs w:val="21"/>
                <w:highlight w:val="none"/>
              </w:rPr>
              <w:t>项目总体概况</w:t>
            </w:r>
            <w:r>
              <w:rPr>
                <w:rFonts w:hint="eastAsia" w:ascii="宋体" w:hAnsi="宋体" w:eastAsia="宋体" w:cs="宋体"/>
                <w:color w:val="auto"/>
                <w:szCs w:val="21"/>
                <w:highlight w:val="none"/>
                <w:lang w:eastAsia="zh-CN"/>
              </w:rPr>
              <w:t>、</w:t>
            </w:r>
            <w:r>
              <w:rPr>
                <w:rFonts w:hint="eastAsia" w:ascii="宋体" w:hAnsi="宋体" w:eastAsia="宋体" w:cs="宋体"/>
                <w:color w:val="auto"/>
                <w:kern w:val="2"/>
                <w:sz w:val="21"/>
                <w:szCs w:val="21"/>
                <w:highlight w:val="none"/>
                <w:lang w:val="en-US" w:eastAsia="zh-CN" w:bidi="ar-SA"/>
              </w:rPr>
              <w:t>项目部署及措施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❷项目主要及关键方案；❸对项目</w:t>
            </w:r>
            <w:r>
              <w:rPr>
                <w:rFonts w:hint="eastAsia" w:ascii="宋体" w:hAnsi="宋体" w:eastAsia="宋体" w:cs="宋体"/>
                <w:color w:val="auto"/>
                <w:szCs w:val="21"/>
                <w:highlight w:val="none"/>
              </w:rPr>
              <w:t>重点难点事项分析</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❹</w:t>
            </w:r>
            <w:r>
              <w:rPr>
                <w:rFonts w:hint="eastAsia" w:ascii="宋体" w:hAnsi="宋体" w:eastAsia="宋体" w:cs="宋体"/>
                <w:color w:val="auto"/>
                <w:kern w:val="2"/>
                <w:sz w:val="21"/>
                <w:szCs w:val="21"/>
                <w:highlight w:val="none"/>
                <w:lang w:val="en-US" w:eastAsia="zh-CN" w:bidi="ar-SA"/>
              </w:rPr>
              <w:t>施工平面布置</w:t>
            </w:r>
            <w:r>
              <w:rPr>
                <w:rFonts w:hint="eastAsia" w:ascii="宋体" w:hAnsi="宋体" w:eastAsia="宋体" w:cs="宋体"/>
                <w:color w:val="auto"/>
                <w:szCs w:val="21"/>
                <w:highlight w:val="none"/>
                <w:lang w:eastAsia="zh-CN"/>
              </w:rPr>
              <w:t>、</w:t>
            </w:r>
            <w:r>
              <w:rPr>
                <w:rFonts w:hint="eastAsia" w:ascii="宋体" w:hAnsi="宋体" w:eastAsia="宋体" w:cs="宋体"/>
                <w:highlight w:val="none"/>
                <w:lang w:eastAsia="zh-CN"/>
              </w:rPr>
              <w:t>主要施工顺序、施工工艺、作业方法、作业流程、操作要领</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完全满足以下要求的计12分：</w:t>
            </w:r>
          </w:p>
          <w:p w14:paraId="5AE66E0A">
            <w:pPr>
              <w:keepNext w:val="0"/>
              <w:keepLines w:val="0"/>
              <w:pageBreakBefore w:val="0"/>
              <w:widowControl w:val="0"/>
              <w:numPr>
                <w:ilvl w:val="0"/>
                <w:numId w:val="0"/>
              </w:numPr>
              <w:kinsoku/>
              <w:wordWrap/>
              <w:overflowPunct/>
              <w:topLinePunct w:val="0"/>
              <w:autoSpaceDE/>
              <w:autoSpaceDN/>
              <w:bidi w:val="0"/>
              <w:spacing w:line="240" w:lineRule="auto"/>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1、项目总体概况表述清晰、完整，</w:t>
            </w:r>
            <w:r>
              <w:rPr>
                <w:rFonts w:hint="eastAsia" w:ascii="宋体" w:hAnsi="宋体" w:eastAsia="宋体" w:cs="宋体"/>
                <w:highlight w:val="none"/>
                <w:lang w:val="en-US" w:eastAsia="zh-CN"/>
              </w:rPr>
              <w:t>项目部署及措施先进、可靠</w:t>
            </w:r>
            <w:r>
              <w:rPr>
                <w:rFonts w:hint="eastAsia" w:ascii="宋体" w:hAnsi="宋体" w:eastAsia="宋体" w:cs="宋体"/>
                <w:color w:val="auto"/>
                <w:kern w:val="2"/>
                <w:sz w:val="21"/>
                <w:szCs w:val="21"/>
                <w:highlight w:val="none"/>
                <w:lang w:val="en-US" w:eastAsia="zh-CN" w:bidi="ar-SA"/>
              </w:rPr>
              <w:t>；</w:t>
            </w:r>
          </w:p>
          <w:p w14:paraId="686375ED">
            <w:pPr>
              <w:keepNext w:val="0"/>
              <w:keepLines w:val="0"/>
              <w:pageBreakBefore w:val="0"/>
              <w:widowControl w:val="0"/>
              <w:numPr>
                <w:ilvl w:val="0"/>
                <w:numId w:val="0"/>
              </w:numPr>
              <w:kinsoku/>
              <w:wordWrap/>
              <w:overflowPunct/>
              <w:topLinePunct w:val="0"/>
              <w:autoSpaceDE/>
              <w:autoSpaceDN/>
              <w:bidi w:val="0"/>
              <w:spacing w:line="240" w:lineRule="auto"/>
              <w:textAlignment w:val="auto"/>
              <w:outlineLvl w:val="9"/>
              <w:rPr>
                <w:rFonts w:hint="eastAsia" w:ascii="宋体" w:hAnsi="宋体" w:eastAsia="宋体" w:cs="宋体"/>
                <w:highlight w:val="none"/>
                <w:lang w:val="en-US" w:eastAsia="zh-CN"/>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highlight w:val="none"/>
                <w:lang w:val="en-US" w:eastAsia="zh-CN"/>
              </w:rPr>
              <w:t>、对项目主要及关键方案有深度的剖析、且贴合项目实际情况；</w:t>
            </w:r>
          </w:p>
          <w:p w14:paraId="3E71B589">
            <w:pPr>
              <w:keepNext w:val="0"/>
              <w:keepLines w:val="0"/>
              <w:pageBreakBefore w:val="0"/>
              <w:widowControl w:val="0"/>
              <w:numPr>
                <w:ilvl w:val="0"/>
                <w:numId w:val="0"/>
              </w:numPr>
              <w:kinsoku/>
              <w:wordWrap/>
              <w:overflowPunct/>
              <w:topLinePunct w:val="0"/>
              <w:autoSpaceDE/>
              <w:autoSpaceDN/>
              <w:bidi w:val="0"/>
              <w:spacing w:line="240" w:lineRule="auto"/>
              <w:textAlignment w:val="auto"/>
              <w:outlineLvl w:val="9"/>
              <w:rPr>
                <w:rFonts w:hint="eastAsia" w:ascii="宋体" w:hAnsi="宋体" w:eastAsia="宋体" w:cs="宋体"/>
                <w:highlight w:val="none"/>
                <w:lang w:val="en-US" w:eastAsia="zh-CN"/>
              </w:rPr>
            </w:pPr>
            <w:r>
              <w:rPr>
                <w:rFonts w:hint="eastAsia" w:ascii="宋体" w:hAnsi="宋体" w:eastAsia="宋体" w:cs="宋体"/>
                <w:highlight w:val="none"/>
                <w:lang w:val="en-US" w:eastAsia="zh-CN"/>
              </w:rPr>
              <w:t>3、对项目</w:t>
            </w:r>
            <w:r>
              <w:rPr>
                <w:rFonts w:hint="eastAsia" w:ascii="宋体" w:hAnsi="宋体" w:eastAsia="宋体" w:cs="宋体"/>
                <w:highlight w:val="none"/>
                <w:lang w:eastAsia="zh-CN"/>
              </w:rPr>
              <w:t>重点难点事项分析</w:t>
            </w:r>
            <w:r>
              <w:rPr>
                <w:rFonts w:hint="eastAsia" w:ascii="宋体" w:hAnsi="宋体" w:eastAsia="宋体" w:cs="宋体"/>
                <w:highlight w:val="none"/>
                <w:lang w:val="en-US" w:eastAsia="zh-CN"/>
              </w:rPr>
              <w:t>全面、深入透彻；</w:t>
            </w:r>
          </w:p>
          <w:p w14:paraId="108BFEE3">
            <w:pPr>
              <w:keepNext w:val="0"/>
              <w:keepLines w:val="0"/>
              <w:pageBreakBefore w:val="0"/>
              <w:widowControl w:val="0"/>
              <w:numPr>
                <w:ilvl w:val="0"/>
                <w:numId w:val="0"/>
              </w:numPr>
              <w:kinsoku/>
              <w:wordWrap/>
              <w:overflowPunct/>
              <w:topLinePunct w:val="0"/>
              <w:autoSpaceDE/>
              <w:autoSpaceDN/>
              <w:bidi w:val="0"/>
              <w:spacing w:line="240" w:lineRule="auto"/>
              <w:textAlignment w:val="auto"/>
              <w:outlineLvl w:val="9"/>
              <w:rPr>
                <w:rFonts w:hint="eastAsia" w:ascii="宋体" w:hAnsi="宋体" w:eastAsia="宋体" w:cs="宋体"/>
                <w:highlight w:val="none"/>
                <w:lang w:val="en-US" w:eastAsia="zh-CN"/>
              </w:rPr>
            </w:pPr>
            <w:r>
              <w:rPr>
                <w:rFonts w:hint="eastAsia" w:ascii="宋体" w:hAnsi="宋体" w:eastAsia="宋体" w:cs="宋体"/>
                <w:highlight w:val="none"/>
                <w:lang w:val="en-US" w:eastAsia="zh-CN"/>
              </w:rPr>
              <w:t>4、施工平面布置满足施工需要，符合安全、文明生产要求；</w:t>
            </w:r>
            <w:r>
              <w:rPr>
                <w:rFonts w:hint="eastAsia" w:ascii="宋体" w:hAnsi="宋体" w:eastAsia="宋体" w:cs="宋体"/>
                <w:highlight w:val="none"/>
                <w:lang w:eastAsia="zh-CN"/>
              </w:rPr>
              <w:t>主要施工顺序、施工工艺、作业方法、作业流程、操作要领</w:t>
            </w:r>
            <w:r>
              <w:rPr>
                <w:rFonts w:hint="eastAsia" w:ascii="宋体" w:hAnsi="宋体" w:eastAsia="宋体" w:cs="宋体"/>
                <w:highlight w:val="none"/>
                <w:lang w:val="en-US" w:eastAsia="zh-CN"/>
              </w:rPr>
              <w:t>贴合项目实际施工要求，符合相关施工标准。</w:t>
            </w:r>
          </w:p>
          <w:p w14:paraId="13045BDA">
            <w:pPr>
              <w:keepNext w:val="0"/>
              <w:keepLines w:val="0"/>
              <w:pageBreakBefore w:val="0"/>
              <w:widowControl w:val="0"/>
              <w:numPr>
                <w:ilvl w:val="0"/>
                <w:numId w:val="0"/>
              </w:numPr>
              <w:kinsoku/>
              <w:wordWrap/>
              <w:overflowPunct/>
              <w:topLinePunct w:val="0"/>
              <w:autoSpaceDE/>
              <w:autoSpaceDN/>
              <w:bidi w:val="0"/>
              <w:spacing w:line="240" w:lineRule="auto"/>
              <w:textAlignment w:val="auto"/>
              <w:outlineLvl w:val="9"/>
              <w:rPr>
                <w:rFonts w:hint="eastAsia" w:ascii="宋体" w:hAnsi="宋体"/>
                <w:color w:val="auto"/>
                <w:kern w:val="0"/>
                <w:szCs w:val="21"/>
                <w:highlight w:val="none"/>
              </w:rPr>
            </w:pPr>
            <w:r>
              <w:rPr>
                <w:rFonts w:hint="eastAsia" w:ascii="宋体" w:hAnsi="宋体" w:eastAsia="宋体" w:cs="宋体"/>
                <w:b/>
                <w:bCs/>
                <w:color w:val="auto"/>
                <w:kern w:val="2"/>
                <w:sz w:val="21"/>
                <w:szCs w:val="21"/>
                <w:highlight w:val="none"/>
                <w:lang w:val="en-US" w:eastAsia="zh-CN" w:bidi="ar-SA"/>
              </w:rPr>
              <w:t>二、扣分标准：</w:t>
            </w:r>
            <w:r>
              <w:rPr>
                <w:rFonts w:hint="eastAsia" w:ascii="宋体" w:hAnsi="宋体" w:eastAsia="宋体" w:cs="宋体"/>
                <w:color w:val="auto"/>
                <w:kern w:val="2"/>
                <w:sz w:val="21"/>
                <w:szCs w:val="21"/>
                <w:highlight w:val="none"/>
                <w:lang w:val="en-US" w:eastAsia="zh-CN" w:bidi="ar-SA"/>
              </w:rPr>
              <w:t>上述内容，①方案欠完善或针对性欠缺的每项扣1.5分，上述扣分扣完为止；②方案缺漏项或不合理的每项扣3分，上述扣分扣完为止；③未提供的不计分。</w:t>
            </w:r>
          </w:p>
        </w:tc>
      </w:tr>
      <w:tr w14:paraId="701D54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1" w:hRule="atLeast"/>
          <w:jc w:val="center"/>
        </w:trPr>
        <w:tc>
          <w:tcPr>
            <w:tcW w:w="431" w:type="dxa"/>
            <w:vMerge w:val="continue"/>
            <w:vAlign w:val="center"/>
          </w:tcPr>
          <w:p w14:paraId="054BCD81">
            <w:pPr>
              <w:widowControl/>
              <w:jc w:val="center"/>
              <w:outlineLvl w:val="9"/>
              <w:rPr>
                <w:rFonts w:hint="eastAsia" w:ascii="宋体" w:hAnsi="宋体"/>
                <w:color w:val="auto"/>
                <w:kern w:val="0"/>
                <w:szCs w:val="21"/>
                <w:highlight w:val="none"/>
              </w:rPr>
            </w:pPr>
          </w:p>
        </w:tc>
        <w:tc>
          <w:tcPr>
            <w:tcW w:w="1104" w:type="dxa"/>
            <w:vMerge w:val="continue"/>
            <w:vAlign w:val="center"/>
          </w:tcPr>
          <w:p w14:paraId="48177739">
            <w:pPr>
              <w:widowControl/>
              <w:jc w:val="center"/>
              <w:outlineLvl w:val="9"/>
              <w:rPr>
                <w:rFonts w:hint="eastAsia" w:ascii="宋体" w:hAnsi="宋体"/>
                <w:color w:val="auto"/>
                <w:kern w:val="0"/>
                <w:szCs w:val="21"/>
                <w:highlight w:val="none"/>
              </w:rPr>
            </w:pPr>
          </w:p>
        </w:tc>
        <w:tc>
          <w:tcPr>
            <w:tcW w:w="844" w:type="dxa"/>
            <w:vAlign w:val="center"/>
          </w:tcPr>
          <w:p w14:paraId="4745A9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color w:val="auto"/>
                <w:kern w:val="0"/>
                <w:szCs w:val="21"/>
                <w:highlight w:val="none"/>
              </w:rPr>
            </w:pPr>
            <w:r>
              <w:rPr>
                <w:rFonts w:hint="eastAsia" w:ascii="宋体" w:hAnsi="宋体" w:eastAsia="宋体" w:cs="宋体"/>
                <w:color w:val="auto"/>
                <w:kern w:val="0"/>
                <w:szCs w:val="21"/>
                <w:highlight w:val="none"/>
              </w:rPr>
              <w:t>工程进度计划与保证措施</w:t>
            </w:r>
          </w:p>
        </w:tc>
        <w:tc>
          <w:tcPr>
            <w:tcW w:w="564" w:type="dxa"/>
            <w:vAlign w:val="center"/>
          </w:tcPr>
          <w:p w14:paraId="568D7DF1">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ascii="宋体" w:hAnsi="宋体"/>
                <w:color w:val="auto"/>
                <w:kern w:val="0"/>
                <w:szCs w:val="21"/>
                <w:highlight w:val="none"/>
              </w:rPr>
            </w:pPr>
            <w:r>
              <w:rPr>
                <w:rFonts w:hint="eastAsia" w:ascii="宋体" w:hAnsi="宋体" w:eastAsia="宋体" w:cs="宋体"/>
                <w:color w:val="auto"/>
                <w:szCs w:val="21"/>
                <w:highlight w:val="none"/>
                <w:lang w:val="en-US" w:eastAsia="zh-CN"/>
              </w:rPr>
              <w:t>8</w:t>
            </w:r>
          </w:p>
        </w:tc>
        <w:tc>
          <w:tcPr>
            <w:tcW w:w="6636" w:type="dxa"/>
            <w:vAlign w:val="center"/>
          </w:tcPr>
          <w:p w14:paraId="36837F68">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一、评审内容：</w:t>
            </w:r>
            <w:r>
              <w:rPr>
                <w:rFonts w:hint="eastAsia" w:ascii="宋体" w:hAnsi="宋体" w:eastAsia="宋体" w:cs="宋体"/>
                <w:color w:val="auto"/>
                <w:szCs w:val="21"/>
                <w:highlight w:val="none"/>
              </w:rPr>
              <w:t>根据</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提供的工程进度计划与保证措施进行计分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内容包括但不限于</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❶</w:t>
            </w:r>
            <w:r>
              <w:rPr>
                <w:rFonts w:hint="eastAsia" w:ascii="宋体" w:hAnsi="宋体" w:eastAsia="宋体" w:cs="宋体"/>
                <w:color w:val="auto"/>
                <w:kern w:val="0"/>
                <w:szCs w:val="21"/>
                <w:highlight w:val="none"/>
                <w:lang w:val="en-US" w:eastAsia="zh-CN"/>
              </w:rPr>
              <w:t>施工</w:t>
            </w:r>
            <w:r>
              <w:rPr>
                <w:rFonts w:hint="eastAsia" w:ascii="宋体" w:hAnsi="宋体" w:eastAsia="宋体" w:cs="宋体"/>
                <w:color w:val="auto"/>
                <w:kern w:val="0"/>
                <w:szCs w:val="21"/>
                <w:highlight w:val="none"/>
              </w:rPr>
              <w:t>计划</w:t>
            </w:r>
            <w:r>
              <w:rPr>
                <w:rFonts w:hint="eastAsia" w:ascii="宋体" w:hAnsi="宋体" w:eastAsia="宋体" w:cs="宋体"/>
                <w:color w:val="auto"/>
                <w:kern w:val="0"/>
                <w:szCs w:val="21"/>
                <w:highlight w:val="none"/>
                <w:lang w:val="en-US" w:eastAsia="zh-CN"/>
              </w:rPr>
              <w:t>安排、</w:t>
            </w:r>
            <w:r>
              <w:rPr>
                <w:rFonts w:hint="eastAsia" w:ascii="宋体" w:hAnsi="宋体" w:eastAsia="宋体" w:cs="宋体"/>
                <w:color w:val="auto"/>
                <w:szCs w:val="21"/>
                <w:highlight w:val="none"/>
              </w:rPr>
              <w:t>总工期及节点工期</w:t>
            </w:r>
            <w:r>
              <w:rPr>
                <w:rFonts w:hint="eastAsia" w:ascii="宋体" w:hAnsi="宋体" w:eastAsia="宋体" w:cs="宋体"/>
                <w:color w:val="auto"/>
                <w:szCs w:val="21"/>
                <w:highlight w:val="none"/>
                <w:lang w:val="en-US" w:eastAsia="zh-CN"/>
              </w:rPr>
              <w:t>的安排</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❷工程进度保证措施等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，完全满足以下要求的计</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分：</w:t>
            </w:r>
          </w:p>
          <w:p w14:paraId="11C332DF">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1、总工期及节点工期</w:t>
            </w:r>
            <w:r>
              <w:rPr>
                <w:rFonts w:hint="eastAsia" w:ascii="宋体" w:hAnsi="宋体" w:eastAsia="宋体" w:cs="宋体"/>
                <w:color w:val="auto"/>
                <w:szCs w:val="21"/>
                <w:highlight w:val="none"/>
                <w:lang w:val="en-US" w:eastAsia="zh-CN"/>
              </w:rPr>
              <w:t>完全满足</w:t>
            </w:r>
            <w:r>
              <w:rPr>
                <w:rFonts w:hint="eastAsia" w:ascii="宋体" w:hAnsi="宋体" w:eastAsia="宋体" w:cs="宋体"/>
                <w:color w:val="auto"/>
                <w:szCs w:val="21"/>
                <w:highlight w:val="none"/>
              </w:rPr>
              <w:t>采购文件的要求；施工进度计划内容全面，线路清晰、准确、完整，计划编制合理、可行</w:t>
            </w:r>
          </w:p>
          <w:p w14:paraId="09B76896">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2、施工措施有力、合理、可行。</w:t>
            </w:r>
          </w:p>
          <w:p w14:paraId="59B4D118">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color w:val="auto"/>
                <w:kern w:val="0"/>
                <w:szCs w:val="21"/>
                <w:highlight w:val="none"/>
              </w:rPr>
            </w:pPr>
            <w:r>
              <w:rPr>
                <w:rFonts w:hint="eastAsia" w:ascii="宋体" w:hAnsi="宋体" w:eastAsia="宋体" w:cs="宋体"/>
                <w:b/>
                <w:bCs/>
                <w:color w:val="auto"/>
                <w:szCs w:val="21"/>
                <w:highlight w:val="none"/>
              </w:rPr>
              <w:t>二、扣分标准：</w:t>
            </w:r>
            <w:r>
              <w:rPr>
                <w:rFonts w:hint="eastAsia" w:ascii="宋体" w:hAnsi="宋体" w:eastAsia="宋体" w:cs="宋体"/>
                <w:color w:val="auto"/>
                <w:szCs w:val="21"/>
                <w:highlight w:val="none"/>
              </w:rPr>
              <w:t>上述内容，①方案欠完善或针对性欠缺的每项扣</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分，上述扣分扣完为止；②方案缺漏项或不合理的每项扣</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分，上述扣分扣完为止；③未提供的不计分。</w:t>
            </w:r>
          </w:p>
        </w:tc>
      </w:tr>
      <w:tr w14:paraId="71CEA7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1" w:type="dxa"/>
            <w:vMerge w:val="continue"/>
            <w:vAlign w:val="center"/>
          </w:tcPr>
          <w:p w14:paraId="304F4E2E">
            <w:pPr>
              <w:widowControl/>
              <w:jc w:val="center"/>
              <w:outlineLvl w:val="9"/>
              <w:rPr>
                <w:rFonts w:hint="eastAsia" w:ascii="宋体" w:hAnsi="宋体"/>
                <w:color w:val="auto"/>
                <w:kern w:val="0"/>
                <w:szCs w:val="21"/>
                <w:highlight w:val="none"/>
              </w:rPr>
            </w:pPr>
          </w:p>
        </w:tc>
        <w:tc>
          <w:tcPr>
            <w:tcW w:w="1104" w:type="dxa"/>
            <w:vMerge w:val="continue"/>
            <w:vAlign w:val="center"/>
          </w:tcPr>
          <w:p w14:paraId="6D7704F6">
            <w:pPr>
              <w:widowControl/>
              <w:jc w:val="center"/>
              <w:outlineLvl w:val="9"/>
              <w:rPr>
                <w:rFonts w:hint="eastAsia" w:ascii="宋体" w:hAnsi="宋体"/>
                <w:color w:val="auto"/>
                <w:kern w:val="0"/>
                <w:szCs w:val="21"/>
                <w:highlight w:val="none"/>
              </w:rPr>
            </w:pPr>
          </w:p>
        </w:tc>
        <w:tc>
          <w:tcPr>
            <w:tcW w:w="844" w:type="dxa"/>
            <w:vAlign w:val="center"/>
          </w:tcPr>
          <w:p w14:paraId="0A0651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color w:val="auto"/>
                <w:kern w:val="0"/>
                <w:szCs w:val="21"/>
                <w:highlight w:val="none"/>
              </w:rPr>
            </w:pPr>
            <w:r>
              <w:rPr>
                <w:rFonts w:hint="eastAsia" w:ascii="宋体" w:hAnsi="宋体" w:eastAsia="宋体" w:cs="宋体"/>
                <w:color w:val="auto"/>
                <w:szCs w:val="21"/>
                <w:highlight w:val="none"/>
              </w:rPr>
              <w:t>资源配备计划</w:t>
            </w:r>
          </w:p>
        </w:tc>
        <w:tc>
          <w:tcPr>
            <w:tcW w:w="564" w:type="dxa"/>
            <w:vAlign w:val="center"/>
          </w:tcPr>
          <w:p w14:paraId="2F7CBF79">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宋体" w:hAnsi="宋体"/>
                <w:color w:val="auto"/>
                <w:kern w:val="0"/>
                <w:szCs w:val="21"/>
                <w:highlight w:val="none"/>
                <w:lang w:val="en-US"/>
              </w:rPr>
            </w:pPr>
            <w:r>
              <w:rPr>
                <w:rFonts w:hint="eastAsia" w:ascii="宋体" w:hAnsi="宋体" w:eastAsia="宋体" w:cs="宋体"/>
                <w:color w:val="auto"/>
                <w:szCs w:val="21"/>
                <w:highlight w:val="none"/>
                <w:lang w:val="en-US" w:eastAsia="zh-CN"/>
              </w:rPr>
              <w:t>12</w:t>
            </w:r>
          </w:p>
        </w:tc>
        <w:tc>
          <w:tcPr>
            <w:tcW w:w="6636" w:type="dxa"/>
            <w:vAlign w:val="center"/>
          </w:tcPr>
          <w:p w14:paraId="45B669BC">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eastAsia="宋体" w:cs="宋体"/>
                <w:color w:val="auto"/>
                <w:highlight w:val="none"/>
                <w:lang w:eastAsia="zh-CN"/>
              </w:rPr>
            </w:pPr>
            <w:r>
              <w:rPr>
                <w:rFonts w:hint="eastAsia" w:ascii="宋体" w:hAnsi="宋体" w:eastAsia="宋体" w:cs="宋体"/>
                <w:b/>
                <w:bCs/>
                <w:color w:val="auto"/>
                <w:highlight w:val="none"/>
                <w:lang w:eastAsia="zh-CN"/>
              </w:rPr>
              <w:t>一、评审内容：</w:t>
            </w:r>
            <w:r>
              <w:rPr>
                <w:rFonts w:hint="eastAsia" w:ascii="宋体" w:hAnsi="宋体" w:eastAsia="宋体" w:cs="宋体"/>
                <w:color w:val="auto"/>
                <w:highlight w:val="none"/>
                <w:lang w:eastAsia="zh-CN"/>
              </w:rPr>
              <w:t>根据供应商提供的资源配备计划进行计分（</w:t>
            </w:r>
            <w:r>
              <w:rPr>
                <w:rFonts w:hint="eastAsia" w:ascii="宋体" w:hAnsi="宋体" w:eastAsia="宋体" w:cs="宋体"/>
                <w:color w:val="auto"/>
                <w:highlight w:val="none"/>
                <w:lang w:val="en-US" w:eastAsia="zh-CN"/>
              </w:rPr>
              <w:t>内容包括但不限于：❶</w:t>
            </w:r>
            <w:r>
              <w:rPr>
                <w:rFonts w:hint="eastAsia" w:ascii="宋体" w:hAnsi="宋体" w:eastAsia="宋体" w:cs="宋体"/>
                <w:color w:val="auto"/>
                <w:highlight w:val="none"/>
                <w:lang w:eastAsia="zh-CN"/>
              </w:rPr>
              <w:t>施工</w:t>
            </w:r>
            <w:r>
              <w:rPr>
                <w:rFonts w:hint="eastAsia" w:ascii="宋体" w:hAnsi="宋体" w:eastAsia="宋体" w:cs="宋体"/>
                <w:color w:val="auto"/>
                <w:highlight w:val="none"/>
              </w:rPr>
              <w:t>机械</w:t>
            </w:r>
            <w:r>
              <w:rPr>
                <w:rFonts w:hint="eastAsia" w:ascii="宋体" w:hAnsi="宋体" w:eastAsia="宋体" w:cs="宋体"/>
                <w:color w:val="auto"/>
                <w:highlight w:val="none"/>
                <w:lang w:val="en-US" w:eastAsia="zh-CN"/>
              </w:rPr>
              <w:t>配备计划</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❷</w:t>
            </w:r>
            <w:r>
              <w:rPr>
                <w:rFonts w:hint="eastAsia" w:ascii="宋体" w:hAnsi="宋体" w:eastAsia="宋体" w:cs="宋体"/>
                <w:color w:val="auto"/>
                <w:highlight w:val="none"/>
                <w:lang w:eastAsia="zh-CN"/>
              </w:rPr>
              <w:t>劳动力安排计划；</w:t>
            </w:r>
            <w:r>
              <w:rPr>
                <w:rFonts w:hint="eastAsia" w:ascii="宋体" w:hAnsi="宋体" w:eastAsia="宋体" w:cs="宋体"/>
                <w:color w:val="auto"/>
                <w:highlight w:val="none"/>
                <w:lang w:val="en-US" w:eastAsia="zh-CN"/>
              </w:rPr>
              <w:t>❸</w:t>
            </w:r>
            <w:r>
              <w:rPr>
                <w:rFonts w:hint="eastAsia" w:ascii="宋体" w:hAnsi="宋体" w:eastAsia="宋体" w:cs="宋体"/>
                <w:color w:val="auto"/>
                <w:highlight w:val="none"/>
                <w:lang w:eastAsia="zh-CN"/>
              </w:rPr>
              <w:t>主要材料</w:t>
            </w:r>
            <w:r>
              <w:rPr>
                <w:rFonts w:hint="eastAsia" w:ascii="宋体" w:hAnsi="宋体" w:eastAsia="宋体" w:cs="宋体"/>
                <w:color w:val="auto"/>
                <w:highlight w:val="none"/>
                <w:lang w:val="en-US" w:eastAsia="zh-CN"/>
              </w:rPr>
              <w:t>及</w:t>
            </w:r>
            <w:r>
              <w:rPr>
                <w:rFonts w:hint="eastAsia" w:ascii="宋体" w:hAnsi="宋体" w:eastAsia="宋体" w:cs="宋体"/>
                <w:color w:val="auto"/>
                <w:highlight w:val="none"/>
                <w:lang w:eastAsia="zh-CN"/>
              </w:rPr>
              <w:t>构件使用计划</w:t>
            </w:r>
            <w:r>
              <w:rPr>
                <w:rFonts w:hint="eastAsia" w:ascii="宋体" w:hAnsi="宋体" w:eastAsia="宋体" w:cs="宋体"/>
                <w:color w:val="auto"/>
                <w:kern w:val="0"/>
                <w:highlight w:val="none"/>
              </w:rPr>
              <w:t>等</w:t>
            </w:r>
            <w:r>
              <w:rPr>
                <w:rFonts w:hint="eastAsia" w:ascii="宋体" w:hAnsi="宋体" w:eastAsia="宋体" w:cs="宋体"/>
                <w:color w:val="auto"/>
                <w:highlight w:val="none"/>
                <w:lang w:eastAsia="zh-CN"/>
              </w:rPr>
              <w:t>），完全满足以下要求的计</w:t>
            </w:r>
            <w:r>
              <w:rPr>
                <w:rFonts w:hint="eastAsia" w:ascii="宋体" w:hAnsi="宋体" w:eastAsia="宋体" w:cs="宋体"/>
                <w:color w:val="auto"/>
                <w:highlight w:val="none"/>
                <w:lang w:val="en-US" w:eastAsia="zh-CN"/>
              </w:rPr>
              <w:t>12</w:t>
            </w:r>
            <w:r>
              <w:rPr>
                <w:rFonts w:hint="eastAsia" w:ascii="宋体" w:hAnsi="宋体" w:eastAsia="宋体" w:cs="宋体"/>
                <w:color w:val="auto"/>
                <w:highlight w:val="none"/>
                <w:lang w:eastAsia="zh-CN"/>
              </w:rPr>
              <w:t>分：</w:t>
            </w:r>
          </w:p>
          <w:p w14:paraId="7C5327F8">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1、资源投入计划与施工部署；</w:t>
            </w:r>
          </w:p>
          <w:p w14:paraId="1F625FEE">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施工方法及进度计划呼应；</w:t>
            </w:r>
          </w:p>
          <w:p w14:paraId="20D1CA46">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、资源调配投入计划合理、准确。</w:t>
            </w:r>
          </w:p>
          <w:p w14:paraId="0A3A942A">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color w:val="auto"/>
                <w:kern w:val="0"/>
                <w:szCs w:val="21"/>
                <w:highlight w:val="none"/>
              </w:rPr>
            </w:pPr>
            <w:r>
              <w:rPr>
                <w:rFonts w:hint="eastAsia" w:ascii="宋体" w:hAnsi="宋体" w:eastAsia="宋体" w:cs="宋体"/>
                <w:b/>
                <w:bCs/>
                <w:color w:val="auto"/>
                <w:highlight w:val="none"/>
                <w:lang w:eastAsia="zh-CN"/>
              </w:rPr>
              <w:t>二、扣分标准：</w:t>
            </w:r>
            <w:r>
              <w:rPr>
                <w:rFonts w:hint="eastAsia" w:ascii="宋体" w:hAnsi="宋体" w:eastAsia="宋体" w:cs="宋体"/>
                <w:color w:val="auto"/>
                <w:highlight w:val="none"/>
                <w:lang w:eastAsia="zh-CN"/>
              </w:rPr>
              <w:t>上述内容，①方案欠完善或针对性欠缺的每项扣</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分，上述扣分扣完为止；②方案缺漏项或不合理的每项扣</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分，上述扣分扣完为止；③未提供的不计分。</w:t>
            </w:r>
          </w:p>
        </w:tc>
      </w:tr>
      <w:tr w14:paraId="20B609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1" w:type="dxa"/>
            <w:vMerge w:val="continue"/>
            <w:vAlign w:val="center"/>
          </w:tcPr>
          <w:p w14:paraId="2009CB68">
            <w:pPr>
              <w:widowControl/>
              <w:jc w:val="center"/>
              <w:outlineLvl w:val="9"/>
              <w:rPr>
                <w:rFonts w:hint="eastAsia" w:ascii="宋体" w:hAnsi="宋体"/>
                <w:color w:val="auto"/>
                <w:kern w:val="0"/>
                <w:szCs w:val="21"/>
                <w:highlight w:val="none"/>
              </w:rPr>
            </w:pPr>
          </w:p>
        </w:tc>
        <w:tc>
          <w:tcPr>
            <w:tcW w:w="1104" w:type="dxa"/>
            <w:vMerge w:val="continue"/>
            <w:vAlign w:val="center"/>
          </w:tcPr>
          <w:p w14:paraId="32CD28A1">
            <w:pPr>
              <w:widowControl/>
              <w:jc w:val="center"/>
              <w:outlineLvl w:val="9"/>
              <w:rPr>
                <w:rFonts w:hint="eastAsia" w:ascii="宋体" w:hAnsi="宋体"/>
                <w:color w:val="auto"/>
                <w:kern w:val="0"/>
                <w:szCs w:val="21"/>
                <w:highlight w:val="none"/>
              </w:rPr>
            </w:pPr>
          </w:p>
        </w:tc>
        <w:tc>
          <w:tcPr>
            <w:tcW w:w="844" w:type="dxa"/>
            <w:vAlign w:val="center"/>
          </w:tcPr>
          <w:p w14:paraId="039C65C9">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ascii="宋体" w:hAnsi="宋体"/>
                <w:color w:val="auto"/>
                <w:kern w:val="0"/>
                <w:szCs w:val="21"/>
                <w:highlight w:val="none"/>
              </w:rPr>
            </w:pPr>
            <w:r>
              <w:rPr>
                <w:rFonts w:hint="eastAsia" w:ascii="宋体" w:hAnsi="宋体" w:eastAsia="宋体" w:cs="宋体"/>
                <w:color w:val="auto"/>
                <w:kern w:val="0"/>
                <w:szCs w:val="21"/>
                <w:highlight w:val="none"/>
              </w:rPr>
              <w:t>质量保障体系与措施</w:t>
            </w:r>
          </w:p>
        </w:tc>
        <w:tc>
          <w:tcPr>
            <w:tcW w:w="564" w:type="dxa"/>
            <w:vAlign w:val="center"/>
          </w:tcPr>
          <w:p w14:paraId="21F97376">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宋体" w:hAnsi="宋体"/>
                <w:color w:val="auto"/>
                <w:kern w:val="0"/>
                <w:szCs w:val="21"/>
                <w:highlight w:val="none"/>
                <w:lang w:val="en-US"/>
              </w:rPr>
            </w:pPr>
            <w:r>
              <w:rPr>
                <w:rFonts w:hint="eastAsia" w:ascii="宋体" w:hAnsi="宋体" w:eastAsia="宋体" w:cs="宋体"/>
                <w:color w:val="auto"/>
                <w:szCs w:val="21"/>
                <w:highlight w:val="none"/>
                <w:lang w:val="en-US" w:eastAsia="zh-CN"/>
              </w:rPr>
              <w:t>12</w:t>
            </w:r>
          </w:p>
        </w:tc>
        <w:tc>
          <w:tcPr>
            <w:tcW w:w="6636" w:type="dxa"/>
            <w:vAlign w:val="center"/>
          </w:tcPr>
          <w:p w14:paraId="7F2A7400">
            <w:pPr>
              <w:keepNext w:val="0"/>
              <w:keepLines w:val="0"/>
              <w:pageBreakBefore w:val="0"/>
              <w:widowControl w:val="0"/>
              <w:numPr>
                <w:ilvl w:val="0"/>
                <w:numId w:val="0"/>
              </w:numPr>
              <w:kinsoku/>
              <w:wordWrap/>
              <w:overflowPunct/>
              <w:topLinePunct w:val="0"/>
              <w:autoSpaceDE/>
              <w:autoSpaceDN/>
              <w:bidi w:val="0"/>
              <w:spacing w:line="240" w:lineRule="auto"/>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一、评审内容：</w:t>
            </w:r>
            <w:r>
              <w:rPr>
                <w:rFonts w:hint="eastAsia" w:ascii="宋体" w:hAnsi="宋体" w:eastAsia="宋体" w:cs="宋体"/>
                <w:color w:val="auto"/>
                <w:kern w:val="2"/>
                <w:sz w:val="21"/>
                <w:szCs w:val="21"/>
                <w:highlight w:val="none"/>
                <w:lang w:val="en-US" w:eastAsia="zh-CN" w:bidi="ar-SA"/>
              </w:rPr>
              <w:t>根据供应商提供的质量管理体系与措施进行计分（内容包括但不限于：❶质量保障体系；❷质量控制措施及保证质量的技术措施；❸建立健全项目质量管理规章制度；❹质量保障承诺等），完全满足以下要求的计12分：</w:t>
            </w:r>
          </w:p>
          <w:p w14:paraId="5C958353">
            <w:pPr>
              <w:keepNext w:val="0"/>
              <w:keepLines w:val="0"/>
              <w:pageBreakBefore w:val="0"/>
              <w:widowControl w:val="0"/>
              <w:numPr>
                <w:ilvl w:val="0"/>
                <w:numId w:val="0"/>
              </w:numPr>
              <w:kinsoku/>
              <w:wordWrap/>
              <w:overflowPunct/>
              <w:topLinePunct w:val="0"/>
              <w:autoSpaceDE/>
              <w:autoSpaceDN/>
              <w:bidi w:val="0"/>
              <w:spacing w:line="240" w:lineRule="auto"/>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1、质量目标明确，完全满足采购文件的要求；</w:t>
            </w:r>
          </w:p>
          <w:p w14:paraId="273C11F5">
            <w:pPr>
              <w:keepNext w:val="0"/>
              <w:keepLines w:val="0"/>
              <w:pageBreakBefore w:val="0"/>
              <w:widowControl w:val="0"/>
              <w:numPr>
                <w:ilvl w:val="0"/>
                <w:numId w:val="0"/>
              </w:numPr>
              <w:kinsoku/>
              <w:wordWrap/>
              <w:overflowPunct/>
              <w:topLinePunct w:val="0"/>
              <w:autoSpaceDE/>
              <w:autoSpaceDN/>
              <w:bidi w:val="0"/>
              <w:spacing w:line="240" w:lineRule="auto"/>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2、管理机构健全，职责分工明确；</w:t>
            </w:r>
          </w:p>
          <w:p w14:paraId="21246B62">
            <w:pPr>
              <w:keepNext w:val="0"/>
              <w:keepLines w:val="0"/>
              <w:pageBreakBefore w:val="0"/>
              <w:widowControl w:val="0"/>
              <w:numPr>
                <w:ilvl w:val="0"/>
                <w:numId w:val="0"/>
              </w:numPr>
              <w:kinsoku/>
              <w:wordWrap/>
              <w:overflowPunct/>
              <w:topLinePunct w:val="0"/>
              <w:autoSpaceDE/>
              <w:autoSpaceDN/>
              <w:bidi w:val="0"/>
              <w:spacing w:line="240" w:lineRule="auto"/>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3、管理制度齐全；</w:t>
            </w:r>
          </w:p>
          <w:p w14:paraId="05A21F20">
            <w:pPr>
              <w:keepNext w:val="0"/>
              <w:keepLines w:val="0"/>
              <w:pageBreakBefore w:val="0"/>
              <w:widowControl w:val="0"/>
              <w:numPr>
                <w:ilvl w:val="0"/>
                <w:numId w:val="0"/>
              </w:numPr>
              <w:kinsoku/>
              <w:wordWrap/>
              <w:overflowPunct/>
              <w:topLinePunct w:val="0"/>
              <w:autoSpaceDE/>
              <w:autoSpaceDN/>
              <w:bidi w:val="0"/>
              <w:spacing w:line="240" w:lineRule="auto"/>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4、实施与监控措施全面、有效。</w:t>
            </w:r>
          </w:p>
          <w:p w14:paraId="75082277">
            <w:pPr>
              <w:keepNext w:val="0"/>
              <w:keepLines w:val="0"/>
              <w:pageBreakBefore w:val="0"/>
              <w:widowControl w:val="0"/>
              <w:numPr>
                <w:ilvl w:val="0"/>
                <w:numId w:val="0"/>
              </w:numPr>
              <w:kinsoku/>
              <w:wordWrap/>
              <w:overflowPunct/>
              <w:topLinePunct w:val="0"/>
              <w:autoSpaceDE/>
              <w:autoSpaceDN/>
              <w:bidi w:val="0"/>
              <w:spacing w:line="240" w:lineRule="auto"/>
              <w:textAlignment w:val="auto"/>
              <w:outlineLvl w:val="9"/>
              <w:rPr>
                <w:rFonts w:hint="eastAsia" w:ascii="宋体" w:hAnsi="宋体"/>
                <w:color w:val="auto"/>
                <w:kern w:val="0"/>
                <w:szCs w:val="21"/>
                <w:highlight w:val="none"/>
              </w:rPr>
            </w:pPr>
            <w:r>
              <w:rPr>
                <w:rFonts w:hint="eastAsia" w:ascii="宋体" w:hAnsi="宋体" w:eastAsia="宋体" w:cs="宋体"/>
                <w:b/>
                <w:bCs/>
                <w:color w:val="auto"/>
                <w:kern w:val="2"/>
                <w:sz w:val="21"/>
                <w:szCs w:val="21"/>
                <w:highlight w:val="none"/>
                <w:lang w:val="en-US" w:eastAsia="zh-CN" w:bidi="ar-SA"/>
              </w:rPr>
              <w:t>二、扣分标准：</w:t>
            </w:r>
            <w:r>
              <w:rPr>
                <w:rFonts w:hint="eastAsia" w:ascii="宋体" w:hAnsi="宋体" w:eastAsia="宋体" w:cs="宋体"/>
                <w:color w:val="auto"/>
                <w:kern w:val="2"/>
                <w:sz w:val="21"/>
                <w:szCs w:val="21"/>
                <w:highlight w:val="none"/>
                <w:lang w:val="en-US" w:eastAsia="zh-CN" w:bidi="ar-SA"/>
              </w:rPr>
              <w:t>上述内容，①方案欠完善或针对性欠缺的每项扣1.5分，上述扣分扣完为止；②方案缺漏项或不合理的每项扣3分，上述扣分扣完为止；③未提供的不计分。</w:t>
            </w:r>
          </w:p>
        </w:tc>
      </w:tr>
      <w:tr w14:paraId="143FC5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1" w:type="dxa"/>
            <w:vMerge w:val="continue"/>
            <w:vAlign w:val="center"/>
          </w:tcPr>
          <w:p w14:paraId="02A9F9C5">
            <w:pPr>
              <w:widowControl/>
              <w:jc w:val="center"/>
              <w:outlineLvl w:val="9"/>
              <w:rPr>
                <w:rFonts w:hint="eastAsia" w:ascii="宋体" w:hAnsi="宋体"/>
                <w:color w:val="auto"/>
                <w:kern w:val="0"/>
                <w:szCs w:val="21"/>
                <w:highlight w:val="none"/>
              </w:rPr>
            </w:pPr>
          </w:p>
        </w:tc>
        <w:tc>
          <w:tcPr>
            <w:tcW w:w="1104" w:type="dxa"/>
            <w:vMerge w:val="continue"/>
            <w:vAlign w:val="center"/>
          </w:tcPr>
          <w:p w14:paraId="4DDF9949">
            <w:pPr>
              <w:widowControl/>
              <w:jc w:val="center"/>
              <w:outlineLvl w:val="9"/>
              <w:rPr>
                <w:rFonts w:hint="eastAsia" w:ascii="宋体" w:hAnsi="宋体"/>
                <w:color w:val="auto"/>
                <w:kern w:val="0"/>
                <w:szCs w:val="21"/>
                <w:highlight w:val="none"/>
              </w:rPr>
            </w:pPr>
          </w:p>
        </w:tc>
        <w:tc>
          <w:tcPr>
            <w:tcW w:w="844" w:type="dxa"/>
            <w:vAlign w:val="center"/>
          </w:tcPr>
          <w:p w14:paraId="1608717F">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ascii="宋体" w:hAnsi="宋体"/>
                <w:color w:val="auto"/>
                <w:kern w:val="0"/>
                <w:szCs w:val="21"/>
                <w:highlight w:val="none"/>
              </w:rPr>
            </w:pPr>
            <w:r>
              <w:rPr>
                <w:rFonts w:hint="eastAsia" w:ascii="宋体" w:hAnsi="宋体" w:eastAsia="宋体" w:cs="宋体"/>
                <w:color w:val="auto"/>
                <w:kern w:val="0"/>
                <w:szCs w:val="21"/>
                <w:highlight w:val="none"/>
              </w:rPr>
              <w:t>安全保障体系与措施</w:t>
            </w:r>
          </w:p>
        </w:tc>
        <w:tc>
          <w:tcPr>
            <w:tcW w:w="564" w:type="dxa"/>
            <w:vAlign w:val="center"/>
          </w:tcPr>
          <w:p w14:paraId="5CF6D5CC">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宋体" w:hAnsi="宋体"/>
                <w:color w:val="auto"/>
                <w:kern w:val="0"/>
                <w:szCs w:val="21"/>
                <w:highlight w:val="none"/>
                <w:lang w:val="en-US"/>
              </w:rPr>
            </w:pPr>
            <w:r>
              <w:rPr>
                <w:rFonts w:hint="eastAsia" w:ascii="宋体" w:hAnsi="宋体" w:eastAsia="宋体" w:cs="宋体"/>
                <w:color w:val="auto"/>
                <w:szCs w:val="21"/>
                <w:highlight w:val="none"/>
                <w:lang w:val="en-US" w:eastAsia="zh-CN"/>
              </w:rPr>
              <w:t>12</w:t>
            </w:r>
          </w:p>
        </w:tc>
        <w:tc>
          <w:tcPr>
            <w:tcW w:w="6636" w:type="dxa"/>
            <w:vAlign w:val="center"/>
          </w:tcPr>
          <w:p w14:paraId="0AE0ED20">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一、评审内容：</w:t>
            </w:r>
            <w:r>
              <w:rPr>
                <w:rFonts w:hint="eastAsia" w:ascii="宋体" w:hAnsi="宋体" w:eastAsia="宋体" w:cs="宋体"/>
                <w:color w:val="auto"/>
                <w:szCs w:val="21"/>
                <w:highlight w:val="none"/>
              </w:rPr>
              <w:t>根据</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提供的安全管理体系与措施进行计分</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内容包括但不限于：❶安全生产管理</w:t>
            </w:r>
            <w:r>
              <w:rPr>
                <w:rFonts w:hint="eastAsia" w:ascii="宋体" w:hAnsi="宋体" w:eastAsia="宋体" w:cs="宋体"/>
                <w:color w:val="auto"/>
                <w:szCs w:val="21"/>
                <w:highlight w:val="none"/>
              </w:rPr>
              <w:t>体系</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❷安全生产保障措施；❸安全管理规章制度、</w:t>
            </w:r>
            <w:r>
              <w:rPr>
                <w:rFonts w:hint="eastAsia" w:ascii="宋体" w:hAnsi="宋体" w:eastAsia="宋体" w:cs="宋体"/>
                <w:color w:val="auto"/>
                <w:szCs w:val="21"/>
                <w:highlight w:val="none"/>
              </w:rPr>
              <w:t>应急处置措施</w:t>
            </w:r>
            <w:r>
              <w:rPr>
                <w:rFonts w:hint="eastAsia" w:ascii="宋体" w:hAnsi="宋体" w:eastAsia="宋体" w:cs="宋体"/>
                <w:color w:val="auto"/>
                <w:szCs w:val="21"/>
                <w:highlight w:val="none"/>
                <w:lang w:val="en-US" w:eastAsia="zh-CN"/>
              </w:rPr>
              <w:t>等）</w:t>
            </w:r>
            <w:r>
              <w:rPr>
                <w:rFonts w:hint="eastAsia" w:ascii="宋体" w:hAnsi="宋体" w:eastAsia="宋体" w:cs="宋体"/>
                <w:color w:val="auto"/>
                <w:szCs w:val="21"/>
                <w:highlight w:val="none"/>
              </w:rPr>
              <w:t>，完全满足以下要求的计</w:t>
            </w:r>
            <w:r>
              <w:rPr>
                <w:rFonts w:hint="eastAsia" w:ascii="宋体" w:hAnsi="宋体" w:eastAsia="宋体" w:cs="宋体"/>
                <w:color w:val="auto"/>
                <w:szCs w:val="21"/>
                <w:highlight w:val="none"/>
                <w:lang w:val="en-US" w:eastAsia="zh-CN"/>
              </w:rPr>
              <w:t>12</w:t>
            </w:r>
            <w:r>
              <w:rPr>
                <w:rFonts w:hint="eastAsia" w:ascii="宋体" w:hAnsi="宋体" w:eastAsia="宋体" w:cs="宋体"/>
                <w:color w:val="auto"/>
                <w:szCs w:val="21"/>
                <w:highlight w:val="none"/>
              </w:rPr>
              <w:t>分：</w:t>
            </w:r>
          </w:p>
          <w:p w14:paraId="45D5CBFF">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1、安全目标明确，</w:t>
            </w:r>
            <w:r>
              <w:rPr>
                <w:rFonts w:hint="eastAsia" w:ascii="宋体" w:hAnsi="宋体" w:eastAsia="宋体" w:cs="宋体"/>
                <w:color w:val="auto"/>
                <w:szCs w:val="21"/>
                <w:highlight w:val="none"/>
                <w:lang w:eastAsia="zh-CN"/>
              </w:rPr>
              <w:t>完全满足</w:t>
            </w:r>
            <w:r>
              <w:rPr>
                <w:rFonts w:hint="eastAsia" w:ascii="宋体" w:hAnsi="宋体" w:eastAsia="宋体" w:cs="宋体"/>
                <w:color w:val="auto"/>
                <w:szCs w:val="21"/>
                <w:highlight w:val="none"/>
              </w:rPr>
              <w:t>采购文件的要求；</w:t>
            </w:r>
          </w:p>
          <w:p w14:paraId="5F02967D">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2、管理机构健全，职责分工明确；</w:t>
            </w:r>
          </w:p>
          <w:p w14:paraId="4227FE48">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3、管理制度齐全</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实施与监控措施全面、有效</w:t>
            </w:r>
            <w:r>
              <w:rPr>
                <w:rFonts w:hint="eastAsia" w:ascii="宋体" w:hAnsi="宋体" w:eastAsia="宋体" w:cs="宋体"/>
                <w:color w:val="auto"/>
                <w:szCs w:val="21"/>
                <w:highlight w:val="none"/>
                <w:lang w:eastAsia="zh-CN"/>
              </w:rPr>
              <w:t>。</w:t>
            </w:r>
          </w:p>
          <w:p w14:paraId="240E30FE">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color w:val="auto"/>
                <w:kern w:val="0"/>
                <w:szCs w:val="21"/>
                <w:highlight w:val="none"/>
              </w:rPr>
            </w:pPr>
            <w:r>
              <w:rPr>
                <w:rFonts w:hint="eastAsia" w:ascii="宋体" w:hAnsi="宋体" w:eastAsia="宋体" w:cs="宋体"/>
                <w:b/>
                <w:bCs/>
                <w:color w:val="auto"/>
                <w:szCs w:val="21"/>
                <w:highlight w:val="none"/>
              </w:rPr>
              <w:t>二、扣分标准：</w:t>
            </w:r>
            <w:r>
              <w:rPr>
                <w:rFonts w:hint="eastAsia" w:ascii="宋体" w:hAnsi="宋体" w:eastAsia="宋体" w:cs="宋体"/>
                <w:color w:val="auto"/>
                <w:szCs w:val="21"/>
                <w:highlight w:val="none"/>
              </w:rPr>
              <w:t>上述内容，①方案欠完善或针对性欠缺的每项扣</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分，上述扣分扣完为止；②方案缺漏项或不合理的每项扣</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分，上述扣分扣完为止；③未提供的不计分。</w:t>
            </w:r>
          </w:p>
        </w:tc>
      </w:tr>
      <w:tr w14:paraId="11891D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19" w:hRule="atLeast"/>
          <w:jc w:val="center"/>
        </w:trPr>
        <w:tc>
          <w:tcPr>
            <w:tcW w:w="431" w:type="dxa"/>
            <w:vMerge w:val="continue"/>
            <w:vAlign w:val="center"/>
          </w:tcPr>
          <w:p w14:paraId="6D97F25A">
            <w:pPr>
              <w:widowControl/>
              <w:jc w:val="center"/>
              <w:outlineLvl w:val="9"/>
              <w:rPr>
                <w:rFonts w:hint="eastAsia" w:ascii="宋体" w:hAnsi="宋体"/>
                <w:color w:val="auto"/>
                <w:kern w:val="0"/>
                <w:szCs w:val="21"/>
                <w:highlight w:val="none"/>
              </w:rPr>
            </w:pPr>
          </w:p>
        </w:tc>
        <w:tc>
          <w:tcPr>
            <w:tcW w:w="1104" w:type="dxa"/>
            <w:vMerge w:val="continue"/>
            <w:vAlign w:val="center"/>
          </w:tcPr>
          <w:p w14:paraId="793952D0">
            <w:pPr>
              <w:widowControl/>
              <w:jc w:val="center"/>
              <w:outlineLvl w:val="9"/>
              <w:rPr>
                <w:rFonts w:hint="eastAsia" w:ascii="宋体" w:hAnsi="宋体"/>
                <w:color w:val="auto"/>
                <w:kern w:val="0"/>
                <w:szCs w:val="21"/>
                <w:highlight w:val="none"/>
              </w:rPr>
            </w:pPr>
          </w:p>
        </w:tc>
        <w:tc>
          <w:tcPr>
            <w:tcW w:w="844" w:type="dxa"/>
            <w:vAlign w:val="center"/>
          </w:tcPr>
          <w:p w14:paraId="272AF9F6">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ascii="宋体" w:hAnsi="宋体"/>
                <w:color w:val="auto"/>
                <w:kern w:val="0"/>
                <w:szCs w:val="21"/>
                <w:highlight w:val="none"/>
              </w:rPr>
            </w:pPr>
            <w:r>
              <w:rPr>
                <w:rFonts w:hint="eastAsia" w:ascii="宋体" w:hAnsi="宋体" w:eastAsia="宋体" w:cs="宋体"/>
                <w:color w:val="auto"/>
                <w:kern w:val="0"/>
                <w:szCs w:val="21"/>
                <w:highlight w:val="none"/>
              </w:rPr>
              <w:t>环境保护体系与措施</w:t>
            </w:r>
          </w:p>
        </w:tc>
        <w:tc>
          <w:tcPr>
            <w:tcW w:w="564" w:type="dxa"/>
            <w:vAlign w:val="center"/>
          </w:tcPr>
          <w:p w14:paraId="36C42AB5">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宋体" w:hAnsi="宋体"/>
                <w:color w:val="auto"/>
                <w:kern w:val="0"/>
                <w:szCs w:val="21"/>
                <w:highlight w:val="none"/>
                <w:lang w:val="en-US"/>
              </w:rPr>
            </w:pPr>
            <w:r>
              <w:rPr>
                <w:rFonts w:hint="eastAsia" w:ascii="宋体" w:hAnsi="宋体" w:eastAsia="宋体" w:cs="宋体"/>
                <w:color w:val="auto"/>
                <w:szCs w:val="21"/>
                <w:highlight w:val="none"/>
                <w:lang w:val="en-US" w:eastAsia="zh-CN"/>
              </w:rPr>
              <w:t>12</w:t>
            </w:r>
          </w:p>
        </w:tc>
        <w:tc>
          <w:tcPr>
            <w:tcW w:w="6636" w:type="dxa"/>
            <w:vAlign w:val="center"/>
          </w:tcPr>
          <w:p w14:paraId="6054D9DE">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一、评审内容：</w:t>
            </w:r>
            <w:r>
              <w:rPr>
                <w:rFonts w:hint="eastAsia" w:ascii="宋体" w:hAnsi="宋体" w:eastAsia="宋体" w:cs="宋体"/>
                <w:color w:val="auto"/>
                <w:szCs w:val="21"/>
                <w:highlight w:val="none"/>
              </w:rPr>
              <w:t>根据</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提供的环境保护管理体系与措施进行计分（内容包括但不限于</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❶环境目标；❷</w:t>
            </w:r>
            <w:r>
              <w:rPr>
                <w:rFonts w:hint="eastAsia" w:ascii="宋体" w:hAnsi="宋体" w:eastAsia="宋体" w:cs="宋体"/>
                <w:color w:val="auto"/>
                <w:szCs w:val="21"/>
                <w:highlight w:val="none"/>
              </w:rPr>
              <w:t>环境保护</w:t>
            </w:r>
            <w:r>
              <w:rPr>
                <w:rFonts w:hint="eastAsia" w:ascii="宋体" w:hAnsi="宋体" w:eastAsia="宋体" w:cs="宋体"/>
                <w:color w:val="auto"/>
                <w:szCs w:val="21"/>
                <w:highlight w:val="none"/>
                <w:lang w:val="en-US" w:eastAsia="zh-CN"/>
              </w:rPr>
              <w:t>措施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包括实施与监控措施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❸</w:t>
            </w:r>
            <w:r>
              <w:rPr>
                <w:rFonts w:hint="eastAsia" w:ascii="宋体" w:hAnsi="宋体" w:eastAsia="宋体" w:cs="宋体"/>
                <w:color w:val="auto"/>
                <w:szCs w:val="21"/>
                <w:highlight w:val="none"/>
              </w:rPr>
              <w:t>环境保护管理体系</w:t>
            </w:r>
            <w:r>
              <w:rPr>
                <w:rFonts w:hint="eastAsia" w:ascii="宋体" w:hAnsi="宋体" w:eastAsia="宋体" w:cs="宋体"/>
                <w:color w:val="auto"/>
                <w:szCs w:val="21"/>
                <w:highlight w:val="none"/>
                <w:lang w:val="en-US" w:eastAsia="zh-CN"/>
              </w:rPr>
              <w:t>及管理制度等</w:t>
            </w:r>
            <w:r>
              <w:rPr>
                <w:rFonts w:hint="eastAsia" w:ascii="宋体" w:hAnsi="宋体" w:eastAsia="宋体" w:cs="宋体"/>
                <w:color w:val="auto"/>
                <w:szCs w:val="21"/>
                <w:highlight w:val="none"/>
              </w:rPr>
              <w:t>），完全满足以下要求的计</w:t>
            </w:r>
            <w:r>
              <w:rPr>
                <w:rFonts w:hint="eastAsia" w:ascii="宋体" w:hAnsi="宋体" w:eastAsia="宋体" w:cs="宋体"/>
                <w:color w:val="auto"/>
                <w:szCs w:val="21"/>
                <w:highlight w:val="none"/>
                <w:lang w:val="en-US" w:eastAsia="zh-CN"/>
              </w:rPr>
              <w:t>12</w:t>
            </w:r>
            <w:r>
              <w:rPr>
                <w:rFonts w:hint="eastAsia" w:ascii="宋体" w:hAnsi="宋体" w:eastAsia="宋体" w:cs="宋体"/>
                <w:color w:val="auto"/>
                <w:szCs w:val="21"/>
                <w:highlight w:val="none"/>
              </w:rPr>
              <w:t>分：</w:t>
            </w:r>
          </w:p>
          <w:p w14:paraId="19AA2F67">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1、环境目标明确，</w:t>
            </w:r>
            <w:r>
              <w:rPr>
                <w:rFonts w:hint="eastAsia" w:ascii="宋体" w:hAnsi="宋体" w:eastAsia="宋体" w:cs="宋体"/>
                <w:color w:val="auto"/>
                <w:szCs w:val="21"/>
                <w:highlight w:val="none"/>
                <w:lang w:eastAsia="zh-CN"/>
              </w:rPr>
              <w:t>完全满足</w:t>
            </w:r>
            <w:r>
              <w:rPr>
                <w:rFonts w:hint="eastAsia" w:ascii="宋体" w:hAnsi="宋体" w:eastAsia="宋体" w:cs="宋体"/>
                <w:color w:val="auto"/>
                <w:szCs w:val="21"/>
                <w:highlight w:val="none"/>
              </w:rPr>
              <w:t>采购文件的要求；</w:t>
            </w:r>
          </w:p>
          <w:p w14:paraId="22FFAE0A">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2、管理</w:t>
            </w:r>
            <w:r>
              <w:rPr>
                <w:rFonts w:hint="eastAsia" w:ascii="宋体" w:hAnsi="宋体" w:eastAsia="宋体" w:cs="宋体"/>
                <w:color w:val="auto"/>
                <w:szCs w:val="21"/>
                <w:highlight w:val="none"/>
                <w:lang w:val="en-US" w:eastAsia="zh-CN"/>
              </w:rPr>
              <w:t>体系</w:t>
            </w:r>
            <w:r>
              <w:rPr>
                <w:rFonts w:hint="eastAsia" w:ascii="宋体" w:hAnsi="宋体" w:eastAsia="宋体" w:cs="宋体"/>
                <w:color w:val="auto"/>
                <w:szCs w:val="21"/>
                <w:highlight w:val="none"/>
              </w:rPr>
              <w:t>健全，职责分工明确</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管理制度齐全；</w:t>
            </w:r>
          </w:p>
          <w:p w14:paraId="339FEE69">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环境保护</w:t>
            </w:r>
            <w:r>
              <w:rPr>
                <w:rFonts w:hint="eastAsia" w:ascii="宋体" w:hAnsi="宋体" w:eastAsia="宋体" w:cs="宋体"/>
                <w:color w:val="auto"/>
                <w:szCs w:val="21"/>
                <w:highlight w:val="none"/>
              </w:rPr>
              <w:t>措施全面、有效。</w:t>
            </w:r>
          </w:p>
          <w:p w14:paraId="4A3CED87">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color w:val="auto"/>
                <w:kern w:val="0"/>
                <w:szCs w:val="21"/>
                <w:highlight w:val="none"/>
              </w:rPr>
            </w:pPr>
            <w:r>
              <w:rPr>
                <w:rFonts w:hint="eastAsia" w:ascii="宋体" w:hAnsi="宋体" w:eastAsia="宋体" w:cs="宋体"/>
                <w:b/>
                <w:bCs/>
                <w:color w:val="auto"/>
                <w:szCs w:val="21"/>
                <w:highlight w:val="none"/>
              </w:rPr>
              <w:t>二、扣分标准：</w:t>
            </w:r>
            <w:r>
              <w:rPr>
                <w:rFonts w:hint="eastAsia" w:ascii="宋体" w:hAnsi="宋体" w:eastAsia="宋体" w:cs="宋体"/>
                <w:color w:val="auto"/>
                <w:szCs w:val="21"/>
                <w:highlight w:val="none"/>
              </w:rPr>
              <w:t>上述内容，①方案欠完善或针对性欠缺的每项扣</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分，上述扣分扣完为止；②方案缺漏项或不合理的每项扣</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分，上述扣分扣完为止；③未提供的不计分。</w:t>
            </w:r>
          </w:p>
        </w:tc>
      </w:tr>
    </w:tbl>
    <w:p w14:paraId="427E2DC6">
      <w:pPr>
        <w:tabs>
          <w:tab w:val="left" w:pos="2590"/>
        </w:tabs>
        <w:adjustRightInd w:val="0"/>
        <w:snapToGrid w:val="0"/>
        <w:spacing w:line="340" w:lineRule="atLeast"/>
        <w:ind w:right="28" w:firstLine="422" w:firstLineChars="200"/>
        <w:jc w:val="left"/>
        <w:outlineLvl w:val="9"/>
        <w:rPr>
          <w:rFonts w:hint="eastAsia"/>
          <w:b w:val="0"/>
          <w:bCs w:val="0"/>
          <w:color w:val="auto"/>
          <w:sz w:val="21"/>
          <w:szCs w:val="21"/>
          <w:highlight w:val="none"/>
        </w:rPr>
        <w:sectPr>
          <w:pgSz w:w="11906" w:h="16839"/>
          <w:pgMar w:top="1440" w:right="1800" w:bottom="1440" w:left="1800" w:header="0" w:footer="994" w:gutter="0"/>
          <w:pgNumType w:fmt="decimal"/>
          <w:cols w:space="720" w:num="1"/>
        </w:sectPr>
      </w:pPr>
      <w:r>
        <w:rPr>
          <w:rFonts w:hint="eastAsia"/>
          <w:b/>
          <w:bCs/>
          <w:color w:val="auto"/>
          <w:sz w:val="21"/>
          <w:szCs w:val="21"/>
          <w:highlight w:val="none"/>
          <w:lang w:val="en-US" w:eastAsia="zh-CN"/>
        </w:rPr>
        <w:t>方案评审事项说明：①</w:t>
      </w:r>
      <w:r>
        <w:rPr>
          <w:rFonts w:hint="eastAsia"/>
          <w:b w:val="0"/>
          <w:bCs w:val="0"/>
          <w:color w:val="auto"/>
          <w:sz w:val="21"/>
          <w:szCs w:val="21"/>
          <w:highlight w:val="none"/>
          <w:lang w:val="en-US" w:eastAsia="zh-CN"/>
        </w:rPr>
        <w:t>方案欠完善或针对性欠缺是指项目名称不符、未贴合采购需求、方案内容与项目需求不一致或没有关联性、涉及的技术规范标准等与国家标准或行业标准或标采购文件要求不一致，相关评审具体实施方案内容与实际实施时存在差异性，计划安排无条理性、方案内容空洞、语义表述不清，存在歧义、逻辑混乱、有错别字，内容不完善等；</w:t>
      </w:r>
      <w:r>
        <w:rPr>
          <w:rFonts w:hint="eastAsia"/>
          <w:b/>
          <w:bCs/>
          <w:color w:val="auto"/>
          <w:sz w:val="21"/>
          <w:szCs w:val="21"/>
          <w:highlight w:val="none"/>
          <w:lang w:val="en-US" w:eastAsia="zh-CN"/>
        </w:rPr>
        <w:t>②</w:t>
      </w:r>
      <w:r>
        <w:rPr>
          <w:rFonts w:hint="eastAsia"/>
          <w:b w:val="0"/>
          <w:bCs w:val="0"/>
          <w:color w:val="auto"/>
          <w:sz w:val="21"/>
          <w:szCs w:val="21"/>
          <w:highlight w:val="none"/>
          <w:lang w:val="en-US" w:eastAsia="zh-CN"/>
        </w:rPr>
        <w:t>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p w14:paraId="050B1390">
      <w:pPr>
        <w:outlineLvl w:val="9"/>
      </w:pPr>
    </w:p>
    <w:tbl>
      <w:tblPr>
        <w:tblStyle w:val="30"/>
        <w:tblpPr w:leftFromText="180" w:rightFromText="180" w:vertAnchor="text" w:horzAnchor="page" w:tblpXSpec="center" w:tblpY="1"/>
        <w:tblOverlap w:val="never"/>
        <w:tblW w:w="957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1"/>
        <w:gridCol w:w="1104"/>
        <w:gridCol w:w="844"/>
        <w:gridCol w:w="564"/>
        <w:gridCol w:w="6636"/>
      </w:tblGrid>
      <w:tr w14:paraId="675CFC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431" w:type="dxa"/>
            <w:vAlign w:val="center"/>
          </w:tcPr>
          <w:p w14:paraId="502B0275">
            <w:pPr>
              <w:widowControl/>
              <w:jc w:val="center"/>
              <w:outlineLvl w:val="9"/>
              <w:rPr>
                <w:rFonts w:hint="eastAsia" w:ascii="宋体" w:hAnsi="宋体"/>
                <w:b/>
                <w:bCs/>
                <w:color w:val="auto"/>
                <w:kern w:val="0"/>
                <w:szCs w:val="21"/>
                <w:highlight w:val="none"/>
              </w:rPr>
            </w:pPr>
            <w:r>
              <w:rPr>
                <w:rFonts w:hint="eastAsia" w:ascii="宋体" w:hAnsi="宋体"/>
                <w:b/>
                <w:bCs/>
                <w:color w:val="auto"/>
                <w:kern w:val="0"/>
                <w:szCs w:val="21"/>
                <w:highlight w:val="none"/>
              </w:rPr>
              <w:t>序号</w:t>
            </w:r>
          </w:p>
        </w:tc>
        <w:tc>
          <w:tcPr>
            <w:tcW w:w="1948" w:type="dxa"/>
            <w:gridSpan w:val="2"/>
            <w:vAlign w:val="center"/>
          </w:tcPr>
          <w:p w14:paraId="33F7EA93">
            <w:pPr>
              <w:widowControl/>
              <w:jc w:val="center"/>
              <w:outlineLvl w:val="9"/>
              <w:rPr>
                <w:rFonts w:hint="eastAsia" w:ascii="宋体" w:hAnsi="宋体" w:eastAsia="宋体" w:cs="宋体"/>
                <w:b/>
                <w:bCs/>
                <w:szCs w:val="21"/>
                <w:highlight w:val="none"/>
              </w:rPr>
            </w:pPr>
            <w:r>
              <w:rPr>
                <w:rFonts w:hint="eastAsia" w:ascii="宋体" w:hAnsi="宋体"/>
                <w:b/>
                <w:bCs/>
                <w:color w:val="auto"/>
                <w:kern w:val="0"/>
                <w:szCs w:val="21"/>
                <w:highlight w:val="none"/>
              </w:rPr>
              <w:t>评审项目</w:t>
            </w:r>
          </w:p>
        </w:tc>
        <w:tc>
          <w:tcPr>
            <w:tcW w:w="564" w:type="dxa"/>
            <w:vAlign w:val="center"/>
          </w:tcPr>
          <w:p w14:paraId="68167E2F">
            <w:pPr>
              <w:widowControl/>
              <w:jc w:val="center"/>
              <w:outlineLvl w:val="9"/>
              <w:rPr>
                <w:rFonts w:hint="eastAsia" w:ascii="宋体" w:hAnsi="宋体" w:eastAsia="宋体" w:cs="宋体"/>
                <w:b/>
                <w:bCs/>
                <w:color w:val="000000"/>
                <w:szCs w:val="21"/>
                <w:highlight w:val="none"/>
                <w:lang w:val="en-US" w:eastAsia="zh-CN"/>
              </w:rPr>
            </w:pPr>
            <w:r>
              <w:rPr>
                <w:rFonts w:hint="eastAsia" w:ascii="宋体" w:hAnsi="宋体"/>
                <w:b/>
                <w:bCs/>
                <w:color w:val="auto"/>
                <w:kern w:val="0"/>
                <w:szCs w:val="21"/>
                <w:highlight w:val="none"/>
              </w:rPr>
              <w:t>分值</w:t>
            </w:r>
          </w:p>
        </w:tc>
        <w:tc>
          <w:tcPr>
            <w:tcW w:w="6636" w:type="dxa"/>
            <w:vAlign w:val="center"/>
          </w:tcPr>
          <w:p w14:paraId="6A47730D">
            <w:pPr>
              <w:widowControl/>
              <w:jc w:val="center"/>
              <w:outlineLvl w:val="9"/>
              <w:rPr>
                <w:rFonts w:hint="eastAsia" w:ascii="宋体" w:hAnsi="宋体" w:eastAsia="宋体" w:cs="宋体"/>
                <w:b/>
                <w:bCs/>
                <w:color w:val="auto"/>
                <w:szCs w:val="21"/>
                <w:highlight w:val="none"/>
              </w:rPr>
            </w:pPr>
            <w:r>
              <w:rPr>
                <w:rFonts w:hint="eastAsia" w:ascii="宋体" w:hAnsi="宋体"/>
                <w:b/>
                <w:bCs/>
                <w:color w:val="auto"/>
                <w:kern w:val="0"/>
                <w:szCs w:val="21"/>
                <w:highlight w:val="none"/>
              </w:rPr>
              <w:t>评审标准</w:t>
            </w:r>
          </w:p>
        </w:tc>
      </w:tr>
      <w:tr w14:paraId="0D1781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2" w:hRule="atLeast"/>
          <w:jc w:val="center"/>
        </w:trPr>
        <w:tc>
          <w:tcPr>
            <w:tcW w:w="431" w:type="dxa"/>
            <w:vMerge w:val="restart"/>
            <w:vAlign w:val="center"/>
          </w:tcPr>
          <w:p w14:paraId="54443C94">
            <w:pPr>
              <w:widowControl/>
              <w:jc w:val="center"/>
              <w:outlineLvl w:val="9"/>
              <w:rPr>
                <w:rFonts w:hint="eastAsia" w:ascii="宋体" w:hAnsi="宋体"/>
                <w:color w:val="auto"/>
                <w:kern w:val="0"/>
                <w:szCs w:val="21"/>
                <w:highlight w:val="none"/>
              </w:rPr>
            </w:pPr>
            <w:r>
              <w:rPr>
                <w:rFonts w:hint="eastAsia" w:ascii="宋体" w:hAnsi="宋体"/>
                <w:color w:val="auto"/>
                <w:kern w:val="0"/>
                <w:szCs w:val="21"/>
                <w:highlight w:val="none"/>
              </w:rPr>
              <w:t>3</w:t>
            </w:r>
          </w:p>
        </w:tc>
        <w:tc>
          <w:tcPr>
            <w:tcW w:w="1104" w:type="dxa"/>
            <w:vMerge w:val="restart"/>
            <w:vAlign w:val="center"/>
          </w:tcPr>
          <w:p w14:paraId="58D4E596">
            <w:pPr>
              <w:widowControl/>
              <w:jc w:val="center"/>
              <w:outlineLvl w:val="9"/>
              <w:rPr>
                <w:rFonts w:hint="eastAsia" w:ascii="宋体" w:hAnsi="宋体"/>
                <w:color w:val="auto"/>
                <w:kern w:val="0"/>
                <w:szCs w:val="21"/>
                <w:highlight w:val="none"/>
              </w:rPr>
            </w:pPr>
            <w:r>
              <w:rPr>
                <w:rFonts w:hint="eastAsia" w:ascii="宋体" w:hAnsi="宋体"/>
                <w:color w:val="auto"/>
                <w:kern w:val="0"/>
                <w:szCs w:val="21"/>
                <w:highlight w:val="none"/>
              </w:rPr>
              <w:t>商务</w:t>
            </w:r>
          </w:p>
          <w:p w14:paraId="7A7893F0">
            <w:pPr>
              <w:widowControl/>
              <w:jc w:val="center"/>
              <w:outlineLvl w:val="9"/>
              <w:rPr>
                <w:rFonts w:hint="eastAsia" w:ascii="宋体" w:hAnsi="宋体"/>
                <w:color w:val="auto"/>
                <w:kern w:val="0"/>
                <w:szCs w:val="21"/>
                <w:highlight w:val="none"/>
              </w:rPr>
            </w:pPr>
            <w:r>
              <w:rPr>
                <w:rFonts w:hint="eastAsia" w:ascii="宋体" w:hAnsi="宋体"/>
                <w:color w:val="auto"/>
                <w:kern w:val="0"/>
                <w:szCs w:val="21"/>
                <w:highlight w:val="none"/>
                <w:lang w:val="en-US" w:eastAsia="zh-CN"/>
              </w:rPr>
              <w:t>12</w:t>
            </w:r>
            <w:r>
              <w:rPr>
                <w:rFonts w:hint="eastAsia" w:ascii="宋体" w:hAnsi="宋体"/>
                <w:color w:val="auto"/>
                <w:kern w:val="0"/>
                <w:szCs w:val="21"/>
                <w:highlight w:val="none"/>
              </w:rPr>
              <w:t>分</w:t>
            </w:r>
          </w:p>
        </w:tc>
        <w:tc>
          <w:tcPr>
            <w:tcW w:w="844" w:type="dxa"/>
            <w:vAlign w:val="center"/>
          </w:tcPr>
          <w:p w14:paraId="7ED06654">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ascii="宋体" w:hAnsi="宋体"/>
                <w:color w:val="auto"/>
                <w:kern w:val="0"/>
                <w:szCs w:val="21"/>
                <w:highlight w:val="none"/>
              </w:rPr>
            </w:pPr>
            <w:r>
              <w:rPr>
                <w:rFonts w:hint="eastAsia" w:ascii="宋体" w:hAnsi="宋体" w:eastAsia="宋体" w:cs="宋体"/>
                <w:szCs w:val="21"/>
                <w:highlight w:val="none"/>
              </w:rPr>
              <w:t>类似业绩</w:t>
            </w:r>
          </w:p>
        </w:tc>
        <w:tc>
          <w:tcPr>
            <w:tcW w:w="564" w:type="dxa"/>
            <w:vAlign w:val="center"/>
          </w:tcPr>
          <w:p w14:paraId="1BF2A65E">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ascii="宋体" w:hAnsi="宋体"/>
                <w:color w:val="auto"/>
                <w:kern w:val="0"/>
                <w:szCs w:val="21"/>
                <w:highlight w:val="none"/>
              </w:rPr>
            </w:pPr>
            <w:r>
              <w:rPr>
                <w:rFonts w:hint="eastAsia" w:ascii="宋体" w:hAnsi="宋体" w:eastAsia="宋体" w:cs="宋体"/>
                <w:color w:val="000000"/>
                <w:szCs w:val="21"/>
                <w:highlight w:val="none"/>
                <w:lang w:val="en-US" w:eastAsia="zh-CN"/>
              </w:rPr>
              <w:t>8</w:t>
            </w:r>
          </w:p>
        </w:tc>
        <w:tc>
          <w:tcPr>
            <w:tcW w:w="6636" w:type="dxa"/>
            <w:vAlign w:val="center"/>
          </w:tcPr>
          <w:p w14:paraId="59F2980B">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供应商具有同类型建筑工程业绩每个计4分，最高计8分。</w:t>
            </w:r>
          </w:p>
          <w:p w14:paraId="624BB2CE">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宋体" w:hAnsi="宋体"/>
                <w:color w:val="auto"/>
                <w:kern w:val="0"/>
                <w:szCs w:val="21"/>
                <w:highlight w:val="none"/>
              </w:rPr>
            </w:pPr>
            <w:r>
              <w:rPr>
                <w:rFonts w:hint="eastAsia" w:ascii="宋体" w:hAnsi="宋体" w:eastAsia="宋体" w:cs="宋体"/>
                <w:b/>
                <w:bCs/>
                <w:color w:val="auto"/>
                <w:szCs w:val="21"/>
                <w:highlight w:val="none"/>
              </w:rPr>
              <w:t>注：提供</w:t>
            </w:r>
            <w:r>
              <w:rPr>
                <w:rFonts w:hint="eastAsia" w:ascii="宋体" w:hAnsi="宋体" w:eastAsia="宋体" w:cs="宋体"/>
                <w:b/>
                <w:bCs/>
                <w:color w:val="auto"/>
                <w:szCs w:val="21"/>
                <w:lang w:eastAsia="zh-CN"/>
              </w:rPr>
              <w:t>相应的中标（成交）通知书</w:t>
            </w:r>
            <w:r>
              <w:rPr>
                <w:rFonts w:hint="eastAsia" w:ascii="宋体" w:hAnsi="宋体" w:eastAsia="宋体" w:cs="宋体"/>
                <w:b/>
                <w:bCs/>
                <w:color w:val="auto"/>
                <w:szCs w:val="21"/>
                <w:lang w:val="en-US" w:eastAsia="zh-CN"/>
              </w:rPr>
              <w:t>或</w:t>
            </w:r>
            <w:r>
              <w:rPr>
                <w:rFonts w:hint="eastAsia" w:ascii="宋体" w:hAnsi="宋体" w:eastAsia="宋体" w:cs="宋体"/>
                <w:b/>
                <w:bCs/>
                <w:color w:val="auto"/>
                <w:szCs w:val="21"/>
                <w:lang w:eastAsia="zh-CN"/>
              </w:rPr>
              <w:t>合同协议书，</w:t>
            </w:r>
            <w:r>
              <w:rPr>
                <w:rFonts w:hint="eastAsia" w:ascii="宋体" w:hAnsi="宋体" w:eastAsia="宋体" w:cs="宋体"/>
                <w:b/>
                <w:bCs/>
                <w:color w:val="auto"/>
                <w:szCs w:val="21"/>
                <w:highlight w:val="none"/>
              </w:rPr>
              <w:t>并加盖</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szCs w:val="21"/>
                <w:highlight w:val="none"/>
              </w:rPr>
              <w:t>公章，未按要求提供</w:t>
            </w:r>
            <w:r>
              <w:rPr>
                <w:rFonts w:hint="eastAsia" w:ascii="宋体" w:hAnsi="宋体" w:eastAsia="宋体" w:cs="宋体"/>
                <w:b/>
                <w:bCs/>
                <w:color w:val="auto"/>
                <w:szCs w:val="21"/>
                <w:highlight w:val="none"/>
                <w:lang w:val="en-US" w:eastAsia="zh-CN"/>
              </w:rPr>
              <w:t>或提供不全</w:t>
            </w:r>
            <w:r>
              <w:rPr>
                <w:rFonts w:hint="eastAsia" w:ascii="宋体" w:hAnsi="宋体" w:eastAsia="宋体" w:cs="宋体"/>
                <w:b/>
                <w:bCs/>
                <w:color w:val="auto"/>
                <w:szCs w:val="21"/>
                <w:highlight w:val="none"/>
              </w:rPr>
              <w:t>的不计分。</w:t>
            </w:r>
          </w:p>
        </w:tc>
      </w:tr>
      <w:tr w14:paraId="172A66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0" w:hRule="atLeast"/>
          <w:jc w:val="center"/>
        </w:trPr>
        <w:tc>
          <w:tcPr>
            <w:tcW w:w="431" w:type="dxa"/>
            <w:vMerge w:val="continue"/>
            <w:vAlign w:val="center"/>
          </w:tcPr>
          <w:p w14:paraId="5AC4837F">
            <w:pPr>
              <w:widowControl/>
              <w:jc w:val="center"/>
              <w:outlineLvl w:val="9"/>
              <w:rPr>
                <w:rFonts w:hint="eastAsia" w:ascii="宋体" w:hAnsi="宋体"/>
                <w:color w:val="auto"/>
                <w:kern w:val="0"/>
                <w:szCs w:val="21"/>
                <w:highlight w:val="none"/>
              </w:rPr>
            </w:pPr>
          </w:p>
        </w:tc>
        <w:tc>
          <w:tcPr>
            <w:tcW w:w="1104" w:type="dxa"/>
            <w:vMerge w:val="continue"/>
            <w:vAlign w:val="center"/>
          </w:tcPr>
          <w:p w14:paraId="5A702AA8">
            <w:pPr>
              <w:widowControl/>
              <w:jc w:val="center"/>
              <w:outlineLvl w:val="9"/>
              <w:rPr>
                <w:rFonts w:hint="eastAsia" w:ascii="宋体" w:hAnsi="宋体"/>
                <w:color w:val="auto"/>
                <w:kern w:val="0"/>
                <w:szCs w:val="21"/>
                <w:highlight w:val="none"/>
              </w:rPr>
            </w:pPr>
          </w:p>
        </w:tc>
        <w:tc>
          <w:tcPr>
            <w:tcW w:w="844" w:type="dxa"/>
            <w:vAlign w:val="center"/>
          </w:tcPr>
          <w:p w14:paraId="2BA3089F">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ascii="宋体" w:hAnsi="宋体"/>
                <w:color w:val="auto"/>
                <w:kern w:val="0"/>
                <w:szCs w:val="21"/>
                <w:highlight w:val="none"/>
              </w:rPr>
            </w:pPr>
            <w:r>
              <w:rPr>
                <w:rStyle w:val="32"/>
                <w:rFonts w:hint="eastAsia" w:ascii="宋体" w:hAnsi="宋体" w:eastAsia="宋体" w:cs="宋体"/>
                <w:b w:val="0"/>
                <w:color w:val="auto"/>
                <w:sz w:val="21"/>
                <w:szCs w:val="24"/>
                <w:highlight w:val="none"/>
                <w:lang w:val="en-US" w:eastAsia="zh-CN"/>
              </w:rPr>
              <w:t>不良行为记录</w:t>
            </w:r>
          </w:p>
        </w:tc>
        <w:tc>
          <w:tcPr>
            <w:tcW w:w="564" w:type="dxa"/>
            <w:vAlign w:val="center"/>
          </w:tcPr>
          <w:p w14:paraId="288E7AC7">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ascii="宋体" w:hAnsi="宋体"/>
                <w:color w:val="auto"/>
                <w:kern w:val="0"/>
                <w:szCs w:val="21"/>
                <w:highlight w:val="none"/>
              </w:rPr>
            </w:pPr>
            <w:r>
              <w:rPr>
                <w:rFonts w:hint="eastAsia" w:ascii="宋体" w:hAnsi="宋体" w:eastAsia="宋体" w:cs="宋体"/>
                <w:color w:val="000000"/>
                <w:szCs w:val="21"/>
                <w:highlight w:val="none"/>
                <w:lang w:val="en-US" w:eastAsia="zh-CN"/>
              </w:rPr>
              <w:t>4</w:t>
            </w:r>
          </w:p>
        </w:tc>
        <w:tc>
          <w:tcPr>
            <w:tcW w:w="6636" w:type="dxa"/>
            <w:vAlign w:val="center"/>
          </w:tcPr>
          <w:p w14:paraId="1A703860">
            <w:pPr>
              <w:outlineLvl w:val="9"/>
              <w:rPr>
                <w:rFonts w:hint="eastAsia" w:ascii="宋体" w:hAnsi="宋体" w:eastAsia="宋体" w:cs="宋体"/>
                <w:kern w:val="0"/>
                <w:szCs w:val="21"/>
              </w:rPr>
            </w:pPr>
            <w:r>
              <w:rPr>
                <w:rFonts w:hint="eastAsia" w:ascii="宋体" w:hAnsi="宋体" w:eastAsia="宋体" w:cs="宋体"/>
                <w:kern w:val="0"/>
                <w:szCs w:val="21"/>
              </w:rPr>
              <w:t>1、</w:t>
            </w:r>
            <w:r>
              <w:rPr>
                <w:rFonts w:hint="eastAsia" w:ascii="宋体" w:hAnsi="宋体" w:eastAsia="宋体" w:cs="宋体"/>
                <w:kern w:val="0"/>
                <w:szCs w:val="21"/>
                <w:lang w:eastAsia="zh-CN"/>
              </w:rPr>
              <w:t>供应商</w:t>
            </w:r>
            <w:r>
              <w:rPr>
                <w:rFonts w:hint="eastAsia" w:ascii="宋体" w:hAnsi="宋体" w:eastAsia="宋体" w:cs="宋体"/>
                <w:kern w:val="0"/>
                <w:szCs w:val="21"/>
              </w:rPr>
              <w:t>应在响应文件中如实反映其单位不良行为记录，以投标截止之日前180天省住房和城乡建设厅公布的不良行为记录情况为准。无不良行为记录计</w:t>
            </w:r>
            <w:r>
              <w:rPr>
                <w:rFonts w:hint="eastAsia" w:ascii="宋体" w:hAnsi="宋体" w:eastAsia="宋体" w:cs="宋体"/>
                <w:kern w:val="0"/>
                <w:szCs w:val="21"/>
                <w:lang w:val="en-US" w:eastAsia="zh-CN"/>
              </w:rPr>
              <w:t>2</w:t>
            </w:r>
            <w:r>
              <w:rPr>
                <w:rFonts w:hint="eastAsia" w:ascii="宋体" w:hAnsi="宋体" w:eastAsia="宋体" w:cs="宋体"/>
                <w:kern w:val="0"/>
                <w:szCs w:val="21"/>
              </w:rPr>
              <w:t>分，发生一般不良行为记录或严重不良行为记录的不计分。</w:t>
            </w:r>
          </w:p>
          <w:p w14:paraId="5B73694B">
            <w:pPr>
              <w:outlineLvl w:val="9"/>
              <w:rPr>
                <w:rFonts w:hint="eastAsia" w:ascii="宋体" w:hAnsi="宋体" w:eastAsia="宋体" w:cs="宋体"/>
                <w:kern w:val="0"/>
                <w:szCs w:val="21"/>
              </w:rPr>
            </w:pPr>
            <w:r>
              <w:rPr>
                <w:rFonts w:hint="eastAsia" w:ascii="宋体" w:hAnsi="宋体" w:eastAsia="宋体" w:cs="宋体"/>
                <w:kern w:val="0"/>
                <w:szCs w:val="21"/>
              </w:rPr>
              <w:t>2、</w:t>
            </w:r>
            <w:r>
              <w:rPr>
                <w:rFonts w:hint="eastAsia" w:ascii="宋体" w:hAnsi="宋体" w:eastAsia="宋体" w:cs="宋体"/>
                <w:kern w:val="0"/>
                <w:szCs w:val="21"/>
                <w:lang w:eastAsia="zh-CN"/>
              </w:rPr>
              <w:t>供应商</w:t>
            </w:r>
            <w:r>
              <w:rPr>
                <w:rFonts w:hint="eastAsia" w:ascii="宋体" w:hAnsi="宋体" w:eastAsia="宋体" w:cs="宋体"/>
                <w:kern w:val="0"/>
                <w:szCs w:val="21"/>
              </w:rPr>
              <w:t>应在响应文件中如实反</w:t>
            </w:r>
            <w:r>
              <w:rPr>
                <w:rFonts w:hint="eastAsia" w:ascii="宋体" w:hAnsi="宋体" w:eastAsia="宋体" w:cs="宋体"/>
                <w:kern w:val="0"/>
                <w:szCs w:val="21"/>
                <w:lang w:val="zh-CN"/>
              </w:rPr>
              <w:t>映似任</w:t>
            </w:r>
            <w:r>
              <w:rPr>
                <w:rFonts w:hint="eastAsia" w:ascii="宋体" w:hAnsi="宋体" w:eastAsia="宋体" w:cs="宋体"/>
                <w:kern w:val="0"/>
                <w:szCs w:val="21"/>
              </w:rPr>
              <w:t>项目负责人的不良行为记录，以投标截止之日前180天省住房和城乡</w:t>
            </w:r>
            <w:r>
              <w:rPr>
                <w:rFonts w:hint="eastAsia" w:ascii="宋体" w:hAnsi="宋体" w:eastAsia="宋体" w:cs="宋体"/>
                <w:kern w:val="0"/>
                <w:szCs w:val="21"/>
                <w:lang w:val="zh-CN"/>
              </w:rPr>
              <w:t>建时厅</w:t>
            </w:r>
            <w:r>
              <w:rPr>
                <w:rFonts w:hint="eastAsia" w:ascii="宋体" w:hAnsi="宋体" w:eastAsia="宋体" w:cs="宋体"/>
                <w:kern w:val="0"/>
                <w:szCs w:val="21"/>
              </w:rPr>
              <w:t>公布的不良行为记录情况为准。无不良行为记录计</w:t>
            </w:r>
            <w:r>
              <w:rPr>
                <w:rFonts w:hint="eastAsia" w:ascii="宋体" w:hAnsi="宋体" w:eastAsia="宋体" w:cs="宋体"/>
                <w:kern w:val="0"/>
                <w:szCs w:val="21"/>
                <w:lang w:val="en-US" w:eastAsia="zh-CN"/>
              </w:rPr>
              <w:t>2</w:t>
            </w:r>
            <w:r>
              <w:rPr>
                <w:rFonts w:hint="eastAsia" w:ascii="宋体" w:hAnsi="宋体" w:eastAsia="宋体" w:cs="宋体"/>
                <w:kern w:val="0"/>
                <w:szCs w:val="21"/>
              </w:rPr>
              <w:t>分，发生一般不良行为记录或严重不良行为记录的不计分。</w:t>
            </w:r>
          </w:p>
          <w:p w14:paraId="4139E972">
            <w:pPr>
              <w:keepNext w:val="0"/>
              <w:keepLines w:val="0"/>
              <w:pageBreakBefore w:val="0"/>
              <w:widowControl w:val="0"/>
              <w:kinsoku/>
              <w:wordWrap/>
              <w:overflowPunct/>
              <w:topLinePunct w:val="0"/>
              <w:autoSpaceDE/>
              <w:autoSpaceDN/>
              <w:bidi w:val="0"/>
              <w:spacing w:line="240" w:lineRule="auto"/>
              <w:textAlignment w:val="auto"/>
              <w:outlineLvl w:val="9"/>
              <w:rPr>
                <w:rFonts w:ascii="宋体" w:hAnsi="宋体"/>
                <w:color w:val="auto"/>
                <w:kern w:val="0"/>
                <w:szCs w:val="21"/>
                <w:highlight w:val="none"/>
              </w:rPr>
            </w:pPr>
            <w:r>
              <w:rPr>
                <w:rFonts w:hint="eastAsia" w:ascii="宋体" w:hAnsi="宋体" w:eastAsia="宋体" w:cs="宋体"/>
                <w:b/>
                <w:bCs/>
                <w:kern w:val="0"/>
                <w:szCs w:val="21"/>
              </w:rPr>
              <w:t>（无不良行为记录的</w:t>
            </w:r>
            <w:r>
              <w:rPr>
                <w:rFonts w:hint="eastAsia" w:ascii="宋体" w:hAnsi="宋体" w:eastAsia="宋体" w:cs="宋体"/>
                <w:b/>
                <w:bCs/>
                <w:kern w:val="0"/>
                <w:szCs w:val="21"/>
                <w:lang w:eastAsia="zh-CN"/>
              </w:rPr>
              <w:t>供应商</w:t>
            </w:r>
            <w:r>
              <w:rPr>
                <w:rFonts w:hint="eastAsia" w:ascii="宋体" w:hAnsi="宋体" w:eastAsia="宋体" w:cs="宋体"/>
                <w:b/>
                <w:bCs/>
                <w:kern w:val="0"/>
                <w:szCs w:val="21"/>
              </w:rPr>
              <w:t>和项目负责人，提交无不良行为记录承诺函即可。一旦发现有弄虚作假，取消投标资格或成交资格。）</w:t>
            </w:r>
          </w:p>
        </w:tc>
      </w:tr>
    </w:tbl>
    <w:p w14:paraId="100ED1B9">
      <w:pPr>
        <w:tabs>
          <w:tab w:val="left" w:pos="2590"/>
        </w:tabs>
        <w:adjustRightInd w:val="0"/>
        <w:snapToGrid w:val="0"/>
        <w:spacing w:line="340" w:lineRule="atLeast"/>
        <w:ind w:right="28" w:firstLine="422" w:firstLineChars="200"/>
        <w:jc w:val="left"/>
        <w:outlineLvl w:val="9"/>
        <w:rPr>
          <w:rFonts w:hint="eastAsia"/>
          <w:b/>
          <w:bCs/>
          <w:color w:val="auto"/>
          <w:sz w:val="21"/>
          <w:szCs w:val="21"/>
          <w:highlight w:val="none"/>
        </w:rPr>
      </w:pPr>
      <w:r>
        <w:rPr>
          <w:b/>
          <w:color w:val="auto"/>
          <w:sz w:val="21"/>
          <w:szCs w:val="21"/>
          <w:highlight w:val="none"/>
        </w:rPr>
        <w:t>说明：</w:t>
      </w:r>
      <w:r>
        <w:rPr>
          <w:b w:val="0"/>
          <w:bCs/>
          <w:color w:val="auto"/>
          <w:sz w:val="21"/>
          <w:szCs w:val="21"/>
          <w:highlight w:val="none"/>
        </w:rPr>
        <w:t>以上所有证明材料响应文件中需附相关资料复印件并加盖供应商公章，</w:t>
      </w:r>
      <w:r>
        <w:rPr>
          <w:rFonts w:hint="eastAsia"/>
          <w:b w:val="0"/>
          <w:bCs/>
          <w:color w:val="auto"/>
          <w:sz w:val="21"/>
          <w:szCs w:val="21"/>
          <w:highlight w:val="none"/>
        </w:rPr>
        <w:t>所有递交的证明材料内容均要求清晰易辨完整，否则视为无效证明材料。</w:t>
      </w:r>
      <w:r>
        <w:rPr>
          <w:b w:val="0"/>
          <w:bCs/>
          <w:color w:val="auto"/>
          <w:sz w:val="21"/>
          <w:szCs w:val="21"/>
          <w:highlight w:val="none"/>
        </w:rPr>
        <w:t>供应商须对复印件的真实性负责，如存在弄虚作假行为，将作无效投标处理，同时上报</w:t>
      </w:r>
      <w:r>
        <w:rPr>
          <w:rFonts w:hint="eastAsia"/>
          <w:b w:val="0"/>
          <w:bCs/>
          <w:color w:val="auto"/>
          <w:sz w:val="21"/>
          <w:szCs w:val="21"/>
          <w:highlight w:val="none"/>
        </w:rPr>
        <w:t>财政部门</w:t>
      </w:r>
      <w:r>
        <w:rPr>
          <w:b w:val="0"/>
          <w:bCs/>
          <w:color w:val="auto"/>
          <w:sz w:val="21"/>
          <w:szCs w:val="21"/>
          <w:highlight w:val="none"/>
        </w:rPr>
        <w:t>列入</w:t>
      </w:r>
      <w:r>
        <w:rPr>
          <w:rFonts w:hint="eastAsia"/>
          <w:b w:val="0"/>
          <w:bCs/>
          <w:color w:val="auto"/>
          <w:sz w:val="21"/>
          <w:szCs w:val="21"/>
          <w:highlight w:val="none"/>
        </w:rPr>
        <w:t>政府采购</w:t>
      </w:r>
      <w:r>
        <w:rPr>
          <w:b w:val="0"/>
          <w:bCs/>
          <w:color w:val="auto"/>
          <w:sz w:val="21"/>
          <w:szCs w:val="21"/>
          <w:highlight w:val="none"/>
        </w:rPr>
        <w:t>采购黑名单。</w:t>
      </w:r>
    </w:p>
    <w:p w14:paraId="11ED5386">
      <w:pPr>
        <w:adjustRightInd w:val="0"/>
        <w:snapToGrid w:val="0"/>
        <w:spacing w:line="360" w:lineRule="auto"/>
        <w:ind w:firstLine="643"/>
        <w:jc w:val="center"/>
        <w:outlineLvl w:val="9"/>
        <w:rPr>
          <w:rFonts w:hint="eastAsia" w:ascii="宋体" w:hAnsi="宋体" w:eastAsia="宋体" w:cs="宋体"/>
          <w:b/>
          <w:color w:val="auto"/>
          <w:sz w:val="32"/>
          <w:szCs w:val="32"/>
          <w:highlight w:val="none"/>
        </w:rPr>
        <w:sectPr>
          <w:pgSz w:w="11906" w:h="16839"/>
          <w:pgMar w:top="1440" w:right="1800" w:bottom="1440" w:left="1800" w:header="0" w:footer="994" w:gutter="0"/>
          <w:pgNumType w:fmt="decimal"/>
          <w:cols w:space="720" w:num="1"/>
        </w:sectPr>
      </w:pPr>
    </w:p>
    <w:p w14:paraId="239051F8">
      <w:pPr>
        <w:adjustRightInd w:val="0"/>
        <w:snapToGrid w:val="0"/>
        <w:spacing w:line="360" w:lineRule="auto"/>
        <w:ind w:firstLine="643"/>
        <w:jc w:val="center"/>
        <w:outlineLvl w:val="0"/>
        <w:rPr>
          <w:rFonts w:hint="eastAsia" w:ascii="宋体" w:hAnsi="宋体" w:eastAsia="宋体" w:cs="宋体"/>
          <w:color w:val="auto"/>
          <w:highlight w:val="none"/>
        </w:rPr>
      </w:pPr>
      <w:bookmarkStart w:id="56" w:name="_Toc3285"/>
      <w:r>
        <w:rPr>
          <w:rFonts w:hint="eastAsia" w:ascii="宋体" w:hAnsi="宋体" w:eastAsia="宋体" w:cs="宋体"/>
          <w:b/>
          <w:color w:val="auto"/>
          <w:sz w:val="32"/>
          <w:szCs w:val="32"/>
          <w:highlight w:val="none"/>
        </w:rPr>
        <w:t>第六章 响应文件的组成</w:t>
      </w:r>
      <w:bookmarkEnd w:id="56"/>
    </w:p>
    <w:p w14:paraId="72A54D90">
      <w:pPr>
        <w:spacing w:line="440" w:lineRule="exact"/>
        <w:ind w:firstLine="508"/>
        <w:outlineLvl w:val="9"/>
        <w:rPr>
          <w:rFonts w:hint="eastAsia" w:ascii="宋体" w:hAnsi="宋体" w:eastAsia="宋体" w:cs="宋体"/>
          <w:color w:val="auto"/>
          <w:spacing w:val="7"/>
          <w:sz w:val="24"/>
          <w:highlight w:val="none"/>
        </w:rPr>
      </w:pPr>
      <w:r>
        <w:rPr>
          <w:rFonts w:ascii="宋体" w:hAnsi="宋体" w:eastAsia="宋体" w:cs="宋体"/>
          <w:color w:val="auto"/>
          <w:spacing w:val="7"/>
          <w:sz w:val="24"/>
          <w:highlight w:val="none"/>
        </w:rPr>
        <w:t>供应商的响应文件应包含以下</w:t>
      </w:r>
      <w:r>
        <w:rPr>
          <w:rFonts w:hint="eastAsia" w:ascii="宋体" w:hAnsi="宋体" w:eastAsia="宋体" w:cs="宋体"/>
          <w:color w:val="auto"/>
          <w:spacing w:val="7"/>
          <w:sz w:val="24"/>
          <w:highlight w:val="none"/>
        </w:rPr>
        <w:t>十一</w:t>
      </w:r>
      <w:r>
        <w:rPr>
          <w:rFonts w:ascii="宋体" w:hAnsi="宋体" w:eastAsia="宋体" w:cs="宋体"/>
          <w:color w:val="auto"/>
          <w:spacing w:val="7"/>
          <w:sz w:val="24"/>
          <w:highlight w:val="none"/>
        </w:rPr>
        <w:t>个部分：</w:t>
      </w:r>
    </w:p>
    <w:p w14:paraId="4A9D8F8A">
      <w:pPr>
        <w:spacing w:line="440" w:lineRule="exact"/>
        <w:ind w:firstLine="510"/>
        <w:outlineLvl w:val="9"/>
        <w:rPr>
          <w:rFonts w:hint="eastAsia" w:ascii="宋体" w:hAnsi="宋体" w:eastAsia="宋体" w:cs="宋体"/>
          <w:b/>
          <w:bCs/>
          <w:color w:val="auto"/>
          <w:spacing w:val="7"/>
          <w:sz w:val="24"/>
          <w:highlight w:val="none"/>
        </w:rPr>
      </w:pPr>
      <w:r>
        <w:rPr>
          <w:rFonts w:ascii="宋体" w:hAnsi="宋体" w:eastAsia="宋体" w:cs="宋体"/>
          <w:b/>
          <w:bCs/>
          <w:color w:val="auto"/>
          <w:spacing w:val="7"/>
          <w:sz w:val="24"/>
          <w:highlight w:val="none"/>
        </w:rPr>
        <w:t>一、磋商响应声明</w:t>
      </w:r>
    </w:p>
    <w:p w14:paraId="13DBC5EA">
      <w:pPr>
        <w:spacing w:line="440" w:lineRule="exact"/>
        <w:ind w:firstLine="420" w:firstLineChars="200"/>
        <w:outlineLvl w:val="9"/>
        <w:rPr>
          <w:rFonts w:hint="eastAsia"/>
        </w:rPr>
      </w:pPr>
      <w:bookmarkStart w:id="57" w:name="_Toc8461"/>
      <w:r>
        <w:rPr>
          <w:rFonts w:hint="eastAsia"/>
        </w:rPr>
        <w:t>附件1：法定代表人身份证明</w:t>
      </w:r>
      <w:bookmarkEnd w:id="57"/>
    </w:p>
    <w:p w14:paraId="652ADF49">
      <w:pPr>
        <w:spacing w:line="440" w:lineRule="exact"/>
        <w:ind w:firstLine="420" w:firstLineChars="200"/>
        <w:outlineLvl w:val="9"/>
        <w:rPr>
          <w:rFonts w:hint="eastAsia"/>
        </w:rPr>
      </w:pPr>
      <w:bookmarkStart w:id="58" w:name="_Toc27157"/>
      <w:r>
        <w:rPr>
          <w:rFonts w:hint="eastAsia"/>
        </w:rPr>
        <w:t>附件2：法定代表人授权委托书</w:t>
      </w:r>
      <w:bookmarkEnd w:id="58"/>
    </w:p>
    <w:p w14:paraId="392ADF01">
      <w:pPr>
        <w:spacing w:line="440" w:lineRule="exact"/>
        <w:ind w:firstLine="420" w:firstLineChars="200"/>
        <w:outlineLvl w:val="9"/>
        <w:rPr>
          <w:rFonts w:hint="eastAsia"/>
          <w:lang w:eastAsia="zh-CN"/>
        </w:rPr>
      </w:pPr>
      <w:r>
        <w:rPr>
          <w:rFonts w:hint="eastAsia" w:ascii="Times New Roman" w:hAnsi="Times New Roman" w:eastAsia="宋体" w:cs="Times New Roman"/>
          <w:lang w:eastAsia="zh-CN"/>
        </w:rPr>
        <w:t>附件</w:t>
      </w:r>
      <w:r>
        <w:rPr>
          <w:rFonts w:hint="eastAsia" w:ascii="Times New Roman" w:hAnsi="Times New Roman" w:eastAsia="宋体" w:cs="Times New Roman"/>
          <w:lang w:val="en-US" w:eastAsia="zh-CN"/>
        </w:rPr>
        <w:t>3</w:t>
      </w:r>
      <w:r>
        <w:rPr>
          <w:rFonts w:hint="eastAsia" w:ascii="Times New Roman" w:hAnsi="Times New Roman" w:eastAsia="宋体" w:cs="Times New Roman"/>
          <w:lang w:eastAsia="zh-CN"/>
        </w:rPr>
        <w:t>：不拖欠民工工资承诺书</w:t>
      </w:r>
    </w:p>
    <w:p w14:paraId="6B35686F">
      <w:pPr>
        <w:spacing w:line="440" w:lineRule="exact"/>
        <w:ind w:firstLine="510"/>
        <w:outlineLvl w:val="9"/>
        <w:rPr>
          <w:rFonts w:hint="eastAsia" w:ascii="宋体" w:hAnsi="宋体" w:eastAsia="宋体" w:cs="宋体"/>
          <w:b/>
          <w:bCs/>
          <w:color w:val="auto"/>
          <w:spacing w:val="7"/>
          <w:sz w:val="24"/>
          <w:highlight w:val="none"/>
        </w:rPr>
      </w:pPr>
      <w:r>
        <w:rPr>
          <w:rFonts w:hint="eastAsia" w:ascii="宋体" w:hAnsi="宋体" w:eastAsia="宋体" w:cs="宋体"/>
          <w:b/>
          <w:bCs/>
          <w:color w:val="auto"/>
          <w:spacing w:val="7"/>
          <w:sz w:val="24"/>
          <w:highlight w:val="none"/>
        </w:rPr>
        <w:t>二、</w:t>
      </w:r>
      <w:r>
        <w:rPr>
          <w:rFonts w:ascii="宋体" w:hAnsi="宋体" w:eastAsia="宋体" w:cs="宋体"/>
          <w:b/>
          <w:bCs/>
          <w:color w:val="auto"/>
          <w:spacing w:val="7"/>
          <w:sz w:val="24"/>
          <w:highlight w:val="none"/>
        </w:rPr>
        <w:t>湖南省政府采购供应商资格承诺函</w:t>
      </w:r>
      <w:r>
        <w:rPr>
          <w:rFonts w:hint="eastAsia" w:ascii="宋体" w:hAnsi="宋体" w:eastAsia="宋体" w:cs="宋体"/>
          <w:b/>
          <w:bCs/>
          <w:color w:val="auto"/>
          <w:spacing w:val="7"/>
          <w:sz w:val="24"/>
          <w:highlight w:val="none"/>
        </w:rPr>
        <w:t>（格式）</w:t>
      </w:r>
    </w:p>
    <w:p w14:paraId="7AF44AD4">
      <w:pPr>
        <w:spacing w:line="440" w:lineRule="exact"/>
        <w:ind w:firstLine="510"/>
        <w:outlineLvl w:val="9"/>
        <w:rPr>
          <w:rFonts w:hint="eastAsia" w:ascii="宋体" w:hAnsi="宋体" w:eastAsia="宋体" w:cs="宋体"/>
          <w:b/>
          <w:bCs/>
          <w:color w:val="auto"/>
          <w:spacing w:val="7"/>
          <w:sz w:val="24"/>
          <w:highlight w:val="none"/>
        </w:rPr>
      </w:pPr>
      <w:r>
        <w:rPr>
          <w:rFonts w:hint="eastAsia" w:ascii="宋体" w:hAnsi="宋体" w:eastAsia="宋体" w:cs="宋体"/>
          <w:b/>
          <w:bCs/>
          <w:color w:val="auto"/>
          <w:spacing w:val="7"/>
          <w:sz w:val="24"/>
          <w:highlight w:val="none"/>
        </w:rPr>
        <w:t>三</w:t>
      </w:r>
      <w:r>
        <w:rPr>
          <w:rFonts w:ascii="宋体" w:hAnsi="宋体" w:eastAsia="宋体" w:cs="宋体"/>
          <w:b/>
          <w:bCs/>
          <w:color w:val="auto"/>
          <w:spacing w:val="7"/>
          <w:sz w:val="24"/>
          <w:highlight w:val="none"/>
        </w:rPr>
        <w:t>、磋商保证金缴纳证明材料</w:t>
      </w:r>
    </w:p>
    <w:p w14:paraId="08E7A56C">
      <w:pPr>
        <w:spacing w:line="440" w:lineRule="exact"/>
        <w:ind w:firstLine="508" w:firstLineChars="200"/>
        <w:outlineLvl w:val="9"/>
        <w:rPr>
          <w:rFonts w:hint="eastAsia" w:ascii="宋体" w:hAnsi="宋体" w:eastAsia="宋体" w:cs="宋体"/>
          <w:color w:val="auto"/>
          <w:spacing w:val="7"/>
          <w:sz w:val="24"/>
          <w:highlight w:val="none"/>
        </w:rPr>
      </w:pPr>
      <w:r>
        <w:rPr>
          <w:rFonts w:ascii="宋体" w:hAnsi="宋体" w:eastAsia="宋体" w:cs="宋体"/>
          <w:color w:val="auto"/>
          <w:spacing w:val="7"/>
          <w:sz w:val="24"/>
          <w:highlight w:val="none"/>
        </w:rPr>
        <w:t>附件4：保证金退还申请书</w:t>
      </w:r>
    </w:p>
    <w:p w14:paraId="39C1E432">
      <w:pPr>
        <w:spacing w:line="440" w:lineRule="exact"/>
        <w:ind w:firstLine="510"/>
        <w:outlineLvl w:val="9"/>
        <w:rPr>
          <w:rFonts w:hint="eastAsia" w:ascii="宋体" w:hAnsi="宋体" w:eastAsia="宋体" w:cs="宋体"/>
          <w:b/>
          <w:bCs/>
          <w:color w:val="auto"/>
          <w:spacing w:val="7"/>
          <w:sz w:val="24"/>
          <w:highlight w:val="none"/>
        </w:rPr>
      </w:pPr>
      <w:r>
        <w:rPr>
          <w:rFonts w:hint="eastAsia" w:ascii="宋体" w:hAnsi="宋体" w:eastAsia="宋体" w:cs="宋体"/>
          <w:b/>
          <w:bCs/>
          <w:color w:val="auto"/>
          <w:spacing w:val="7"/>
          <w:sz w:val="24"/>
          <w:highlight w:val="none"/>
        </w:rPr>
        <w:t>四</w:t>
      </w:r>
      <w:r>
        <w:rPr>
          <w:rFonts w:ascii="宋体" w:hAnsi="宋体" w:eastAsia="宋体" w:cs="宋体"/>
          <w:b/>
          <w:bCs/>
          <w:color w:val="auto"/>
          <w:spacing w:val="7"/>
          <w:sz w:val="24"/>
          <w:highlight w:val="none"/>
        </w:rPr>
        <w:t>、联合体协议(格式)</w:t>
      </w:r>
    </w:p>
    <w:p w14:paraId="5E5C2256">
      <w:pPr>
        <w:spacing w:line="440" w:lineRule="exact"/>
        <w:ind w:firstLine="510"/>
        <w:outlineLvl w:val="9"/>
        <w:rPr>
          <w:rFonts w:hint="eastAsia" w:ascii="宋体" w:hAnsi="宋体" w:eastAsia="宋体" w:cs="宋体"/>
          <w:b/>
          <w:bCs/>
          <w:color w:val="auto"/>
          <w:spacing w:val="7"/>
          <w:sz w:val="24"/>
          <w:highlight w:val="none"/>
        </w:rPr>
      </w:pPr>
      <w:r>
        <w:rPr>
          <w:rFonts w:hint="eastAsia" w:ascii="宋体" w:hAnsi="宋体" w:eastAsia="宋体" w:cs="宋体"/>
          <w:b/>
          <w:bCs/>
          <w:color w:val="auto"/>
          <w:spacing w:val="7"/>
          <w:sz w:val="24"/>
          <w:highlight w:val="none"/>
        </w:rPr>
        <w:t>五</w:t>
      </w:r>
      <w:r>
        <w:rPr>
          <w:rFonts w:ascii="宋体" w:hAnsi="宋体" w:eastAsia="宋体" w:cs="宋体"/>
          <w:b/>
          <w:bCs/>
          <w:color w:val="auto"/>
          <w:spacing w:val="7"/>
          <w:sz w:val="24"/>
          <w:highlight w:val="none"/>
        </w:rPr>
        <w:t>、供应商的资格证明资料</w:t>
      </w:r>
    </w:p>
    <w:p w14:paraId="0F9E24B9">
      <w:pPr>
        <w:spacing w:line="440" w:lineRule="exact"/>
        <w:ind w:firstLine="508" w:firstLineChars="200"/>
        <w:outlineLvl w:val="9"/>
        <w:rPr>
          <w:rFonts w:hint="eastAsia" w:ascii="宋体" w:hAnsi="宋体" w:eastAsia="宋体" w:cs="宋体"/>
          <w:color w:val="auto"/>
          <w:spacing w:val="7"/>
          <w:sz w:val="24"/>
          <w:highlight w:val="none"/>
        </w:rPr>
      </w:pPr>
      <w:r>
        <w:rPr>
          <w:rFonts w:ascii="宋体" w:hAnsi="宋体" w:eastAsia="宋体" w:cs="宋体"/>
          <w:color w:val="auto"/>
          <w:spacing w:val="7"/>
          <w:sz w:val="24"/>
          <w:highlight w:val="none"/>
        </w:rPr>
        <w:t>附件 5：供应商基本情况表</w:t>
      </w:r>
    </w:p>
    <w:p w14:paraId="40F37AC4">
      <w:pPr>
        <w:spacing w:line="440" w:lineRule="exact"/>
        <w:ind w:firstLine="508" w:firstLineChars="200"/>
        <w:outlineLvl w:val="9"/>
        <w:rPr>
          <w:rFonts w:hint="eastAsia" w:ascii="宋体" w:hAnsi="宋体" w:eastAsia="宋体" w:cs="宋体"/>
          <w:color w:val="auto"/>
          <w:spacing w:val="7"/>
          <w:sz w:val="24"/>
          <w:highlight w:val="none"/>
        </w:rPr>
      </w:pPr>
      <w:r>
        <w:rPr>
          <w:rFonts w:ascii="宋体" w:hAnsi="宋体" w:eastAsia="宋体" w:cs="宋体"/>
          <w:color w:val="auto"/>
          <w:spacing w:val="7"/>
          <w:sz w:val="24"/>
          <w:highlight w:val="none"/>
        </w:rPr>
        <w:t>附件 6：磋商文件规定的基本资格条件证明资料</w:t>
      </w:r>
    </w:p>
    <w:p w14:paraId="57B97576">
      <w:pPr>
        <w:spacing w:line="440" w:lineRule="exact"/>
        <w:ind w:firstLine="508" w:firstLineChars="200"/>
        <w:outlineLvl w:val="9"/>
        <w:rPr>
          <w:rFonts w:hint="eastAsia" w:ascii="宋体" w:hAnsi="宋体" w:eastAsia="宋体" w:cs="宋体"/>
          <w:color w:val="auto"/>
          <w:spacing w:val="7"/>
          <w:sz w:val="24"/>
          <w:highlight w:val="none"/>
        </w:rPr>
      </w:pPr>
      <w:r>
        <w:rPr>
          <w:rFonts w:ascii="宋体" w:hAnsi="宋体" w:eastAsia="宋体" w:cs="宋体"/>
          <w:color w:val="auto"/>
          <w:spacing w:val="7"/>
          <w:sz w:val="24"/>
          <w:highlight w:val="none"/>
        </w:rPr>
        <w:t>附件 7：磋商文件规定的特定资格条件证明资料</w:t>
      </w:r>
    </w:p>
    <w:p w14:paraId="00DC1BEB">
      <w:pPr>
        <w:spacing w:line="440" w:lineRule="exact"/>
        <w:ind w:firstLine="508" w:firstLineChars="200"/>
        <w:outlineLvl w:val="9"/>
        <w:rPr>
          <w:rFonts w:hint="eastAsia" w:ascii="宋体" w:hAnsi="宋体" w:eastAsia="宋体" w:cs="宋体"/>
          <w:color w:val="auto"/>
          <w:spacing w:val="7"/>
          <w:sz w:val="24"/>
          <w:highlight w:val="none"/>
        </w:rPr>
      </w:pPr>
      <w:r>
        <w:rPr>
          <w:rFonts w:ascii="宋体" w:hAnsi="宋体" w:eastAsia="宋体" w:cs="宋体"/>
          <w:color w:val="auto"/>
          <w:spacing w:val="7"/>
          <w:sz w:val="24"/>
          <w:highlight w:val="none"/>
        </w:rPr>
        <w:t>附件 8：其他证明资料或说明</w:t>
      </w:r>
    </w:p>
    <w:p w14:paraId="1727B701">
      <w:pPr>
        <w:spacing w:line="440" w:lineRule="exact"/>
        <w:ind w:firstLine="510"/>
        <w:outlineLvl w:val="9"/>
        <w:rPr>
          <w:rFonts w:hint="eastAsia" w:ascii="宋体" w:hAnsi="宋体" w:eastAsia="宋体" w:cs="宋体"/>
          <w:b/>
          <w:bCs/>
          <w:color w:val="auto"/>
          <w:spacing w:val="7"/>
          <w:sz w:val="24"/>
          <w:highlight w:val="none"/>
        </w:rPr>
      </w:pPr>
      <w:r>
        <w:rPr>
          <w:rFonts w:hint="eastAsia" w:ascii="宋体" w:hAnsi="宋体" w:eastAsia="宋体" w:cs="宋体"/>
          <w:b/>
          <w:bCs/>
          <w:color w:val="auto"/>
          <w:spacing w:val="7"/>
          <w:sz w:val="24"/>
          <w:highlight w:val="none"/>
        </w:rPr>
        <w:t>六</w:t>
      </w:r>
      <w:r>
        <w:rPr>
          <w:rFonts w:ascii="宋体" w:hAnsi="宋体" w:eastAsia="宋体" w:cs="宋体"/>
          <w:b/>
          <w:bCs/>
          <w:color w:val="auto"/>
          <w:spacing w:val="7"/>
          <w:sz w:val="24"/>
          <w:highlight w:val="none"/>
        </w:rPr>
        <w:t>、技术方案</w:t>
      </w:r>
    </w:p>
    <w:p w14:paraId="69A4506B">
      <w:pPr>
        <w:spacing w:line="440" w:lineRule="exact"/>
        <w:ind w:firstLine="508" w:firstLineChars="200"/>
        <w:outlineLvl w:val="9"/>
        <w:rPr>
          <w:rFonts w:hint="eastAsia" w:ascii="宋体" w:hAnsi="宋体" w:eastAsia="宋体" w:cs="宋体"/>
          <w:color w:val="auto"/>
          <w:spacing w:val="7"/>
          <w:sz w:val="24"/>
          <w:highlight w:val="none"/>
        </w:rPr>
      </w:pPr>
      <w:r>
        <w:rPr>
          <w:rFonts w:ascii="宋体" w:hAnsi="宋体" w:eastAsia="宋体" w:cs="宋体"/>
          <w:color w:val="auto"/>
          <w:spacing w:val="7"/>
          <w:sz w:val="24"/>
          <w:highlight w:val="none"/>
        </w:rPr>
        <w:t>附件 9：主要人员简历表</w:t>
      </w:r>
    </w:p>
    <w:p w14:paraId="5FAE00E8">
      <w:pPr>
        <w:spacing w:line="440" w:lineRule="exact"/>
        <w:ind w:firstLine="510"/>
        <w:outlineLvl w:val="9"/>
        <w:rPr>
          <w:rFonts w:hint="eastAsia" w:ascii="宋体" w:hAnsi="宋体" w:eastAsia="宋体" w:cs="宋体"/>
          <w:b/>
          <w:bCs/>
          <w:color w:val="auto"/>
          <w:spacing w:val="7"/>
          <w:sz w:val="24"/>
          <w:highlight w:val="none"/>
        </w:rPr>
      </w:pPr>
      <w:r>
        <w:rPr>
          <w:rFonts w:hint="eastAsia" w:ascii="宋体" w:hAnsi="宋体" w:eastAsia="宋体" w:cs="宋体"/>
          <w:b/>
          <w:bCs/>
          <w:color w:val="auto"/>
          <w:spacing w:val="7"/>
          <w:sz w:val="24"/>
          <w:highlight w:val="none"/>
        </w:rPr>
        <w:t>七</w:t>
      </w:r>
      <w:r>
        <w:rPr>
          <w:rFonts w:ascii="宋体" w:hAnsi="宋体" w:eastAsia="宋体" w:cs="宋体"/>
          <w:b/>
          <w:bCs/>
          <w:color w:val="auto"/>
          <w:spacing w:val="7"/>
          <w:sz w:val="24"/>
          <w:highlight w:val="none"/>
        </w:rPr>
        <w:t>、技术/商务响应与偏离表</w:t>
      </w:r>
    </w:p>
    <w:p w14:paraId="3165B952">
      <w:pPr>
        <w:spacing w:line="440" w:lineRule="exact"/>
        <w:ind w:firstLine="510"/>
        <w:outlineLvl w:val="9"/>
        <w:rPr>
          <w:rFonts w:hint="eastAsia" w:ascii="宋体" w:hAnsi="宋体" w:eastAsia="宋体" w:cs="宋体"/>
          <w:b/>
          <w:bCs/>
          <w:color w:val="auto"/>
          <w:spacing w:val="7"/>
          <w:sz w:val="24"/>
          <w:highlight w:val="none"/>
        </w:rPr>
      </w:pPr>
      <w:r>
        <w:rPr>
          <w:rFonts w:hint="eastAsia" w:ascii="宋体" w:hAnsi="宋体" w:eastAsia="宋体" w:cs="宋体"/>
          <w:b/>
          <w:bCs/>
          <w:color w:val="auto"/>
          <w:spacing w:val="7"/>
          <w:sz w:val="24"/>
          <w:highlight w:val="none"/>
        </w:rPr>
        <w:t>八</w:t>
      </w:r>
      <w:r>
        <w:rPr>
          <w:rFonts w:ascii="宋体" w:hAnsi="宋体" w:eastAsia="宋体" w:cs="宋体"/>
          <w:b/>
          <w:bCs/>
          <w:color w:val="auto"/>
          <w:spacing w:val="7"/>
          <w:sz w:val="24"/>
          <w:highlight w:val="none"/>
        </w:rPr>
        <w:t>、提供享受政府采购政策的证明资料和清单表</w:t>
      </w:r>
    </w:p>
    <w:p w14:paraId="26834DFD">
      <w:pPr>
        <w:spacing w:line="440" w:lineRule="exact"/>
        <w:ind w:firstLine="508" w:firstLineChars="200"/>
        <w:outlineLvl w:val="9"/>
        <w:rPr>
          <w:rFonts w:hint="eastAsia" w:ascii="宋体" w:hAnsi="宋体" w:eastAsia="宋体" w:cs="宋体"/>
          <w:color w:val="auto"/>
          <w:spacing w:val="7"/>
          <w:sz w:val="24"/>
          <w:highlight w:val="none"/>
        </w:rPr>
      </w:pPr>
      <w:r>
        <w:rPr>
          <w:rFonts w:ascii="宋体" w:hAnsi="宋体" w:eastAsia="宋体" w:cs="宋体"/>
          <w:color w:val="auto"/>
          <w:spacing w:val="7"/>
          <w:sz w:val="24"/>
          <w:highlight w:val="none"/>
        </w:rPr>
        <w:t>附件 10-1：中小企业声明函</w:t>
      </w:r>
    </w:p>
    <w:p w14:paraId="1653BC87">
      <w:pPr>
        <w:spacing w:line="440" w:lineRule="exact"/>
        <w:ind w:firstLine="508" w:firstLineChars="200"/>
        <w:outlineLvl w:val="9"/>
        <w:rPr>
          <w:rFonts w:hint="eastAsia" w:ascii="宋体" w:hAnsi="宋体" w:eastAsia="宋体" w:cs="宋体"/>
          <w:color w:val="auto"/>
          <w:spacing w:val="7"/>
          <w:sz w:val="24"/>
          <w:highlight w:val="none"/>
        </w:rPr>
      </w:pPr>
      <w:r>
        <w:rPr>
          <w:rFonts w:ascii="宋体" w:hAnsi="宋体" w:eastAsia="宋体" w:cs="宋体"/>
          <w:color w:val="auto"/>
          <w:spacing w:val="7"/>
          <w:sz w:val="24"/>
          <w:highlight w:val="none"/>
        </w:rPr>
        <w:t>附件 10-2：节能产品、环境标志产品、两型产品等证明资料</w:t>
      </w:r>
    </w:p>
    <w:p w14:paraId="257443D0">
      <w:pPr>
        <w:spacing w:line="440" w:lineRule="exact"/>
        <w:ind w:firstLine="508" w:firstLineChars="200"/>
        <w:outlineLvl w:val="9"/>
        <w:rPr>
          <w:rFonts w:hint="eastAsia" w:ascii="宋体" w:hAnsi="宋体" w:eastAsia="宋体" w:cs="宋体"/>
          <w:color w:val="auto"/>
          <w:spacing w:val="7"/>
          <w:sz w:val="24"/>
          <w:highlight w:val="none"/>
        </w:rPr>
      </w:pPr>
      <w:r>
        <w:rPr>
          <w:rFonts w:ascii="宋体" w:hAnsi="宋体" w:eastAsia="宋体" w:cs="宋体"/>
          <w:color w:val="auto"/>
          <w:spacing w:val="7"/>
          <w:sz w:val="24"/>
          <w:highlight w:val="none"/>
        </w:rPr>
        <w:t>附件 10-3：节能产品、环境标志产品、两型产品清单表</w:t>
      </w:r>
    </w:p>
    <w:p w14:paraId="785A41F3">
      <w:pPr>
        <w:spacing w:line="440" w:lineRule="exact"/>
        <w:ind w:firstLine="510"/>
        <w:outlineLvl w:val="9"/>
        <w:rPr>
          <w:rFonts w:hint="eastAsia" w:ascii="宋体" w:hAnsi="宋体" w:eastAsia="宋体" w:cs="宋体"/>
          <w:b/>
          <w:bCs/>
          <w:color w:val="auto"/>
          <w:spacing w:val="7"/>
          <w:sz w:val="24"/>
          <w:highlight w:val="none"/>
        </w:rPr>
      </w:pPr>
      <w:r>
        <w:rPr>
          <w:rFonts w:hint="eastAsia" w:ascii="宋体" w:hAnsi="宋体" w:eastAsia="宋体" w:cs="宋体"/>
          <w:b/>
          <w:bCs/>
          <w:color w:val="auto"/>
          <w:spacing w:val="7"/>
          <w:sz w:val="24"/>
          <w:highlight w:val="none"/>
        </w:rPr>
        <w:t>九</w:t>
      </w:r>
      <w:r>
        <w:rPr>
          <w:rFonts w:ascii="宋体" w:hAnsi="宋体" w:eastAsia="宋体" w:cs="宋体"/>
          <w:b/>
          <w:bCs/>
          <w:color w:val="auto"/>
          <w:spacing w:val="7"/>
          <w:sz w:val="24"/>
          <w:highlight w:val="none"/>
        </w:rPr>
        <w:t>、报价一览表及分项价格表</w:t>
      </w:r>
    </w:p>
    <w:p w14:paraId="39A0FABE">
      <w:pPr>
        <w:spacing w:line="440" w:lineRule="exact"/>
        <w:ind w:firstLine="508" w:firstLineChars="200"/>
        <w:outlineLvl w:val="9"/>
        <w:rPr>
          <w:rFonts w:hint="eastAsia" w:ascii="宋体" w:hAnsi="宋体" w:eastAsia="宋体" w:cs="宋体"/>
          <w:color w:val="auto"/>
          <w:spacing w:val="7"/>
          <w:sz w:val="24"/>
          <w:highlight w:val="none"/>
        </w:rPr>
      </w:pPr>
      <w:r>
        <w:rPr>
          <w:rFonts w:ascii="宋体" w:hAnsi="宋体" w:eastAsia="宋体" w:cs="宋体"/>
          <w:color w:val="auto"/>
          <w:spacing w:val="7"/>
          <w:sz w:val="24"/>
          <w:highlight w:val="none"/>
        </w:rPr>
        <w:t>附件 11：报价文件</w:t>
      </w:r>
    </w:p>
    <w:p w14:paraId="6FC0216A">
      <w:pPr>
        <w:spacing w:line="440" w:lineRule="exact"/>
        <w:ind w:firstLine="510"/>
        <w:outlineLvl w:val="9"/>
        <w:rPr>
          <w:rFonts w:hint="eastAsia" w:ascii="宋体" w:hAnsi="宋体" w:eastAsia="宋体" w:cs="宋体"/>
          <w:b/>
          <w:bCs/>
          <w:color w:val="auto"/>
          <w:spacing w:val="7"/>
          <w:sz w:val="24"/>
          <w:highlight w:val="none"/>
        </w:rPr>
      </w:pPr>
      <w:r>
        <w:rPr>
          <w:rFonts w:hint="eastAsia" w:ascii="宋体" w:hAnsi="宋体" w:eastAsia="宋体" w:cs="宋体"/>
          <w:b/>
          <w:bCs/>
          <w:color w:val="auto"/>
          <w:spacing w:val="7"/>
          <w:sz w:val="24"/>
          <w:highlight w:val="none"/>
        </w:rPr>
        <w:t>十</w:t>
      </w:r>
      <w:r>
        <w:rPr>
          <w:rFonts w:ascii="宋体" w:hAnsi="宋体" w:eastAsia="宋体" w:cs="宋体"/>
          <w:b/>
          <w:bCs/>
          <w:color w:val="auto"/>
          <w:spacing w:val="7"/>
          <w:sz w:val="24"/>
          <w:highlight w:val="none"/>
        </w:rPr>
        <w:t>、供应商认为需提供的其它资料</w:t>
      </w:r>
    </w:p>
    <w:p w14:paraId="7024A06C">
      <w:pPr>
        <w:spacing w:line="440" w:lineRule="exact"/>
        <w:ind w:firstLine="510"/>
        <w:outlineLvl w:val="9"/>
        <w:rPr>
          <w:rFonts w:hint="eastAsia" w:asciiTheme="minorEastAsia" w:hAnsiTheme="minorEastAsia"/>
          <w:color w:val="auto"/>
          <w:szCs w:val="21"/>
          <w:highlight w:val="none"/>
        </w:rPr>
      </w:pPr>
      <w:r>
        <w:rPr>
          <w:rFonts w:hint="eastAsia" w:ascii="宋体" w:hAnsi="宋体" w:eastAsia="宋体" w:cs="宋体"/>
          <w:b/>
          <w:bCs/>
          <w:color w:val="auto"/>
          <w:spacing w:val="7"/>
          <w:sz w:val="24"/>
          <w:highlight w:val="none"/>
        </w:rPr>
        <w:t>十一</w:t>
      </w:r>
      <w:r>
        <w:rPr>
          <w:rFonts w:ascii="宋体" w:hAnsi="宋体" w:eastAsia="宋体" w:cs="宋体"/>
          <w:b/>
          <w:bCs/>
          <w:color w:val="auto"/>
          <w:spacing w:val="7"/>
          <w:sz w:val="24"/>
          <w:highlight w:val="none"/>
        </w:rPr>
        <w:t>、最后报价</w:t>
      </w:r>
    </w:p>
    <w:p w14:paraId="482B3297">
      <w:pPr>
        <w:adjustRightInd w:val="0"/>
        <w:snapToGrid w:val="0"/>
        <w:spacing w:before="120" w:beforeLines="50" w:line="360" w:lineRule="auto"/>
        <w:ind w:firstLine="422" w:firstLineChars="200"/>
        <w:jc w:val="left"/>
        <w:outlineLvl w:val="9"/>
        <w:rPr>
          <w:rFonts w:hint="eastAsia" w:asciiTheme="minorEastAsia" w:hAnsiTheme="minorEastAsia"/>
          <w:b/>
          <w:bCs/>
          <w:color w:val="auto"/>
          <w:szCs w:val="21"/>
          <w:highlight w:val="none"/>
        </w:rPr>
      </w:pPr>
      <w:r>
        <w:rPr>
          <w:rFonts w:hint="eastAsia" w:asciiTheme="minorEastAsia" w:hAnsiTheme="minorEastAsia"/>
          <w:b/>
          <w:bCs/>
          <w:color w:val="auto"/>
          <w:szCs w:val="21"/>
          <w:highlight w:val="none"/>
        </w:rPr>
        <w:t>注：</w:t>
      </w:r>
    </w:p>
    <w:p w14:paraId="3C409F4D">
      <w:pPr>
        <w:adjustRightInd w:val="0"/>
        <w:snapToGrid w:val="0"/>
        <w:spacing w:before="120" w:beforeLines="50" w:line="360" w:lineRule="auto"/>
        <w:ind w:firstLine="422" w:firstLineChars="200"/>
        <w:jc w:val="left"/>
        <w:outlineLvl w:val="9"/>
        <w:rPr>
          <w:rFonts w:hint="eastAsia" w:asciiTheme="minorEastAsia" w:hAnsiTheme="minorEastAsia"/>
          <w:b/>
          <w:bCs/>
          <w:color w:val="auto"/>
          <w:szCs w:val="21"/>
          <w:highlight w:val="none"/>
        </w:rPr>
      </w:pPr>
      <w:r>
        <w:rPr>
          <w:rFonts w:hint="eastAsia" w:asciiTheme="minorEastAsia" w:hAnsiTheme="minorEastAsia"/>
          <w:b/>
          <w:bCs/>
          <w:color w:val="auto"/>
          <w:szCs w:val="21"/>
          <w:highlight w:val="none"/>
        </w:rPr>
        <w:t>1、供应商可编制对应审查内容的索引表或细化目录，以便磋商小组评审。</w:t>
      </w:r>
    </w:p>
    <w:p w14:paraId="162C1BA6">
      <w:pPr>
        <w:adjustRightInd w:val="0"/>
        <w:snapToGrid w:val="0"/>
        <w:spacing w:before="120" w:beforeLines="50" w:line="360" w:lineRule="auto"/>
        <w:ind w:firstLine="422" w:firstLineChars="200"/>
        <w:jc w:val="left"/>
        <w:outlineLvl w:val="9"/>
        <w:rPr>
          <w:rFonts w:hint="eastAsia" w:asciiTheme="minorEastAsia" w:hAnsiTheme="minorEastAsia"/>
          <w:b/>
          <w:bCs/>
          <w:color w:val="auto"/>
          <w:szCs w:val="21"/>
          <w:highlight w:val="none"/>
        </w:rPr>
      </w:pPr>
      <w:r>
        <w:rPr>
          <w:rFonts w:hint="eastAsia" w:asciiTheme="minorEastAsia" w:hAnsiTheme="minorEastAsia"/>
          <w:b/>
          <w:bCs/>
          <w:color w:val="auto"/>
          <w:szCs w:val="21"/>
          <w:highlight w:val="none"/>
        </w:rPr>
        <w:t>2、供应商应按照磋商文件格式编制响应文件，由于编制失误所产生的后果，由供应商自行承担。</w:t>
      </w:r>
    </w:p>
    <w:p w14:paraId="352D7E81">
      <w:pPr>
        <w:ind w:firstLine="422"/>
        <w:outlineLvl w:val="9"/>
        <w:rPr>
          <w:b/>
          <w:bCs/>
          <w:color w:val="auto"/>
          <w:highlight w:val="none"/>
        </w:rPr>
        <w:sectPr>
          <w:pgSz w:w="11906" w:h="16839"/>
          <w:pgMar w:top="1440" w:right="1800" w:bottom="1440" w:left="1800" w:header="0" w:footer="994" w:gutter="0"/>
          <w:pgNumType w:fmt="decimal"/>
          <w:cols w:space="720" w:num="1"/>
        </w:sectPr>
      </w:pPr>
    </w:p>
    <w:p w14:paraId="2D5AF47B">
      <w:pPr>
        <w:spacing w:before="63" w:line="225" w:lineRule="auto"/>
        <w:ind w:left="2890" w:firstLine="634"/>
        <w:outlineLvl w:val="9"/>
        <w:rPr>
          <w:rFonts w:hint="eastAsia" w:ascii="宋体" w:hAnsi="宋体" w:eastAsia="宋体" w:cs="宋体"/>
          <w:color w:val="auto"/>
          <w:highlight w:val="none"/>
        </w:rPr>
      </w:pPr>
      <w:r>
        <w:rPr>
          <w:rFonts w:hint="eastAsia" w:ascii="宋体" w:hAnsi="宋体" w:eastAsia="宋体" w:cs="宋体"/>
          <w:b/>
          <w:bCs/>
          <w:color w:val="auto"/>
          <w:spacing w:val="8"/>
          <w:sz w:val="30"/>
          <w:szCs w:val="30"/>
          <w:highlight w:val="none"/>
        </w:rPr>
        <w:t>一、磋商响应声明</w:t>
      </w:r>
    </w:p>
    <w:p w14:paraId="1561CF74">
      <w:pPr>
        <w:keepNext w:val="0"/>
        <w:keepLines w:val="0"/>
        <w:pageBreakBefore w:val="0"/>
        <w:widowControl w:val="0"/>
        <w:kinsoku/>
        <w:wordWrap w:val="0"/>
        <w:overflowPunct/>
        <w:topLinePunct w:val="0"/>
        <w:autoSpaceDE w:val="0"/>
        <w:autoSpaceDN w:val="0"/>
        <w:bidi w:val="0"/>
        <w:adjustRightInd w:val="0"/>
        <w:snapToGrid w:val="0"/>
        <w:spacing w:line="340" w:lineRule="exact"/>
        <w:ind w:right="0"/>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致</w:t>
      </w:r>
      <w:r>
        <w:rPr>
          <w:rFonts w:hint="eastAsia" w:ascii="宋体" w:hAnsi="宋体" w:eastAsia="宋体" w:cs="宋体"/>
          <w:snapToGrid w:val="0"/>
          <w:color w:val="auto"/>
          <w:spacing w:val="0"/>
          <w:kern w:val="0"/>
          <w:position w:val="0"/>
          <w:sz w:val="20"/>
          <w:szCs w:val="20"/>
          <w:highlight w:val="none"/>
          <w:u w:val="single"/>
        </w:rPr>
        <w:t xml:space="preserve">            </w:t>
      </w:r>
      <w:r>
        <w:rPr>
          <w:rFonts w:hint="eastAsia" w:ascii="宋体" w:hAnsi="宋体" w:eastAsia="宋体" w:cs="宋体"/>
          <w:snapToGrid w:val="0"/>
          <w:color w:val="auto"/>
          <w:spacing w:val="0"/>
          <w:kern w:val="0"/>
          <w:position w:val="0"/>
          <w:sz w:val="20"/>
          <w:szCs w:val="20"/>
          <w:highlight w:val="none"/>
        </w:rPr>
        <w:t xml:space="preserve"> (采购人或采购代理机构)：</w:t>
      </w:r>
    </w:p>
    <w:p w14:paraId="64605487">
      <w:pPr>
        <w:keepNext w:val="0"/>
        <w:keepLines w:val="0"/>
        <w:pageBreakBefore w:val="0"/>
        <w:widowControl w:val="0"/>
        <w:kinsoku/>
        <w:wordWrap w:val="0"/>
        <w:overflowPunct/>
        <w:topLinePunct w:val="0"/>
        <w:autoSpaceDE w:val="0"/>
        <w:autoSpaceDN w:val="0"/>
        <w:bidi w:val="0"/>
        <w:adjustRightInd w:val="0"/>
        <w:snapToGrid w:val="0"/>
        <w:spacing w:line="340" w:lineRule="exact"/>
        <w:ind w:left="0" w:right="0" w:firstLine="492"/>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 xml:space="preserve">我方已仔细研究了 </w:t>
      </w:r>
      <w:r>
        <w:rPr>
          <w:rFonts w:hint="eastAsia" w:ascii="宋体" w:hAnsi="宋体" w:eastAsia="宋体" w:cs="宋体"/>
          <w:snapToGrid w:val="0"/>
          <w:color w:val="auto"/>
          <w:spacing w:val="0"/>
          <w:kern w:val="0"/>
          <w:position w:val="0"/>
          <w:sz w:val="20"/>
          <w:szCs w:val="20"/>
          <w:highlight w:val="none"/>
          <w:u w:val="single"/>
        </w:rPr>
        <w:t xml:space="preserve">                   ( </w:t>
      </w:r>
      <w:r>
        <w:rPr>
          <w:rFonts w:hint="eastAsia" w:ascii="宋体" w:hAnsi="宋体" w:eastAsia="宋体" w:cs="宋体"/>
          <w:snapToGrid w:val="0"/>
          <w:color w:val="auto"/>
          <w:spacing w:val="0"/>
          <w:kern w:val="0"/>
          <w:position w:val="0"/>
          <w:sz w:val="20"/>
          <w:szCs w:val="20"/>
          <w:highlight w:val="none"/>
        </w:rPr>
        <w:t xml:space="preserve"> 项目名称)的竞争性磋商文件（政府采购编 号：</w:t>
      </w:r>
      <w:r>
        <w:rPr>
          <w:rFonts w:hint="eastAsia" w:ascii="宋体" w:hAnsi="宋体" w:eastAsia="宋体" w:cs="宋体"/>
          <w:snapToGrid w:val="0"/>
          <w:color w:val="auto"/>
          <w:spacing w:val="0"/>
          <w:kern w:val="0"/>
          <w:position w:val="0"/>
          <w:sz w:val="20"/>
          <w:szCs w:val="20"/>
          <w:highlight w:val="none"/>
          <w:u w:val="single"/>
        </w:rPr>
        <w:t xml:space="preserve">            </w:t>
      </w:r>
      <w:r>
        <w:rPr>
          <w:rFonts w:hint="eastAsia" w:ascii="宋体" w:hAnsi="宋体" w:eastAsia="宋体" w:cs="宋体"/>
          <w:snapToGrid w:val="0"/>
          <w:color w:val="auto"/>
          <w:spacing w:val="0"/>
          <w:kern w:val="0"/>
          <w:position w:val="0"/>
          <w:sz w:val="20"/>
          <w:szCs w:val="20"/>
          <w:highlight w:val="none"/>
        </w:rPr>
        <w:t xml:space="preserve"> ；采购代理编号：</w:t>
      </w:r>
      <w:r>
        <w:rPr>
          <w:rFonts w:hint="eastAsia" w:ascii="宋体" w:hAnsi="宋体" w:eastAsia="宋体" w:cs="宋体"/>
          <w:snapToGrid w:val="0"/>
          <w:color w:val="auto"/>
          <w:spacing w:val="0"/>
          <w:kern w:val="0"/>
          <w:position w:val="0"/>
          <w:sz w:val="20"/>
          <w:szCs w:val="20"/>
          <w:highlight w:val="none"/>
          <w:u w:val="single"/>
        </w:rPr>
        <w:t xml:space="preserve">           </w:t>
      </w:r>
      <w:r>
        <w:rPr>
          <w:rFonts w:hint="eastAsia" w:ascii="宋体" w:hAnsi="宋体" w:eastAsia="宋体" w:cs="宋体"/>
          <w:snapToGrid w:val="0"/>
          <w:color w:val="auto"/>
          <w:spacing w:val="0"/>
          <w:kern w:val="0"/>
          <w:position w:val="0"/>
          <w:sz w:val="20"/>
          <w:szCs w:val="20"/>
          <w:highlight w:val="none"/>
        </w:rPr>
        <w:t xml:space="preserve"> ）的全部内容，知悉参加竞争性磋商的风险，</w:t>
      </w:r>
    </w:p>
    <w:p w14:paraId="5E97B282">
      <w:pPr>
        <w:keepNext w:val="0"/>
        <w:keepLines w:val="0"/>
        <w:pageBreakBefore w:val="0"/>
        <w:widowControl w:val="0"/>
        <w:kinsoku/>
        <w:wordWrap w:val="0"/>
        <w:overflowPunct/>
        <w:topLinePunct w:val="0"/>
        <w:autoSpaceDE w:val="0"/>
        <w:autoSpaceDN w:val="0"/>
        <w:bidi w:val="0"/>
        <w:adjustRightInd w:val="0"/>
        <w:snapToGrid w:val="0"/>
        <w:spacing w:line="340" w:lineRule="exact"/>
        <w:ind w:left="0" w:right="0" w:firstLine="436"/>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我方承诺接受磋商文件的全部条款且无任何异议。</w:t>
      </w:r>
    </w:p>
    <w:p w14:paraId="5369E6ED">
      <w:pPr>
        <w:keepNext w:val="0"/>
        <w:keepLines w:val="0"/>
        <w:pageBreakBefore w:val="0"/>
        <w:widowControl w:val="0"/>
        <w:kinsoku/>
        <w:wordWrap w:val="0"/>
        <w:overflowPunct/>
        <w:topLinePunct w:val="0"/>
        <w:autoSpaceDE w:val="0"/>
        <w:autoSpaceDN w:val="0"/>
        <w:bidi w:val="0"/>
        <w:adjustRightInd w:val="0"/>
        <w:snapToGrid w:val="0"/>
        <w:spacing w:line="340" w:lineRule="exact"/>
        <w:ind w:left="0" w:right="0" w:firstLine="436"/>
        <w:jc w:val="both"/>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一、我方同意在磋商文件中规定的提交首次响应文件截止时间起</w:t>
      </w:r>
      <w:r>
        <w:rPr>
          <w:rFonts w:hint="eastAsia" w:ascii="宋体" w:hAnsi="宋体" w:eastAsia="宋体" w:cs="宋体"/>
          <w:snapToGrid w:val="0"/>
          <w:color w:val="auto"/>
          <w:spacing w:val="0"/>
          <w:kern w:val="0"/>
          <w:position w:val="0"/>
          <w:sz w:val="20"/>
          <w:szCs w:val="20"/>
          <w:highlight w:val="none"/>
          <w:u w:val="single"/>
        </w:rPr>
        <w:t xml:space="preserve">    </w:t>
      </w:r>
      <w:r>
        <w:rPr>
          <w:rFonts w:hint="eastAsia" w:ascii="宋体" w:hAnsi="宋体" w:eastAsia="宋体" w:cs="宋体"/>
          <w:snapToGrid w:val="0"/>
          <w:color w:val="auto"/>
          <w:spacing w:val="0"/>
          <w:kern w:val="0"/>
          <w:position w:val="0"/>
          <w:sz w:val="20"/>
          <w:szCs w:val="20"/>
          <w:highlight w:val="none"/>
        </w:rPr>
        <w:t xml:space="preserve"> 日内(响应文件有效期)遵守本响应文件中的承诺且在此期限期满之前均具有法律约束力。</w:t>
      </w:r>
    </w:p>
    <w:p w14:paraId="70BDA545">
      <w:pPr>
        <w:keepNext w:val="0"/>
        <w:keepLines w:val="0"/>
        <w:pageBreakBefore w:val="0"/>
        <w:widowControl w:val="0"/>
        <w:kinsoku/>
        <w:wordWrap w:val="0"/>
        <w:overflowPunct/>
        <w:topLinePunct w:val="0"/>
        <w:autoSpaceDE w:val="0"/>
        <w:autoSpaceDN w:val="0"/>
        <w:bidi w:val="0"/>
        <w:adjustRightInd w:val="0"/>
        <w:snapToGrid w:val="0"/>
        <w:spacing w:line="340" w:lineRule="exact"/>
        <w:ind w:left="0" w:right="0" w:firstLine="428"/>
        <w:jc w:val="both"/>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二、我方提交响应文件正本一份和副本一式</w:t>
      </w:r>
      <w:r>
        <w:rPr>
          <w:rFonts w:hint="eastAsia" w:ascii="宋体" w:hAnsi="宋体" w:eastAsia="宋体" w:cs="宋体"/>
          <w:snapToGrid w:val="0"/>
          <w:color w:val="auto"/>
          <w:spacing w:val="0"/>
          <w:kern w:val="0"/>
          <w:position w:val="0"/>
          <w:sz w:val="20"/>
          <w:szCs w:val="20"/>
          <w:highlight w:val="none"/>
          <w:u w:val="single"/>
        </w:rPr>
        <w:t xml:space="preserve">     </w:t>
      </w:r>
      <w:r>
        <w:rPr>
          <w:rFonts w:hint="eastAsia" w:ascii="宋体" w:hAnsi="宋体" w:eastAsia="宋体" w:cs="宋体"/>
          <w:snapToGrid w:val="0"/>
          <w:color w:val="auto"/>
          <w:spacing w:val="0"/>
          <w:kern w:val="0"/>
          <w:position w:val="0"/>
          <w:sz w:val="20"/>
          <w:szCs w:val="20"/>
          <w:highlight w:val="none"/>
        </w:rPr>
        <w:t xml:space="preserve"> 份，并保证响应文件提供的数据和资料全部内容真实、合法、准确和完整，我们对此负责，并愿承担由此引起的法律责任。</w:t>
      </w:r>
    </w:p>
    <w:p w14:paraId="367A4220">
      <w:pPr>
        <w:keepNext w:val="0"/>
        <w:keepLines w:val="0"/>
        <w:pageBreakBefore w:val="0"/>
        <w:widowControl w:val="0"/>
        <w:kinsoku/>
        <w:wordWrap w:val="0"/>
        <w:overflowPunct/>
        <w:topLinePunct w:val="0"/>
        <w:autoSpaceDE w:val="0"/>
        <w:autoSpaceDN w:val="0"/>
        <w:bidi w:val="0"/>
        <w:adjustRightInd w:val="0"/>
        <w:snapToGrid w:val="0"/>
        <w:spacing w:line="340" w:lineRule="exact"/>
        <w:ind w:right="0" w:firstLine="400" w:firstLineChars="200"/>
        <w:jc w:val="both"/>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三、我方愿意向贵方提供任何与本项采购有关的数据、情况和技术资料。若贵方需要，我方</w:t>
      </w:r>
    </w:p>
    <w:p w14:paraId="0B479B6C">
      <w:pPr>
        <w:keepNext w:val="0"/>
        <w:keepLines w:val="0"/>
        <w:pageBreakBefore w:val="0"/>
        <w:widowControl w:val="0"/>
        <w:kinsoku/>
        <w:wordWrap w:val="0"/>
        <w:overflowPunct/>
        <w:topLinePunct w:val="0"/>
        <w:autoSpaceDE w:val="0"/>
        <w:autoSpaceDN w:val="0"/>
        <w:bidi w:val="0"/>
        <w:adjustRightInd w:val="0"/>
        <w:snapToGrid w:val="0"/>
        <w:spacing w:line="340" w:lineRule="exact"/>
        <w:ind w:right="0"/>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愿意提供我方作出的一切承诺的证明资料。</w:t>
      </w:r>
    </w:p>
    <w:p w14:paraId="552230E3">
      <w:pPr>
        <w:keepNext w:val="0"/>
        <w:keepLines w:val="0"/>
        <w:pageBreakBefore w:val="0"/>
        <w:widowControl w:val="0"/>
        <w:kinsoku/>
        <w:wordWrap w:val="0"/>
        <w:overflowPunct/>
        <w:topLinePunct w:val="0"/>
        <w:autoSpaceDE w:val="0"/>
        <w:autoSpaceDN w:val="0"/>
        <w:bidi w:val="0"/>
        <w:adjustRightInd w:val="0"/>
        <w:snapToGrid w:val="0"/>
        <w:spacing w:line="340" w:lineRule="exact"/>
        <w:ind w:right="0" w:firstLine="400" w:firstLineChars="200"/>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四、我方愿意按磋商文件规定和磋商小组要求重新提交响应文件和最后报价。</w:t>
      </w:r>
    </w:p>
    <w:p w14:paraId="1BBA4637">
      <w:pPr>
        <w:keepNext w:val="0"/>
        <w:keepLines w:val="0"/>
        <w:pageBreakBefore w:val="0"/>
        <w:widowControl w:val="0"/>
        <w:kinsoku/>
        <w:wordWrap w:val="0"/>
        <w:overflowPunct/>
        <w:topLinePunct w:val="0"/>
        <w:autoSpaceDE w:val="0"/>
        <w:autoSpaceDN w:val="0"/>
        <w:bidi w:val="0"/>
        <w:adjustRightInd w:val="0"/>
        <w:snapToGrid w:val="0"/>
        <w:spacing w:line="340" w:lineRule="exact"/>
        <w:ind w:right="0" w:firstLine="400" w:firstLineChars="200"/>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五、我方承诺遵守《中华人民共和国政府采购法》的有关规定，保证在获得成交资格后，按 照磋商文件确定的事项签订政府采购合同，履行双方所签订的合同，并承担合同规定的责任和义务。</w:t>
      </w:r>
    </w:p>
    <w:p w14:paraId="542465F9">
      <w:pPr>
        <w:keepNext w:val="0"/>
        <w:keepLines w:val="0"/>
        <w:pageBreakBefore w:val="0"/>
        <w:widowControl w:val="0"/>
        <w:kinsoku/>
        <w:wordWrap w:val="0"/>
        <w:overflowPunct/>
        <w:topLinePunct w:val="0"/>
        <w:autoSpaceDE w:val="0"/>
        <w:autoSpaceDN w:val="0"/>
        <w:bidi w:val="0"/>
        <w:adjustRightInd w:val="0"/>
        <w:snapToGrid w:val="0"/>
        <w:spacing w:line="340" w:lineRule="exact"/>
        <w:ind w:right="0" w:firstLine="400" w:firstLineChars="200"/>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六、我方在此声明：</w:t>
      </w:r>
    </w:p>
    <w:p w14:paraId="1368F1ED">
      <w:pPr>
        <w:keepNext w:val="0"/>
        <w:keepLines w:val="0"/>
        <w:pageBreakBefore w:val="0"/>
        <w:widowControl w:val="0"/>
        <w:kinsoku/>
        <w:wordWrap w:val="0"/>
        <w:overflowPunct/>
        <w:topLinePunct w:val="0"/>
        <w:autoSpaceDE w:val="0"/>
        <w:autoSpaceDN w:val="0"/>
        <w:bidi w:val="0"/>
        <w:adjustRightInd w:val="0"/>
        <w:snapToGrid w:val="0"/>
        <w:spacing w:line="340" w:lineRule="exact"/>
        <w:ind w:right="0" w:firstLine="400" w:firstLineChars="200"/>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（一）我方与采购人或采购代理机构不存在隶属关系或者其他利害关系。</w:t>
      </w:r>
    </w:p>
    <w:p w14:paraId="27CF7F85">
      <w:pPr>
        <w:keepNext w:val="0"/>
        <w:keepLines w:val="0"/>
        <w:pageBreakBefore w:val="0"/>
        <w:widowControl w:val="0"/>
        <w:kinsoku/>
        <w:wordWrap w:val="0"/>
        <w:overflowPunct/>
        <w:topLinePunct w:val="0"/>
        <w:autoSpaceDE w:val="0"/>
        <w:autoSpaceDN w:val="0"/>
        <w:bidi w:val="0"/>
        <w:adjustRightInd w:val="0"/>
        <w:snapToGrid w:val="0"/>
        <w:spacing w:line="340" w:lineRule="exact"/>
        <w:ind w:left="0" w:right="0" w:firstLine="440"/>
        <w:jc w:val="both"/>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（二）我方与参加本项目的其他供应商不存在控股、关联关系，或者与其他供应商法定代表人（或者负责人）为同一人。</w:t>
      </w:r>
    </w:p>
    <w:p w14:paraId="217BD674">
      <w:pPr>
        <w:keepNext w:val="0"/>
        <w:keepLines w:val="0"/>
        <w:pageBreakBefore w:val="0"/>
        <w:widowControl w:val="0"/>
        <w:kinsoku/>
        <w:wordWrap w:val="0"/>
        <w:overflowPunct/>
        <w:topLinePunct w:val="0"/>
        <w:autoSpaceDE w:val="0"/>
        <w:autoSpaceDN w:val="0"/>
        <w:bidi w:val="0"/>
        <w:adjustRightInd w:val="0"/>
        <w:snapToGrid w:val="0"/>
        <w:spacing w:line="340" w:lineRule="exact"/>
        <w:ind w:left="0" w:right="0" w:firstLine="440"/>
        <w:jc w:val="both"/>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（三）我方未为本项目前期准备提供设计或咨询服务。</w:t>
      </w:r>
    </w:p>
    <w:p w14:paraId="18C5B81D">
      <w:pPr>
        <w:keepNext w:val="0"/>
        <w:keepLines w:val="0"/>
        <w:pageBreakBefore w:val="0"/>
        <w:widowControl w:val="0"/>
        <w:kinsoku/>
        <w:wordWrap w:val="0"/>
        <w:overflowPunct/>
        <w:topLinePunct w:val="0"/>
        <w:autoSpaceDE w:val="0"/>
        <w:autoSpaceDN w:val="0"/>
        <w:bidi w:val="0"/>
        <w:adjustRightInd w:val="0"/>
        <w:snapToGrid w:val="0"/>
        <w:spacing w:line="340" w:lineRule="exact"/>
        <w:ind w:left="0" w:right="0" w:firstLine="440"/>
        <w:jc w:val="both"/>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（四）我方承诺（承诺期：成立三年以上的，为提交首次响应文件截止时间前三年内；成立不足三年的，为实际时间）：</w:t>
      </w:r>
    </w:p>
    <w:p w14:paraId="7434E150">
      <w:pPr>
        <w:keepNext w:val="0"/>
        <w:keepLines w:val="0"/>
        <w:pageBreakBefore w:val="0"/>
        <w:widowControl w:val="0"/>
        <w:kinsoku/>
        <w:wordWrap w:val="0"/>
        <w:overflowPunct/>
        <w:topLinePunct w:val="0"/>
        <w:autoSpaceDE w:val="0"/>
        <w:autoSpaceDN w:val="0"/>
        <w:bidi w:val="0"/>
        <w:adjustRightInd w:val="0"/>
        <w:snapToGrid w:val="0"/>
        <w:spacing w:line="340" w:lineRule="exact"/>
        <w:ind w:left="0" w:right="0" w:firstLine="436"/>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1、我方依法缴纳了各项税费及各项社会保障资金，没有偷税、漏税及欠缴行为。</w:t>
      </w:r>
    </w:p>
    <w:p w14:paraId="2BB49D6B">
      <w:pPr>
        <w:keepNext w:val="0"/>
        <w:keepLines w:val="0"/>
        <w:pageBreakBefore w:val="0"/>
        <w:widowControl w:val="0"/>
        <w:kinsoku/>
        <w:wordWrap w:val="0"/>
        <w:overflowPunct/>
        <w:topLinePunct w:val="0"/>
        <w:autoSpaceDE w:val="0"/>
        <w:autoSpaceDN w:val="0"/>
        <w:bidi w:val="0"/>
        <w:adjustRightInd w:val="0"/>
        <w:snapToGrid w:val="0"/>
        <w:spacing w:line="340" w:lineRule="exact"/>
        <w:ind w:left="0" w:right="0" w:firstLine="432"/>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2、我方在经营活动中没有存在下列重大违法记录：</w:t>
      </w:r>
    </w:p>
    <w:p w14:paraId="0275A0CE">
      <w:pPr>
        <w:keepNext w:val="0"/>
        <w:keepLines w:val="0"/>
        <w:pageBreakBefore w:val="0"/>
        <w:widowControl w:val="0"/>
        <w:kinsoku/>
        <w:wordWrap w:val="0"/>
        <w:overflowPunct/>
        <w:topLinePunct w:val="0"/>
        <w:autoSpaceDE w:val="0"/>
        <w:autoSpaceDN w:val="0"/>
        <w:bidi w:val="0"/>
        <w:adjustRightInd w:val="0"/>
        <w:snapToGrid w:val="0"/>
        <w:spacing w:line="340" w:lineRule="exact"/>
        <w:ind w:right="0" w:firstLine="400" w:firstLineChars="200"/>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(1)受到刑事处罚；</w:t>
      </w:r>
    </w:p>
    <w:p w14:paraId="7F0E34A4">
      <w:pPr>
        <w:keepNext w:val="0"/>
        <w:keepLines w:val="0"/>
        <w:pageBreakBefore w:val="0"/>
        <w:widowControl w:val="0"/>
        <w:kinsoku/>
        <w:wordWrap w:val="0"/>
        <w:overflowPunct/>
        <w:topLinePunct w:val="0"/>
        <w:autoSpaceDE w:val="0"/>
        <w:autoSpaceDN w:val="0"/>
        <w:bidi w:val="0"/>
        <w:adjustRightInd w:val="0"/>
        <w:snapToGrid w:val="0"/>
        <w:spacing w:line="340" w:lineRule="exact"/>
        <w:ind w:right="0" w:firstLine="400" w:firstLineChars="200"/>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(2)受到三万元以上的罚款、责令停产停业、在一至三年内禁止参加政府采购活动、暂扣或者吊销许可证、暂扣或者吊销执照的行政处罚。</w:t>
      </w:r>
    </w:p>
    <w:p w14:paraId="10F5B78B">
      <w:pPr>
        <w:adjustRightInd w:val="0"/>
        <w:snapToGrid w:val="0"/>
        <w:spacing w:line="400" w:lineRule="exact"/>
        <w:ind w:right="24"/>
        <w:outlineLvl w:val="9"/>
        <w:rPr>
          <w:rFonts w:ascii="宋体" w:hAnsi="宋体" w:eastAsia="宋体" w:cs="宋体"/>
          <w:b/>
          <w:szCs w:val="21"/>
        </w:rPr>
      </w:pPr>
      <w:r>
        <w:rPr>
          <w:rFonts w:hint="eastAsia" w:ascii="宋体" w:hAnsi="宋体" w:eastAsia="宋体" w:cs="宋体"/>
          <w:b/>
          <w:szCs w:val="21"/>
        </w:rPr>
        <w:t>附件1：法定代表人身份证明</w:t>
      </w:r>
    </w:p>
    <w:p w14:paraId="781A2981">
      <w:pPr>
        <w:adjustRightInd w:val="0"/>
        <w:snapToGrid w:val="0"/>
        <w:spacing w:line="400" w:lineRule="exact"/>
        <w:ind w:right="24"/>
        <w:outlineLvl w:val="9"/>
        <w:rPr>
          <w:rFonts w:hint="eastAsia" w:ascii="宋体" w:hAnsi="宋体" w:eastAsia="宋体" w:cs="宋体"/>
          <w:b/>
          <w:szCs w:val="21"/>
        </w:rPr>
      </w:pPr>
      <w:r>
        <w:rPr>
          <w:rFonts w:hint="eastAsia" w:ascii="宋体" w:hAnsi="宋体" w:eastAsia="宋体" w:cs="宋体"/>
          <w:b/>
          <w:szCs w:val="21"/>
        </w:rPr>
        <w:t>附件2：法定代表人授权书</w:t>
      </w:r>
    </w:p>
    <w:p w14:paraId="7B8B9322">
      <w:pPr>
        <w:adjustRightInd w:val="0"/>
        <w:snapToGrid w:val="0"/>
        <w:spacing w:line="400" w:lineRule="exact"/>
        <w:ind w:right="24"/>
        <w:outlineLvl w:val="9"/>
        <w:rPr>
          <w:rFonts w:hint="eastAsia" w:ascii="宋体" w:hAnsi="宋体" w:eastAsia="宋体" w:cs="宋体"/>
          <w:b/>
          <w:szCs w:val="21"/>
        </w:rPr>
      </w:pPr>
      <w:r>
        <w:rPr>
          <w:rFonts w:hint="eastAsia" w:ascii="宋体" w:hAnsi="宋体" w:eastAsia="宋体" w:cs="宋体"/>
          <w:b/>
          <w:szCs w:val="21"/>
        </w:rPr>
        <w:t>附件</w:t>
      </w:r>
      <w:r>
        <w:rPr>
          <w:rFonts w:hint="eastAsia" w:ascii="宋体" w:hAnsi="宋体" w:eastAsia="宋体" w:cs="宋体"/>
          <w:b/>
          <w:szCs w:val="21"/>
          <w:lang w:val="en-US" w:eastAsia="zh-CN"/>
        </w:rPr>
        <w:t>3</w:t>
      </w:r>
      <w:r>
        <w:rPr>
          <w:rFonts w:hint="eastAsia" w:ascii="宋体" w:hAnsi="宋体" w:eastAsia="宋体" w:cs="宋体"/>
          <w:b/>
          <w:szCs w:val="21"/>
        </w:rPr>
        <w:t>：不拖欠民工工资承诺书</w:t>
      </w:r>
    </w:p>
    <w:p w14:paraId="4F998D1A">
      <w:pPr>
        <w:pStyle w:val="12"/>
        <w:keepNext w:val="0"/>
        <w:keepLines w:val="0"/>
        <w:pageBreakBefore w:val="0"/>
        <w:widowControl w:val="0"/>
        <w:kinsoku/>
        <w:wordWrap w:val="0"/>
        <w:overflowPunct/>
        <w:topLinePunct w:val="0"/>
        <w:autoSpaceDE w:val="0"/>
        <w:autoSpaceDN w:val="0"/>
        <w:bidi w:val="0"/>
        <w:adjustRightInd w:val="0"/>
        <w:snapToGrid w:val="0"/>
        <w:spacing w:after="0" w:line="340" w:lineRule="exact"/>
        <w:ind w:left="0" w:right="0"/>
        <w:jc w:val="right"/>
        <w:textAlignment w:val="auto"/>
        <w:outlineLvl w:val="9"/>
        <w:rPr>
          <w:rFonts w:hint="eastAsia" w:ascii="宋体" w:hAnsi="宋体" w:eastAsia="宋体" w:cs="宋体"/>
          <w:snapToGrid w:val="0"/>
          <w:color w:val="auto"/>
          <w:spacing w:val="0"/>
          <w:kern w:val="0"/>
          <w:position w:val="0"/>
          <w:highlight w:val="none"/>
        </w:rPr>
      </w:pPr>
    </w:p>
    <w:p w14:paraId="4ED4E1E6">
      <w:pPr>
        <w:keepNext w:val="0"/>
        <w:keepLines w:val="0"/>
        <w:pageBreakBefore w:val="0"/>
        <w:widowControl w:val="0"/>
        <w:kinsoku/>
        <w:wordWrap w:val="0"/>
        <w:overflowPunct/>
        <w:topLinePunct w:val="0"/>
        <w:autoSpaceDE w:val="0"/>
        <w:autoSpaceDN w:val="0"/>
        <w:bidi w:val="0"/>
        <w:adjustRightInd w:val="0"/>
        <w:snapToGrid w:val="0"/>
        <w:spacing w:line="340" w:lineRule="exact"/>
        <w:ind w:left="0" w:right="0" w:firstLine="428"/>
        <w:jc w:val="center"/>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 xml:space="preserve">                       供应商名称(盖单位章)：</w:t>
      </w:r>
    </w:p>
    <w:p w14:paraId="57EB0ADF">
      <w:pPr>
        <w:keepNext w:val="0"/>
        <w:keepLines w:val="0"/>
        <w:pageBreakBefore w:val="0"/>
        <w:widowControl w:val="0"/>
        <w:kinsoku/>
        <w:wordWrap w:val="0"/>
        <w:overflowPunct/>
        <w:topLinePunct w:val="0"/>
        <w:autoSpaceDE w:val="0"/>
        <w:autoSpaceDN w:val="0"/>
        <w:bidi w:val="0"/>
        <w:adjustRightInd w:val="0"/>
        <w:snapToGrid w:val="0"/>
        <w:spacing w:line="340" w:lineRule="exact"/>
        <w:ind w:left="0" w:right="0" w:firstLine="420"/>
        <w:jc w:val="center"/>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 xml:space="preserve">                                 法定代表人或其委托代理人 (签字)：</w:t>
      </w:r>
    </w:p>
    <w:p w14:paraId="6F0CF070">
      <w:pPr>
        <w:keepNext w:val="0"/>
        <w:keepLines w:val="0"/>
        <w:pageBreakBefore w:val="0"/>
        <w:widowControl w:val="0"/>
        <w:kinsoku/>
        <w:wordWrap w:val="0"/>
        <w:overflowPunct/>
        <w:topLinePunct w:val="0"/>
        <w:autoSpaceDE w:val="0"/>
        <w:autoSpaceDN w:val="0"/>
        <w:bidi w:val="0"/>
        <w:adjustRightInd w:val="0"/>
        <w:snapToGrid w:val="0"/>
        <w:spacing w:line="340" w:lineRule="exact"/>
        <w:ind w:left="0" w:right="0" w:firstLine="376"/>
        <w:jc w:val="center"/>
        <w:textAlignment w:val="auto"/>
        <w:outlineLvl w:val="9"/>
        <w:rPr>
          <w:rFonts w:hint="eastAsia" w:ascii="宋体" w:hAnsi="宋体" w:eastAsia="宋体" w:cs="宋体"/>
          <w:snapToGrid w:val="0"/>
          <w:color w:val="auto"/>
          <w:spacing w:val="0"/>
          <w:kern w:val="0"/>
          <w:position w:val="0"/>
          <w:sz w:val="20"/>
          <w:szCs w:val="20"/>
          <w:highlight w:val="none"/>
        </w:rPr>
      </w:pPr>
      <w:r>
        <w:rPr>
          <w:rFonts w:hint="eastAsia" w:ascii="宋体" w:hAnsi="宋体" w:eastAsia="宋体" w:cs="宋体"/>
          <w:snapToGrid w:val="0"/>
          <w:color w:val="auto"/>
          <w:spacing w:val="0"/>
          <w:kern w:val="0"/>
          <w:position w:val="0"/>
          <w:sz w:val="20"/>
          <w:szCs w:val="20"/>
          <w:highlight w:val="none"/>
        </w:rPr>
        <w:t xml:space="preserve">                                    日     期：</w:t>
      </w:r>
      <w:r>
        <w:rPr>
          <w:rFonts w:hint="eastAsia" w:ascii="宋体" w:hAnsi="宋体" w:eastAsia="宋体" w:cs="宋体"/>
          <w:snapToGrid w:val="0"/>
          <w:color w:val="auto"/>
          <w:spacing w:val="0"/>
          <w:kern w:val="0"/>
          <w:position w:val="0"/>
          <w:sz w:val="20"/>
          <w:szCs w:val="20"/>
          <w:highlight w:val="none"/>
          <w:u w:val="single"/>
        </w:rPr>
        <w:t xml:space="preserve">           </w:t>
      </w:r>
      <w:r>
        <w:rPr>
          <w:rFonts w:hint="eastAsia" w:ascii="宋体" w:hAnsi="宋体" w:eastAsia="宋体" w:cs="宋体"/>
          <w:snapToGrid w:val="0"/>
          <w:color w:val="auto"/>
          <w:spacing w:val="0"/>
          <w:kern w:val="0"/>
          <w:position w:val="0"/>
          <w:sz w:val="20"/>
          <w:szCs w:val="20"/>
          <w:highlight w:val="none"/>
        </w:rPr>
        <w:t xml:space="preserve"> 年 </w:t>
      </w:r>
      <w:r>
        <w:rPr>
          <w:rFonts w:hint="eastAsia" w:ascii="宋体" w:hAnsi="宋体" w:eastAsia="宋体" w:cs="宋体"/>
          <w:snapToGrid w:val="0"/>
          <w:color w:val="auto"/>
          <w:spacing w:val="0"/>
          <w:kern w:val="0"/>
          <w:position w:val="0"/>
          <w:sz w:val="20"/>
          <w:szCs w:val="20"/>
          <w:highlight w:val="none"/>
          <w:u w:val="single"/>
        </w:rPr>
        <w:t xml:space="preserve">     </w:t>
      </w:r>
      <w:r>
        <w:rPr>
          <w:rFonts w:hint="eastAsia" w:ascii="宋体" w:hAnsi="宋体" w:eastAsia="宋体" w:cs="宋体"/>
          <w:snapToGrid w:val="0"/>
          <w:color w:val="auto"/>
          <w:spacing w:val="0"/>
          <w:kern w:val="0"/>
          <w:position w:val="0"/>
          <w:sz w:val="20"/>
          <w:szCs w:val="20"/>
          <w:highlight w:val="none"/>
        </w:rPr>
        <w:t xml:space="preserve"> 月</w:t>
      </w:r>
      <w:r>
        <w:rPr>
          <w:rFonts w:hint="eastAsia" w:ascii="宋体" w:hAnsi="宋体" w:eastAsia="宋体" w:cs="宋体"/>
          <w:snapToGrid w:val="0"/>
          <w:color w:val="auto"/>
          <w:spacing w:val="0"/>
          <w:kern w:val="0"/>
          <w:position w:val="0"/>
          <w:sz w:val="20"/>
          <w:szCs w:val="20"/>
          <w:highlight w:val="none"/>
          <w:u w:val="single"/>
        </w:rPr>
        <w:t xml:space="preserve">    </w:t>
      </w:r>
      <w:r>
        <w:rPr>
          <w:rFonts w:hint="eastAsia" w:ascii="宋体" w:hAnsi="宋体" w:eastAsia="宋体" w:cs="宋体"/>
          <w:snapToGrid w:val="0"/>
          <w:color w:val="auto"/>
          <w:spacing w:val="0"/>
          <w:kern w:val="0"/>
          <w:position w:val="0"/>
          <w:sz w:val="20"/>
          <w:szCs w:val="20"/>
          <w:highlight w:val="none"/>
        </w:rPr>
        <w:t xml:space="preserve"> 日</w:t>
      </w:r>
    </w:p>
    <w:p w14:paraId="5E70FA50">
      <w:pPr>
        <w:spacing w:line="228" w:lineRule="auto"/>
        <w:ind w:firstLine="400"/>
        <w:outlineLvl w:val="9"/>
        <w:rPr>
          <w:rFonts w:hint="eastAsia" w:ascii="宋体" w:hAnsi="宋体" w:eastAsia="宋体" w:cs="宋体"/>
          <w:color w:val="auto"/>
          <w:sz w:val="20"/>
          <w:szCs w:val="20"/>
          <w:highlight w:val="none"/>
        </w:rPr>
      </w:pPr>
    </w:p>
    <w:p w14:paraId="2F3FB232">
      <w:pPr>
        <w:outlineLvl w:val="9"/>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353BD5F">
      <w:pPr>
        <w:spacing w:before="59" w:line="219" w:lineRule="auto"/>
        <w:ind w:left="26" w:firstLine="552"/>
        <w:outlineLvl w:val="9"/>
        <w:rPr>
          <w:rFonts w:hint="eastAsia" w:ascii="宋体" w:hAnsi="宋体" w:eastAsia="宋体" w:cs="宋体"/>
          <w:color w:val="auto"/>
          <w:sz w:val="30"/>
          <w:szCs w:val="30"/>
          <w:highlight w:val="none"/>
        </w:rPr>
      </w:pPr>
      <w:r>
        <w:rPr>
          <w:rFonts w:hint="eastAsia" w:ascii="宋体" w:hAnsi="宋体" w:eastAsia="宋体" w:cs="宋体"/>
          <w:color w:val="auto"/>
          <w:spacing w:val="-12"/>
          <w:sz w:val="30"/>
          <w:szCs w:val="30"/>
          <w:highlight w:val="none"/>
        </w:rPr>
        <w:t>附件</w:t>
      </w:r>
      <w:r>
        <w:rPr>
          <w:rFonts w:hint="eastAsia" w:ascii="宋体" w:hAnsi="宋体" w:eastAsia="宋体" w:cs="宋体"/>
          <w:color w:val="auto"/>
          <w:spacing w:val="-42"/>
          <w:sz w:val="30"/>
          <w:szCs w:val="30"/>
          <w:highlight w:val="none"/>
        </w:rPr>
        <w:t xml:space="preserve"> </w:t>
      </w:r>
      <w:r>
        <w:rPr>
          <w:rFonts w:hint="eastAsia" w:ascii="宋体" w:hAnsi="宋体" w:eastAsia="宋体" w:cs="宋体"/>
          <w:color w:val="auto"/>
          <w:spacing w:val="-12"/>
          <w:sz w:val="30"/>
          <w:szCs w:val="30"/>
          <w:highlight w:val="none"/>
        </w:rPr>
        <w:t>1</w:t>
      </w:r>
    </w:p>
    <w:p w14:paraId="0E94ACC6">
      <w:pPr>
        <w:pStyle w:val="12"/>
        <w:spacing w:line="244" w:lineRule="auto"/>
        <w:outlineLvl w:val="9"/>
        <w:rPr>
          <w:rFonts w:hint="eastAsia" w:ascii="宋体" w:hAnsi="宋体" w:eastAsia="宋体" w:cs="宋体"/>
          <w:color w:val="auto"/>
          <w:highlight w:val="none"/>
        </w:rPr>
      </w:pPr>
    </w:p>
    <w:p w14:paraId="78B4D170">
      <w:pPr>
        <w:spacing w:before="98" w:line="219" w:lineRule="auto"/>
        <w:ind w:left="3076" w:firstLine="592"/>
        <w:outlineLvl w:val="9"/>
        <w:rPr>
          <w:rFonts w:hint="eastAsia" w:ascii="宋体" w:hAnsi="宋体" w:eastAsia="宋体" w:cs="宋体"/>
          <w:color w:val="auto"/>
          <w:sz w:val="30"/>
          <w:szCs w:val="30"/>
          <w:highlight w:val="none"/>
        </w:rPr>
      </w:pPr>
      <w:r>
        <w:rPr>
          <w:rFonts w:hint="eastAsia" w:ascii="宋体" w:hAnsi="宋体" w:eastAsia="宋体" w:cs="宋体"/>
          <w:color w:val="auto"/>
          <w:spacing w:val="-2"/>
          <w:sz w:val="30"/>
          <w:szCs w:val="30"/>
          <w:highlight w:val="none"/>
        </w:rPr>
        <w:t>法定代表人身份证明</w:t>
      </w:r>
    </w:p>
    <w:p w14:paraId="4BD3A7A7">
      <w:pPr>
        <w:pStyle w:val="12"/>
        <w:spacing w:line="306" w:lineRule="auto"/>
        <w:outlineLvl w:val="9"/>
        <w:rPr>
          <w:rFonts w:hint="eastAsia" w:ascii="宋体" w:hAnsi="宋体" w:eastAsia="宋体" w:cs="宋体"/>
          <w:color w:val="auto"/>
          <w:highlight w:val="none"/>
        </w:rPr>
      </w:pPr>
    </w:p>
    <w:p w14:paraId="11D39626">
      <w:pPr>
        <w:pStyle w:val="12"/>
        <w:spacing w:line="306" w:lineRule="auto"/>
        <w:outlineLvl w:val="9"/>
        <w:rPr>
          <w:rFonts w:hint="eastAsia" w:ascii="宋体" w:hAnsi="宋体" w:eastAsia="宋体" w:cs="宋体"/>
          <w:color w:val="auto"/>
          <w:highlight w:val="none"/>
        </w:rPr>
      </w:pPr>
    </w:p>
    <w:p w14:paraId="7D33F988">
      <w:pPr>
        <w:tabs>
          <w:tab w:val="left" w:pos="3880"/>
        </w:tabs>
        <w:autoSpaceDE w:val="0"/>
        <w:autoSpaceDN w:val="0"/>
        <w:adjustRightInd w:val="0"/>
        <w:snapToGrid w:val="0"/>
        <w:spacing w:line="360" w:lineRule="auto"/>
        <w:ind w:left="100" w:right="-2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position w:val="-4"/>
          <w:szCs w:val="21"/>
          <w:highlight w:val="none"/>
        </w:rPr>
        <w:t>供应商名</w:t>
      </w:r>
      <w:r>
        <w:rPr>
          <w:rFonts w:hint="eastAsia" w:ascii="宋体" w:hAnsi="宋体" w:eastAsia="宋体" w:cs="宋体"/>
          <w:color w:val="auto"/>
          <w:spacing w:val="-2"/>
          <w:kern w:val="0"/>
          <w:position w:val="-4"/>
          <w:szCs w:val="21"/>
          <w:highlight w:val="none"/>
        </w:rPr>
        <w:t>称</w:t>
      </w:r>
      <w:r>
        <w:rPr>
          <w:rFonts w:hint="eastAsia" w:ascii="宋体" w:hAnsi="宋体" w:eastAsia="宋体" w:cs="宋体"/>
          <w:color w:val="auto"/>
          <w:kern w:val="0"/>
          <w:position w:val="-4"/>
          <w:szCs w:val="21"/>
          <w:highlight w:val="none"/>
        </w:rPr>
        <w:t>：</w:t>
      </w:r>
    </w:p>
    <w:p w14:paraId="4DF8CC6B">
      <w:pPr>
        <w:tabs>
          <w:tab w:val="left" w:pos="2400"/>
          <w:tab w:val="left" w:pos="3880"/>
          <w:tab w:val="left" w:pos="5340"/>
          <w:tab w:val="left" w:pos="6820"/>
        </w:tabs>
        <w:autoSpaceDE w:val="0"/>
        <w:autoSpaceDN w:val="0"/>
        <w:adjustRightInd w:val="0"/>
        <w:snapToGrid w:val="0"/>
        <w:spacing w:line="360" w:lineRule="auto"/>
        <w:ind w:left="100" w:right="-20"/>
        <w:jc w:val="left"/>
        <w:outlineLvl w:val="9"/>
        <w:rPr>
          <w:rFonts w:hint="eastAsia" w:ascii="宋体" w:hAnsi="宋体" w:eastAsia="宋体" w:cs="宋体"/>
          <w:color w:val="auto"/>
          <w:kern w:val="0"/>
          <w:position w:val="-2"/>
          <w:szCs w:val="21"/>
          <w:highlight w:val="none"/>
        </w:rPr>
      </w:pPr>
      <w:r>
        <w:rPr>
          <w:rFonts w:hint="eastAsia" w:ascii="宋体" w:hAnsi="宋体" w:eastAsia="宋体" w:cs="宋体"/>
          <w:color w:val="auto"/>
          <w:kern w:val="0"/>
          <w:position w:val="-2"/>
          <w:szCs w:val="21"/>
          <w:highlight w:val="none"/>
        </w:rPr>
        <w:t>统一社会信用代码：</w:t>
      </w:r>
    </w:p>
    <w:p w14:paraId="5CC70201">
      <w:pPr>
        <w:tabs>
          <w:tab w:val="left" w:pos="2400"/>
          <w:tab w:val="left" w:pos="3880"/>
          <w:tab w:val="left" w:pos="5340"/>
          <w:tab w:val="left" w:pos="6820"/>
        </w:tabs>
        <w:autoSpaceDE w:val="0"/>
        <w:autoSpaceDN w:val="0"/>
        <w:adjustRightInd w:val="0"/>
        <w:snapToGrid w:val="0"/>
        <w:spacing w:line="360" w:lineRule="auto"/>
        <w:ind w:left="100" w:right="-20"/>
        <w:jc w:val="left"/>
        <w:outlineLvl w:val="9"/>
        <w:rPr>
          <w:rFonts w:hint="eastAsia" w:ascii="宋体" w:hAnsi="宋体" w:eastAsia="宋体" w:cs="宋体"/>
          <w:color w:val="auto"/>
          <w:kern w:val="0"/>
          <w:position w:val="-2"/>
          <w:szCs w:val="21"/>
          <w:highlight w:val="none"/>
        </w:rPr>
      </w:pPr>
      <w:r>
        <w:rPr>
          <w:rFonts w:hint="eastAsia" w:ascii="宋体" w:hAnsi="宋体" w:eastAsia="宋体" w:cs="宋体"/>
          <w:color w:val="auto"/>
          <w:kern w:val="0"/>
          <w:position w:val="-2"/>
          <w:szCs w:val="21"/>
          <w:highlight w:val="none"/>
        </w:rPr>
        <w:t>注册地址：</w:t>
      </w:r>
    </w:p>
    <w:p w14:paraId="59A4D819">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position w:val="-2"/>
          <w:szCs w:val="21"/>
          <w:highlight w:val="none"/>
        </w:rPr>
        <w:t>姓名</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r>
        <w:rPr>
          <w:rFonts w:hint="eastAsia" w:ascii="宋体" w:hAnsi="宋体" w:eastAsia="宋体" w:cs="宋体"/>
          <w:color w:val="auto"/>
          <w:kern w:val="0"/>
          <w:position w:val="-2"/>
          <w:szCs w:val="21"/>
          <w:highlight w:val="none"/>
        </w:rPr>
        <w:t>性别</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r>
        <w:rPr>
          <w:rFonts w:hint="eastAsia" w:ascii="宋体" w:hAnsi="宋体" w:eastAsia="宋体" w:cs="宋体"/>
          <w:color w:val="auto"/>
          <w:kern w:val="0"/>
          <w:position w:val="-2"/>
          <w:szCs w:val="21"/>
          <w:highlight w:val="none"/>
        </w:rPr>
        <w:t>年</w:t>
      </w:r>
      <w:r>
        <w:rPr>
          <w:rFonts w:hint="eastAsia" w:ascii="宋体" w:hAnsi="宋体" w:eastAsia="宋体" w:cs="宋体"/>
          <w:color w:val="auto"/>
          <w:spacing w:val="-2"/>
          <w:kern w:val="0"/>
          <w:position w:val="-2"/>
          <w:szCs w:val="21"/>
          <w:highlight w:val="none"/>
        </w:rPr>
        <w:t>龄</w:t>
      </w:r>
      <w:r>
        <w:rPr>
          <w:rFonts w:hint="eastAsia" w:ascii="宋体" w:hAnsi="宋体" w:eastAsia="宋体" w:cs="宋体"/>
          <w:color w:val="auto"/>
          <w:kern w:val="0"/>
          <w:position w:val="-2"/>
          <w:szCs w:val="21"/>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r>
        <w:rPr>
          <w:rFonts w:hint="eastAsia" w:ascii="宋体" w:hAnsi="宋体" w:eastAsia="宋体" w:cs="宋体"/>
          <w:color w:val="auto"/>
          <w:kern w:val="0"/>
          <w:position w:val="-2"/>
          <w:szCs w:val="21"/>
          <w:highlight w:val="none"/>
        </w:rPr>
        <w:t>职</w:t>
      </w:r>
      <w:r>
        <w:rPr>
          <w:rFonts w:hint="eastAsia" w:ascii="宋体" w:hAnsi="宋体" w:eastAsia="宋体" w:cs="宋体"/>
          <w:color w:val="auto"/>
          <w:spacing w:val="-2"/>
          <w:kern w:val="0"/>
          <w:position w:val="-2"/>
          <w:szCs w:val="21"/>
          <w:highlight w:val="none"/>
        </w:rPr>
        <w:t>务</w:t>
      </w:r>
      <w:r>
        <w:rPr>
          <w:rFonts w:hint="eastAsia" w:ascii="宋体" w:hAnsi="宋体" w:eastAsia="宋体" w:cs="宋体"/>
          <w:color w:val="auto"/>
          <w:kern w:val="0"/>
          <w:position w:val="-2"/>
          <w:szCs w:val="21"/>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r>
        <w:rPr>
          <w:rFonts w:hint="eastAsia" w:ascii="宋体" w:hAnsi="宋体" w:eastAsia="宋体" w:cs="宋体"/>
          <w:color w:val="auto"/>
          <w:kern w:val="0"/>
          <w:position w:val="-2"/>
          <w:szCs w:val="21"/>
          <w:highlight w:val="none"/>
        </w:rPr>
        <w:t>系</w:t>
      </w:r>
      <w:r>
        <w:rPr>
          <w:rFonts w:hint="eastAsia" w:ascii="宋体" w:hAnsi="宋体" w:eastAsia="宋体" w:cs="宋体"/>
          <w:color w:val="auto"/>
          <w:kern w:val="0"/>
          <w:position w:val="-2"/>
          <w:szCs w:val="21"/>
          <w:highlight w:val="none"/>
          <w:u w:val="single"/>
        </w:rPr>
        <w:t xml:space="preserve">      </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kern w:val="0"/>
          <w:position w:val="-2"/>
          <w:szCs w:val="21"/>
          <w:highlight w:val="none"/>
        </w:rPr>
        <w:t>供应商</w:t>
      </w:r>
      <w:r>
        <w:rPr>
          <w:rFonts w:hint="eastAsia" w:ascii="宋体" w:hAnsi="宋体" w:eastAsia="宋体" w:cs="宋体"/>
          <w:color w:val="auto"/>
          <w:spacing w:val="-2"/>
          <w:kern w:val="0"/>
          <w:position w:val="-2"/>
          <w:szCs w:val="21"/>
          <w:highlight w:val="none"/>
        </w:rPr>
        <w:t>名</w:t>
      </w:r>
      <w:r>
        <w:rPr>
          <w:rFonts w:hint="eastAsia" w:ascii="宋体" w:hAnsi="宋体" w:eastAsia="宋体" w:cs="宋体"/>
          <w:color w:val="auto"/>
          <w:kern w:val="0"/>
          <w:position w:val="-2"/>
          <w:szCs w:val="21"/>
          <w:highlight w:val="none"/>
        </w:rPr>
        <w:t>称</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kern w:val="0"/>
          <w:position w:val="-2"/>
          <w:szCs w:val="21"/>
          <w:highlight w:val="none"/>
        </w:rPr>
        <w:t>的</w:t>
      </w:r>
      <w:r>
        <w:rPr>
          <w:rFonts w:hint="eastAsia" w:ascii="宋体" w:hAnsi="宋体" w:eastAsia="宋体" w:cs="宋体"/>
          <w:color w:val="auto"/>
          <w:spacing w:val="-2"/>
          <w:kern w:val="0"/>
          <w:position w:val="-2"/>
          <w:szCs w:val="21"/>
          <w:highlight w:val="none"/>
        </w:rPr>
        <w:t>法定</w:t>
      </w:r>
      <w:r>
        <w:rPr>
          <w:rFonts w:hint="eastAsia" w:ascii="宋体" w:hAnsi="宋体" w:eastAsia="宋体" w:cs="宋体"/>
          <w:color w:val="auto"/>
          <w:kern w:val="0"/>
          <w:position w:val="-2"/>
          <w:szCs w:val="21"/>
          <w:highlight w:val="none"/>
        </w:rPr>
        <w:t>代表</w:t>
      </w:r>
      <w:r>
        <w:rPr>
          <w:rFonts w:hint="eastAsia" w:ascii="宋体" w:hAnsi="宋体" w:eastAsia="宋体" w:cs="宋体"/>
          <w:color w:val="auto"/>
          <w:spacing w:val="-2"/>
          <w:kern w:val="0"/>
          <w:position w:val="-2"/>
          <w:szCs w:val="21"/>
          <w:highlight w:val="none"/>
        </w:rPr>
        <w:t>人</w:t>
      </w:r>
      <w:r>
        <w:rPr>
          <w:rFonts w:hint="eastAsia" w:ascii="宋体" w:hAnsi="宋体" w:eastAsia="宋体" w:cs="宋体"/>
          <w:color w:val="auto"/>
          <w:kern w:val="0"/>
          <w:position w:val="-2"/>
          <w:szCs w:val="21"/>
          <w:highlight w:val="none"/>
        </w:rPr>
        <w:t>（</w:t>
      </w:r>
      <w:r>
        <w:rPr>
          <w:rFonts w:hint="eastAsia" w:ascii="宋体" w:hAnsi="宋体" w:eastAsia="宋体" w:cs="宋体"/>
          <w:color w:val="auto"/>
          <w:spacing w:val="-2"/>
          <w:kern w:val="0"/>
          <w:position w:val="-2"/>
          <w:szCs w:val="21"/>
          <w:highlight w:val="none"/>
        </w:rPr>
        <w:t>单</w:t>
      </w:r>
      <w:r>
        <w:rPr>
          <w:rFonts w:hint="eastAsia" w:ascii="宋体" w:hAnsi="宋体" w:eastAsia="宋体" w:cs="宋体"/>
          <w:color w:val="auto"/>
          <w:kern w:val="0"/>
          <w:position w:val="-2"/>
          <w:szCs w:val="21"/>
          <w:highlight w:val="none"/>
        </w:rPr>
        <w:t>位</w:t>
      </w:r>
      <w:r>
        <w:rPr>
          <w:rFonts w:hint="eastAsia" w:ascii="宋体" w:hAnsi="宋体" w:eastAsia="宋体" w:cs="宋体"/>
          <w:color w:val="auto"/>
          <w:spacing w:val="-2"/>
          <w:kern w:val="0"/>
          <w:position w:val="-2"/>
          <w:szCs w:val="21"/>
          <w:highlight w:val="none"/>
        </w:rPr>
        <w:t>负</w:t>
      </w:r>
      <w:r>
        <w:rPr>
          <w:rFonts w:hint="eastAsia" w:ascii="宋体" w:hAnsi="宋体" w:eastAsia="宋体" w:cs="宋体"/>
          <w:color w:val="auto"/>
          <w:kern w:val="0"/>
          <w:position w:val="-2"/>
          <w:szCs w:val="21"/>
          <w:highlight w:val="none"/>
        </w:rPr>
        <w:t>责</w:t>
      </w:r>
      <w:r>
        <w:rPr>
          <w:rFonts w:hint="eastAsia" w:ascii="宋体" w:hAnsi="宋体" w:eastAsia="宋体" w:cs="宋体"/>
          <w:color w:val="auto"/>
          <w:spacing w:val="-2"/>
          <w:kern w:val="0"/>
          <w:position w:val="-2"/>
          <w:szCs w:val="21"/>
          <w:highlight w:val="none"/>
        </w:rPr>
        <w:t>人</w:t>
      </w:r>
      <w:r>
        <w:rPr>
          <w:rFonts w:hint="eastAsia" w:ascii="宋体" w:hAnsi="宋体" w:eastAsia="宋体" w:cs="宋体"/>
          <w:color w:val="auto"/>
          <w:spacing w:val="-106"/>
          <w:kern w:val="0"/>
          <w:position w:val="-2"/>
          <w:szCs w:val="21"/>
          <w:highlight w:val="none"/>
        </w:rPr>
        <w:t>）</w:t>
      </w:r>
      <w:r>
        <w:rPr>
          <w:rFonts w:hint="eastAsia" w:ascii="宋体" w:hAnsi="宋体" w:eastAsia="宋体" w:cs="宋体"/>
          <w:color w:val="auto"/>
          <w:kern w:val="0"/>
          <w:position w:val="-2"/>
          <w:szCs w:val="21"/>
          <w:highlight w:val="none"/>
        </w:rPr>
        <w:t>。</w:t>
      </w:r>
    </w:p>
    <w:p w14:paraId="24031AF7">
      <w:pPr>
        <w:autoSpaceDE w:val="0"/>
        <w:autoSpaceDN w:val="0"/>
        <w:adjustRightInd w:val="0"/>
        <w:snapToGrid w:val="0"/>
        <w:spacing w:line="360" w:lineRule="auto"/>
        <w:ind w:left="520" w:right="-2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特此</w:t>
      </w:r>
      <w:r>
        <w:rPr>
          <w:rFonts w:hint="eastAsia" w:ascii="宋体" w:hAnsi="宋体" w:eastAsia="宋体" w:cs="宋体"/>
          <w:color w:val="auto"/>
          <w:spacing w:val="-2"/>
          <w:kern w:val="0"/>
          <w:szCs w:val="21"/>
          <w:highlight w:val="none"/>
        </w:rPr>
        <w:t>证</w:t>
      </w:r>
      <w:r>
        <w:rPr>
          <w:rFonts w:hint="eastAsia" w:ascii="宋体" w:hAnsi="宋体" w:eastAsia="宋体" w:cs="宋体"/>
          <w:color w:val="auto"/>
          <w:kern w:val="0"/>
          <w:szCs w:val="21"/>
          <w:highlight w:val="none"/>
        </w:rPr>
        <w:t>明。</w:t>
      </w:r>
    </w:p>
    <w:p w14:paraId="262E2E14">
      <w:pPr>
        <w:autoSpaceDE w:val="0"/>
        <w:autoSpaceDN w:val="0"/>
        <w:adjustRightInd w:val="0"/>
        <w:snapToGrid w:val="0"/>
        <w:spacing w:line="360" w:lineRule="auto"/>
        <w:ind w:left="100" w:right="4231"/>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w:t>
      </w:r>
      <w:r>
        <w:rPr>
          <w:rFonts w:hint="eastAsia" w:ascii="宋体" w:hAnsi="宋体" w:eastAsia="宋体" w:cs="宋体"/>
          <w:color w:val="auto"/>
          <w:spacing w:val="-2"/>
          <w:kern w:val="0"/>
          <w:szCs w:val="21"/>
          <w:highlight w:val="none"/>
        </w:rPr>
        <w:t>法</w:t>
      </w:r>
      <w:r>
        <w:rPr>
          <w:rFonts w:hint="eastAsia" w:ascii="宋体" w:hAnsi="宋体" w:eastAsia="宋体" w:cs="宋体"/>
          <w:color w:val="auto"/>
          <w:kern w:val="0"/>
          <w:szCs w:val="21"/>
          <w:highlight w:val="none"/>
        </w:rPr>
        <w:t>定</w:t>
      </w:r>
      <w:r>
        <w:rPr>
          <w:rFonts w:hint="eastAsia" w:ascii="宋体" w:hAnsi="宋体" w:eastAsia="宋体" w:cs="宋体"/>
          <w:color w:val="auto"/>
          <w:spacing w:val="-2"/>
          <w:kern w:val="0"/>
          <w:szCs w:val="21"/>
          <w:highlight w:val="none"/>
        </w:rPr>
        <w:t>代</w:t>
      </w:r>
      <w:r>
        <w:rPr>
          <w:rFonts w:hint="eastAsia" w:ascii="宋体" w:hAnsi="宋体" w:eastAsia="宋体" w:cs="宋体"/>
          <w:color w:val="auto"/>
          <w:kern w:val="0"/>
          <w:szCs w:val="21"/>
          <w:highlight w:val="none"/>
        </w:rPr>
        <w:t>表</w:t>
      </w:r>
      <w:r>
        <w:rPr>
          <w:rFonts w:hint="eastAsia" w:ascii="宋体" w:hAnsi="宋体" w:eastAsia="宋体" w:cs="宋体"/>
          <w:color w:val="auto"/>
          <w:spacing w:val="-2"/>
          <w:kern w:val="0"/>
          <w:szCs w:val="21"/>
          <w:highlight w:val="none"/>
        </w:rPr>
        <w:t>人</w:t>
      </w:r>
      <w:r>
        <w:rPr>
          <w:rFonts w:hint="eastAsia" w:ascii="宋体" w:hAnsi="宋体" w:eastAsia="宋体" w:cs="宋体"/>
          <w:color w:val="auto"/>
          <w:kern w:val="0"/>
          <w:szCs w:val="21"/>
          <w:highlight w:val="none"/>
        </w:rPr>
        <w:t>（</w:t>
      </w:r>
      <w:r>
        <w:rPr>
          <w:rFonts w:hint="eastAsia" w:ascii="宋体" w:hAnsi="宋体" w:eastAsia="宋体" w:cs="宋体"/>
          <w:color w:val="auto"/>
          <w:spacing w:val="-2"/>
          <w:kern w:val="0"/>
          <w:szCs w:val="21"/>
          <w:highlight w:val="none"/>
        </w:rPr>
        <w:t>单</w:t>
      </w:r>
      <w:r>
        <w:rPr>
          <w:rFonts w:hint="eastAsia" w:ascii="宋体" w:hAnsi="宋体" w:eastAsia="宋体" w:cs="宋体"/>
          <w:color w:val="auto"/>
          <w:kern w:val="0"/>
          <w:szCs w:val="21"/>
          <w:highlight w:val="none"/>
        </w:rPr>
        <w:t>位</w:t>
      </w:r>
      <w:r>
        <w:rPr>
          <w:rFonts w:hint="eastAsia" w:ascii="宋体" w:hAnsi="宋体" w:eastAsia="宋体" w:cs="宋体"/>
          <w:color w:val="auto"/>
          <w:spacing w:val="-2"/>
          <w:kern w:val="0"/>
          <w:szCs w:val="21"/>
          <w:highlight w:val="none"/>
        </w:rPr>
        <w:t>负</w:t>
      </w:r>
      <w:r>
        <w:rPr>
          <w:rFonts w:hint="eastAsia" w:ascii="宋体" w:hAnsi="宋体" w:eastAsia="宋体" w:cs="宋体"/>
          <w:color w:val="auto"/>
          <w:kern w:val="0"/>
          <w:szCs w:val="21"/>
          <w:highlight w:val="none"/>
        </w:rPr>
        <w:t>责人</w:t>
      </w:r>
      <w:r>
        <w:rPr>
          <w:rFonts w:hint="eastAsia" w:ascii="宋体" w:hAnsi="宋体" w:eastAsia="宋体" w:cs="宋体"/>
          <w:color w:val="auto"/>
          <w:spacing w:val="-2"/>
          <w:kern w:val="0"/>
          <w:szCs w:val="21"/>
          <w:highlight w:val="none"/>
        </w:rPr>
        <w:t>）</w:t>
      </w:r>
      <w:r>
        <w:rPr>
          <w:rFonts w:hint="eastAsia" w:ascii="宋体" w:hAnsi="宋体" w:eastAsia="宋体" w:cs="宋体"/>
          <w:color w:val="auto"/>
          <w:kern w:val="0"/>
          <w:szCs w:val="21"/>
          <w:highlight w:val="none"/>
        </w:rPr>
        <w:t>身</w:t>
      </w:r>
      <w:r>
        <w:rPr>
          <w:rFonts w:hint="eastAsia" w:ascii="宋体" w:hAnsi="宋体" w:eastAsia="宋体" w:cs="宋体"/>
          <w:color w:val="auto"/>
          <w:spacing w:val="-2"/>
          <w:kern w:val="0"/>
          <w:szCs w:val="21"/>
          <w:highlight w:val="none"/>
        </w:rPr>
        <w:t>份</w:t>
      </w:r>
      <w:r>
        <w:rPr>
          <w:rFonts w:hint="eastAsia" w:ascii="宋体" w:hAnsi="宋体" w:eastAsia="宋体" w:cs="宋体"/>
          <w:color w:val="auto"/>
          <w:kern w:val="0"/>
          <w:szCs w:val="21"/>
          <w:highlight w:val="none"/>
        </w:rPr>
        <w:t>证</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r>
        <w:rPr>
          <w:rFonts w:hint="eastAsia" w:ascii="宋体" w:hAnsi="宋体" w:eastAsia="宋体" w:cs="宋体"/>
          <w:color w:val="auto"/>
          <w:kern w:val="0"/>
          <w:szCs w:val="21"/>
          <w:highlight w:val="none"/>
        </w:rPr>
        <w:t>。</w:t>
      </w:r>
    </w:p>
    <w:tbl>
      <w:tblPr>
        <w:tblStyle w:val="31"/>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E54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54AA7F85">
            <w:pPr>
              <w:adjustRightInd w:val="0"/>
              <w:snapToGrid w:val="0"/>
              <w:spacing w:line="360" w:lineRule="auto"/>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身份证（正面）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c>
          <w:tcPr>
            <w:tcW w:w="3899" w:type="dxa"/>
            <w:vAlign w:val="center"/>
          </w:tcPr>
          <w:p w14:paraId="2BEAEB62">
            <w:pPr>
              <w:adjustRightInd w:val="0"/>
              <w:snapToGrid w:val="0"/>
              <w:spacing w:line="360" w:lineRule="auto"/>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身份证（反面）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r>
    </w:tbl>
    <w:p w14:paraId="468EF4F4">
      <w:pPr>
        <w:adjustRightInd w:val="0"/>
        <w:snapToGrid w:val="0"/>
        <w:spacing w:line="360" w:lineRule="auto"/>
        <w:outlineLvl w:val="9"/>
        <w:rPr>
          <w:rFonts w:hint="eastAsia" w:ascii="宋体" w:hAnsi="宋体" w:eastAsia="宋体" w:cs="宋体"/>
          <w:color w:val="auto"/>
          <w:szCs w:val="21"/>
          <w:highlight w:val="none"/>
        </w:rPr>
      </w:pPr>
    </w:p>
    <w:p w14:paraId="755803FD">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注：供应商代表为法定代表人（单位负责人）的提供。自然人响应的无需提供。</w:t>
      </w:r>
    </w:p>
    <w:p w14:paraId="4C9DE876">
      <w:pPr>
        <w:adjustRightInd w:val="0"/>
        <w:snapToGrid w:val="0"/>
        <w:spacing w:line="360" w:lineRule="auto"/>
        <w:outlineLvl w:val="9"/>
        <w:rPr>
          <w:rFonts w:hint="eastAsia" w:ascii="宋体" w:hAnsi="宋体" w:eastAsia="宋体" w:cs="宋体"/>
          <w:color w:val="auto"/>
          <w:szCs w:val="21"/>
          <w:highlight w:val="none"/>
        </w:rPr>
      </w:pPr>
    </w:p>
    <w:p w14:paraId="60EBD1E7">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供应商名称（盖单位章）：</w:t>
      </w:r>
    </w:p>
    <w:p w14:paraId="51E07F5B">
      <w:pPr>
        <w:adjustRightInd w:val="0"/>
        <w:snapToGrid w:val="0"/>
        <w:spacing w:line="360" w:lineRule="auto"/>
        <w:ind w:right="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2C82AA3D">
      <w:pPr>
        <w:pStyle w:val="12"/>
        <w:spacing w:line="258" w:lineRule="auto"/>
        <w:outlineLvl w:val="9"/>
        <w:rPr>
          <w:rFonts w:hint="eastAsia" w:ascii="宋体" w:hAnsi="宋体" w:eastAsia="宋体" w:cs="宋体"/>
          <w:color w:val="auto"/>
          <w:highlight w:val="none"/>
        </w:rPr>
      </w:pPr>
    </w:p>
    <w:p w14:paraId="2BC9BA62">
      <w:pPr>
        <w:pStyle w:val="12"/>
        <w:spacing w:line="258" w:lineRule="auto"/>
        <w:outlineLvl w:val="9"/>
        <w:rPr>
          <w:rFonts w:hint="eastAsia" w:ascii="宋体" w:hAnsi="宋体" w:eastAsia="宋体" w:cs="宋体"/>
          <w:color w:val="auto"/>
          <w:highlight w:val="none"/>
        </w:rPr>
      </w:pPr>
    </w:p>
    <w:p w14:paraId="74FFFB5E">
      <w:pPr>
        <w:pStyle w:val="12"/>
        <w:spacing w:line="258" w:lineRule="auto"/>
        <w:outlineLvl w:val="9"/>
        <w:rPr>
          <w:rFonts w:hint="eastAsia" w:ascii="宋体" w:hAnsi="宋体" w:eastAsia="宋体" w:cs="宋体"/>
          <w:color w:val="auto"/>
          <w:highlight w:val="none"/>
        </w:rPr>
      </w:pPr>
    </w:p>
    <w:p w14:paraId="1B5B4714">
      <w:pPr>
        <w:pStyle w:val="12"/>
        <w:spacing w:line="258" w:lineRule="auto"/>
        <w:outlineLvl w:val="9"/>
        <w:rPr>
          <w:rFonts w:hint="eastAsia" w:ascii="宋体" w:hAnsi="宋体" w:eastAsia="宋体" w:cs="宋体"/>
          <w:color w:val="auto"/>
          <w:highlight w:val="none"/>
        </w:rPr>
      </w:pPr>
    </w:p>
    <w:p w14:paraId="17C27C8C">
      <w:pPr>
        <w:pStyle w:val="12"/>
        <w:spacing w:line="258" w:lineRule="auto"/>
        <w:outlineLvl w:val="9"/>
        <w:rPr>
          <w:rFonts w:hint="eastAsia" w:ascii="宋体" w:hAnsi="宋体" w:eastAsia="宋体" w:cs="宋体"/>
          <w:color w:val="auto"/>
          <w:highlight w:val="none"/>
        </w:rPr>
      </w:pPr>
    </w:p>
    <w:p w14:paraId="1B30B5C4">
      <w:pPr>
        <w:pStyle w:val="12"/>
        <w:spacing w:line="258" w:lineRule="auto"/>
        <w:outlineLvl w:val="9"/>
        <w:rPr>
          <w:rFonts w:hint="eastAsia" w:ascii="宋体" w:hAnsi="宋体" w:eastAsia="宋体" w:cs="宋体"/>
          <w:color w:val="auto"/>
          <w:szCs w:val="21"/>
          <w:highlight w:val="none"/>
        </w:rPr>
      </w:pPr>
    </w:p>
    <w:p w14:paraId="160B1D12">
      <w:pPr>
        <w:spacing w:before="65" w:line="410" w:lineRule="exact"/>
        <w:ind w:firstLine="420"/>
        <w:outlineLvl w:val="9"/>
        <w:rPr>
          <w:rFonts w:hint="eastAsia" w:ascii="宋体" w:hAnsi="宋体" w:eastAsia="宋体" w:cs="宋体"/>
          <w:color w:val="auto"/>
          <w:szCs w:val="21"/>
          <w:highlight w:val="none"/>
        </w:rPr>
        <w:sectPr>
          <w:footerReference r:id="rId7" w:type="default"/>
          <w:pgSz w:w="11906" w:h="16839"/>
          <w:pgMar w:top="1440" w:right="1800" w:bottom="1440" w:left="1800" w:header="0" w:footer="994" w:gutter="0"/>
          <w:pgNumType w:fmt="decimal"/>
          <w:cols w:space="720" w:num="1"/>
        </w:sectPr>
      </w:pPr>
      <w:r>
        <w:rPr>
          <w:rFonts w:hint="eastAsia" w:ascii="宋体" w:hAnsi="宋体" w:eastAsia="宋体" w:cs="宋体"/>
          <w:color w:val="auto"/>
          <w:szCs w:val="21"/>
          <w:highlight w:val="none"/>
        </w:rPr>
        <w:t>（注：此《法定代表人（单位负责人）身份证明》必须另单独备一份原件与投标文件同时分别递交以供开标时现场监委和业主方审核，未单独递交或不符合要求的视为自动放弃投标。）</w:t>
      </w:r>
    </w:p>
    <w:p w14:paraId="4366F2E9">
      <w:pPr>
        <w:spacing w:before="59" w:line="219" w:lineRule="auto"/>
        <w:ind w:left="27" w:firstLine="552"/>
        <w:outlineLvl w:val="9"/>
        <w:rPr>
          <w:rFonts w:hint="eastAsia" w:ascii="宋体" w:hAnsi="宋体" w:eastAsia="宋体" w:cs="宋体"/>
          <w:color w:val="auto"/>
          <w:sz w:val="30"/>
          <w:szCs w:val="30"/>
          <w:highlight w:val="none"/>
        </w:rPr>
      </w:pPr>
      <w:r>
        <w:rPr>
          <w:rFonts w:hint="eastAsia" w:ascii="宋体" w:hAnsi="宋体" w:eastAsia="宋体" w:cs="宋体"/>
          <w:color w:val="auto"/>
          <w:spacing w:val="-12"/>
          <w:sz w:val="30"/>
          <w:szCs w:val="30"/>
          <w:highlight w:val="none"/>
        </w:rPr>
        <w:t>附件</w:t>
      </w:r>
      <w:r>
        <w:rPr>
          <w:rFonts w:hint="eastAsia" w:ascii="宋体" w:hAnsi="宋体" w:eastAsia="宋体" w:cs="宋体"/>
          <w:color w:val="auto"/>
          <w:spacing w:val="-61"/>
          <w:sz w:val="30"/>
          <w:szCs w:val="30"/>
          <w:highlight w:val="none"/>
        </w:rPr>
        <w:t xml:space="preserve"> </w:t>
      </w:r>
      <w:r>
        <w:rPr>
          <w:rFonts w:hint="eastAsia" w:ascii="宋体" w:hAnsi="宋体" w:eastAsia="宋体" w:cs="宋体"/>
          <w:color w:val="auto"/>
          <w:spacing w:val="-12"/>
          <w:sz w:val="30"/>
          <w:szCs w:val="30"/>
          <w:highlight w:val="none"/>
        </w:rPr>
        <w:t>2</w:t>
      </w:r>
    </w:p>
    <w:p w14:paraId="5F81B766">
      <w:pPr>
        <w:pStyle w:val="12"/>
        <w:spacing w:line="243" w:lineRule="auto"/>
        <w:outlineLvl w:val="9"/>
        <w:rPr>
          <w:rFonts w:hint="eastAsia" w:ascii="宋体" w:hAnsi="宋体" w:eastAsia="宋体" w:cs="宋体"/>
          <w:color w:val="auto"/>
          <w:highlight w:val="none"/>
        </w:rPr>
      </w:pPr>
    </w:p>
    <w:p w14:paraId="0E65AD55">
      <w:pPr>
        <w:spacing w:before="98" w:line="219" w:lineRule="auto"/>
        <w:ind w:left="2926" w:firstLine="592"/>
        <w:outlineLvl w:val="9"/>
        <w:rPr>
          <w:rFonts w:hint="eastAsia" w:ascii="宋体" w:hAnsi="宋体" w:eastAsia="宋体" w:cs="宋体"/>
          <w:color w:val="auto"/>
          <w:sz w:val="30"/>
          <w:szCs w:val="30"/>
          <w:highlight w:val="none"/>
        </w:rPr>
      </w:pPr>
      <w:r>
        <w:rPr>
          <w:rFonts w:hint="eastAsia" w:ascii="宋体" w:hAnsi="宋体" w:eastAsia="宋体" w:cs="宋体"/>
          <w:color w:val="auto"/>
          <w:spacing w:val="-2"/>
          <w:sz w:val="30"/>
          <w:szCs w:val="30"/>
          <w:highlight w:val="none"/>
        </w:rPr>
        <w:t>法定代表人授权委托书</w:t>
      </w:r>
    </w:p>
    <w:p w14:paraId="6DB75138">
      <w:pPr>
        <w:pStyle w:val="12"/>
        <w:spacing w:line="257" w:lineRule="auto"/>
        <w:outlineLvl w:val="9"/>
        <w:rPr>
          <w:rFonts w:hint="eastAsia" w:ascii="宋体" w:hAnsi="宋体" w:eastAsia="宋体" w:cs="宋体"/>
          <w:color w:val="auto"/>
          <w:highlight w:val="none"/>
        </w:rPr>
      </w:pPr>
    </w:p>
    <w:p w14:paraId="2CB3CC27">
      <w:pPr>
        <w:autoSpaceDE w:val="0"/>
        <w:autoSpaceDN w:val="0"/>
        <w:adjustRightInd w:val="0"/>
        <w:snapToGrid w:val="0"/>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本人</w:t>
      </w:r>
      <w:r>
        <w:rPr>
          <w:rFonts w:hint="eastAsia" w:ascii="宋体" w:hAnsi="宋体" w:eastAsia="宋体" w:cs="宋体"/>
          <w:color w:val="auto"/>
          <w:kern w:val="0"/>
          <w:szCs w:val="21"/>
          <w:highlight w:val="none"/>
          <w:u w:val="single"/>
        </w:rPr>
        <w:t>（姓名、职务）</w:t>
      </w:r>
      <w:r>
        <w:rPr>
          <w:rFonts w:hint="eastAsia" w:ascii="宋体" w:hAnsi="宋体" w:eastAsia="宋体" w:cs="宋体"/>
          <w:color w:val="auto"/>
          <w:kern w:val="0"/>
          <w:szCs w:val="21"/>
          <w:highlight w:val="none"/>
        </w:rPr>
        <w:t>系</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zCs w:val="21"/>
          <w:highlight w:val="none"/>
          <w:u w:val="single"/>
        </w:rPr>
        <w:t>供应商</w:t>
      </w:r>
      <w:r>
        <w:rPr>
          <w:rFonts w:hint="eastAsia" w:ascii="宋体" w:hAnsi="宋体" w:eastAsia="宋体" w:cs="宋体"/>
          <w:color w:val="auto"/>
          <w:kern w:val="0"/>
          <w:szCs w:val="21"/>
          <w:highlight w:val="none"/>
          <w:u w:val="single"/>
        </w:rPr>
        <w:t>名称）</w:t>
      </w:r>
      <w:r>
        <w:rPr>
          <w:rFonts w:hint="eastAsia" w:ascii="宋体" w:hAnsi="宋体" w:eastAsia="宋体" w:cs="宋体"/>
          <w:color w:val="auto"/>
          <w:kern w:val="0"/>
          <w:szCs w:val="21"/>
          <w:highlight w:val="none"/>
        </w:rPr>
        <w:t>的法定代表人</w:t>
      </w:r>
      <w:r>
        <w:rPr>
          <w:rFonts w:hint="eastAsia" w:ascii="宋体" w:hAnsi="宋体" w:eastAsia="宋体" w:cs="宋体"/>
          <w:color w:val="auto"/>
          <w:kern w:val="0"/>
          <w:szCs w:val="21"/>
          <w:highlight w:val="none"/>
          <w:u w:val="single"/>
        </w:rPr>
        <w:t>（</w:t>
      </w:r>
      <w:r>
        <w:rPr>
          <w:rFonts w:hint="eastAsia" w:ascii="宋体" w:hAnsi="宋体" w:eastAsia="宋体" w:cs="宋体"/>
          <w:color w:val="auto"/>
          <w:spacing w:val="-2"/>
          <w:kern w:val="0"/>
          <w:szCs w:val="21"/>
          <w:highlight w:val="none"/>
          <w:u w:val="single"/>
        </w:rPr>
        <w:t>单</w:t>
      </w:r>
      <w:r>
        <w:rPr>
          <w:rFonts w:hint="eastAsia" w:ascii="宋体" w:hAnsi="宋体" w:eastAsia="宋体" w:cs="宋体"/>
          <w:color w:val="auto"/>
          <w:kern w:val="0"/>
          <w:szCs w:val="21"/>
          <w:highlight w:val="none"/>
          <w:u w:val="single"/>
        </w:rPr>
        <w:t>位</w:t>
      </w:r>
      <w:r>
        <w:rPr>
          <w:rFonts w:hint="eastAsia" w:ascii="宋体" w:hAnsi="宋体" w:eastAsia="宋体" w:cs="宋体"/>
          <w:color w:val="auto"/>
          <w:spacing w:val="-2"/>
          <w:kern w:val="0"/>
          <w:szCs w:val="21"/>
          <w:highlight w:val="none"/>
          <w:u w:val="single"/>
        </w:rPr>
        <w:t>负</w:t>
      </w:r>
      <w:r>
        <w:rPr>
          <w:rFonts w:hint="eastAsia" w:ascii="宋体" w:hAnsi="宋体" w:eastAsia="宋体" w:cs="宋体"/>
          <w:color w:val="auto"/>
          <w:kern w:val="0"/>
          <w:szCs w:val="21"/>
          <w:highlight w:val="none"/>
          <w:u w:val="single"/>
        </w:rPr>
        <w:t>责人</w:t>
      </w:r>
      <w:r>
        <w:rPr>
          <w:rFonts w:hint="eastAsia" w:ascii="宋体" w:hAnsi="宋体" w:eastAsia="宋体" w:cs="宋体"/>
          <w:color w:val="auto"/>
          <w:spacing w:val="-2"/>
          <w:kern w:val="0"/>
          <w:szCs w:val="21"/>
          <w:highlight w:val="none"/>
          <w:u w:val="single"/>
        </w:rPr>
        <w:t>）</w:t>
      </w:r>
      <w:r>
        <w:rPr>
          <w:rFonts w:hint="eastAsia" w:ascii="宋体" w:hAnsi="宋体" w:eastAsia="宋体" w:cs="宋体"/>
          <w:color w:val="auto"/>
          <w:kern w:val="0"/>
          <w:szCs w:val="21"/>
          <w:highlight w:val="none"/>
        </w:rPr>
        <w:t>，现授权</w:t>
      </w:r>
      <w:r>
        <w:rPr>
          <w:rFonts w:hint="eastAsia" w:ascii="宋体" w:hAnsi="宋体" w:eastAsia="宋体" w:cs="宋体"/>
          <w:color w:val="auto"/>
          <w:kern w:val="0"/>
          <w:szCs w:val="21"/>
          <w:highlight w:val="none"/>
          <w:u w:val="single"/>
        </w:rPr>
        <w:t>（姓名、职务）</w:t>
      </w:r>
      <w:r>
        <w:rPr>
          <w:rFonts w:hint="eastAsia" w:ascii="宋体" w:hAnsi="宋体" w:eastAsia="宋体" w:cs="宋体"/>
          <w:color w:val="auto"/>
          <w:kern w:val="0"/>
          <w:szCs w:val="21"/>
          <w:highlight w:val="none"/>
        </w:rPr>
        <w:t>为我方代理人。代理人根据授权，以我方名义签署、澄清、说明、补正、递交、撤回、修改</w:t>
      </w:r>
      <w:r>
        <w:rPr>
          <w:rFonts w:hint="eastAsia" w:ascii="宋体" w:hAnsi="宋体" w:eastAsia="宋体" w:cs="宋体"/>
          <w:color w:val="auto"/>
          <w:kern w:val="0"/>
          <w:szCs w:val="21"/>
          <w:highlight w:val="none"/>
          <w:u w:val="single"/>
        </w:rPr>
        <w:t>（项目名称）</w:t>
      </w:r>
      <w:r>
        <w:rPr>
          <w:rFonts w:hint="eastAsia" w:ascii="宋体" w:hAnsi="宋体" w:eastAsia="宋体" w:cs="宋体"/>
          <w:color w:val="auto"/>
          <w:kern w:val="0"/>
          <w:szCs w:val="21"/>
          <w:highlight w:val="none"/>
        </w:rPr>
        <w:t>（</w:t>
      </w:r>
      <w:r>
        <w:rPr>
          <w:rFonts w:hint="eastAsia" w:ascii="宋体" w:hAnsi="宋体" w:eastAsia="宋体" w:cs="宋体"/>
          <w:color w:val="auto"/>
          <w:highlight w:val="none"/>
        </w:rPr>
        <w:t>政府</w:t>
      </w:r>
      <w:r>
        <w:rPr>
          <w:rFonts w:hint="eastAsia" w:ascii="宋体" w:hAnsi="宋体" w:eastAsia="宋体" w:cs="宋体"/>
          <w:iCs/>
          <w:color w:val="auto"/>
          <w:highlight w:val="none"/>
        </w:rPr>
        <w:t>采购编号：</w:t>
      </w:r>
      <w:r>
        <w:rPr>
          <w:rFonts w:hint="eastAsia" w:ascii="宋体" w:hAnsi="宋体" w:eastAsia="宋体" w:cs="宋体"/>
          <w:iCs/>
          <w:color w:val="auto"/>
          <w:highlight w:val="none"/>
          <w:u w:val="single"/>
        </w:rPr>
        <w:t xml:space="preserve">    </w:t>
      </w:r>
      <w:r>
        <w:rPr>
          <w:rFonts w:hint="eastAsia" w:ascii="宋体" w:hAnsi="宋体" w:eastAsia="宋体" w:cs="宋体"/>
          <w:iCs/>
          <w:color w:val="auto"/>
          <w:highlight w:val="none"/>
        </w:rPr>
        <w:t>，</w:t>
      </w:r>
      <w:r>
        <w:rPr>
          <w:rFonts w:hint="eastAsia" w:ascii="宋体" w:hAnsi="宋体" w:eastAsia="宋体" w:cs="宋体"/>
          <w:color w:val="auto"/>
          <w:kern w:val="0"/>
          <w:szCs w:val="21"/>
          <w:highlight w:val="none"/>
        </w:rPr>
        <w:t>采购代理编号：</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）投标文件、签订合同和处理有关事宜，其法律后果由我方承担。</w:t>
      </w:r>
    </w:p>
    <w:p w14:paraId="08ABC2EC">
      <w:pPr>
        <w:autoSpaceDE w:val="0"/>
        <w:autoSpaceDN w:val="0"/>
        <w:adjustRightInd w:val="0"/>
        <w:snapToGrid w:val="0"/>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委托期限：</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p>
    <w:p w14:paraId="4061878A">
      <w:pPr>
        <w:adjustRightInd w:val="0"/>
        <w:snapToGrid w:val="0"/>
        <w:spacing w:line="360" w:lineRule="auto"/>
        <w:ind w:firstLine="42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代理人无转委托权。</w:t>
      </w:r>
    </w:p>
    <w:p w14:paraId="78998E9F">
      <w:pPr>
        <w:adjustRightInd w:val="0"/>
        <w:snapToGrid w:val="0"/>
        <w:spacing w:line="360" w:lineRule="auto"/>
        <w:ind w:firstLine="420"/>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本授权书于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日签字生效，特此声明。</w:t>
      </w:r>
    </w:p>
    <w:tbl>
      <w:tblPr>
        <w:tblStyle w:val="31"/>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0290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tcPr>
          <w:p w14:paraId="360173A1">
            <w:pPr>
              <w:spacing w:line="395" w:lineRule="auto"/>
              <w:outlineLvl w:val="9"/>
              <w:rPr>
                <w:rFonts w:ascii="Arial"/>
                <w:color w:val="auto"/>
                <w:highlight w:val="none"/>
              </w:rPr>
            </w:pPr>
          </w:p>
          <w:p w14:paraId="70BDC9B7">
            <w:pPr>
              <w:spacing w:before="65" w:line="224" w:lineRule="auto"/>
              <w:ind w:left="386" w:firstLine="432"/>
              <w:outlineLvl w:val="9"/>
              <w:rPr>
                <w:rFonts w:hint="eastAsia" w:ascii="宋体" w:hAnsi="宋体" w:eastAsia="宋体" w:cs="宋体"/>
                <w:color w:val="auto"/>
                <w:szCs w:val="21"/>
                <w:highlight w:val="none"/>
              </w:rPr>
            </w:pPr>
            <w:r>
              <w:rPr>
                <w:rFonts w:ascii="宋体" w:hAnsi="宋体" w:eastAsia="宋体" w:cs="宋体"/>
                <w:color w:val="auto"/>
                <w:spacing w:val="8"/>
                <w:sz w:val="20"/>
                <w:szCs w:val="20"/>
                <w:highlight w:val="none"/>
              </w:rPr>
              <w:t>法定代理人身份证 (正面) 复印件</w:t>
            </w:r>
          </w:p>
        </w:tc>
        <w:tc>
          <w:tcPr>
            <w:tcW w:w="3899" w:type="dxa"/>
          </w:tcPr>
          <w:p w14:paraId="3BF076B4">
            <w:pPr>
              <w:spacing w:line="395" w:lineRule="auto"/>
              <w:outlineLvl w:val="9"/>
              <w:rPr>
                <w:rFonts w:ascii="Arial"/>
                <w:color w:val="auto"/>
                <w:highlight w:val="none"/>
              </w:rPr>
            </w:pPr>
          </w:p>
          <w:p w14:paraId="1306AFBC">
            <w:pPr>
              <w:spacing w:before="65" w:line="224" w:lineRule="auto"/>
              <w:ind w:left="383" w:firstLine="432"/>
              <w:outlineLvl w:val="9"/>
              <w:rPr>
                <w:rFonts w:hint="eastAsia" w:ascii="宋体" w:hAnsi="宋体" w:eastAsia="宋体" w:cs="宋体"/>
                <w:color w:val="auto"/>
                <w:szCs w:val="21"/>
                <w:highlight w:val="none"/>
              </w:rPr>
            </w:pPr>
            <w:r>
              <w:rPr>
                <w:rFonts w:ascii="宋体" w:hAnsi="宋体" w:eastAsia="宋体" w:cs="宋体"/>
                <w:color w:val="auto"/>
                <w:spacing w:val="8"/>
                <w:sz w:val="20"/>
                <w:szCs w:val="20"/>
                <w:highlight w:val="none"/>
              </w:rPr>
              <w:t>法定代理人身份证 (反面) 复印件</w:t>
            </w:r>
          </w:p>
        </w:tc>
      </w:tr>
      <w:tr w14:paraId="1E39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tcPr>
          <w:p w14:paraId="7B72FD62">
            <w:pPr>
              <w:spacing w:line="393" w:lineRule="auto"/>
              <w:outlineLvl w:val="9"/>
              <w:rPr>
                <w:rFonts w:ascii="Arial"/>
                <w:color w:val="auto"/>
                <w:highlight w:val="none"/>
              </w:rPr>
            </w:pPr>
          </w:p>
          <w:p w14:paraId="056F85B4">
            <w:pPr>
              <w:spacing w:before="65" w:line="226" w:lineRule="auto"/>
              <w:ind w:left="387" w:firstLine="432"/>
              <w:outlineLvl w:val="9"/>
              <w:rPr>
                <w:rFonts w:hint="eastAsia" w:ascii="宋体" w:hAnsi="宋体" w:eastAsia="宋体" w:cs="宋体"/>
                <w:color w:val="auto"/>
                <w:szCs w:val="21"/>
                <w:highlight w:val="none"/>
              </w:rPr>
            </w:pPr>
            <w:r>
              <w:rPr>
                <w:rFonts w:ascii="宋体" w:hAnsi="宋体" w:eastAsia="宋体" w:cs="宋体"/>
                <w:color w:val="auto"/>
                <w:spacing w:val="8"/>
                <w:sz w:val="20"/>
                <w:szCs w:val="20"/>
                <w:highlight w:val="none"/>
              </w:rPr>
              <w:t>委托代表人身份证 (正面) 复印</w:t>
            </w:r>
            <w:r>
              <w:rPr>
                <w:rFonts w:ascii="宋体" w:hAnsi="宋体" w:eastAsia="宋体" w:cs="宋体"/>
                <w:color w:val="auto"/>
                <w:spacing w:val="7"/>
                <w:sz w:val="20"/>
                <w:szCs w:val="20"/>
                <w:highlight w:val="none"/>
              </w:rPr>
              <w:t>件</w:t>
            </w:r>
          </w:p>
        </w:tc>
        <w:tc>
          <w:tcPr>
            <w:tcW w:w="3899" w:type="dxa"/>
          </w:tcPr>
          <w:p w14:paraId="22690091">
            <w:pPr>
              <w:spacing w:line="393" w:lineRule="auto"/>
              <w:outlineLvl w:val="9"/>
              <w:rPr>
                <w:rFonts w:ascii="Arial"/>
                <w:color w:val="auto"/>
                <w:highlight w:val="none"/>
              </w:rPr>
            </w:pPr>
          </w:p>
          <w:p w14:paraId="31477AAA">
            <w:pPr>
              <w:spacing w:before="65" w:line="226" w:lineRule="auto"/>
              <w:ind w:left="385" w:firstLine="432"/>
              <w:outlineLvl w:val="9"/>
              <w:rPr>
                <w:rFonts w:hint="eastAsia" w:ascii="宋体" w:hAnsi="宋体" w:eastAsia="宋体" w:cs="宋体"/>
                <w:color w:val="auto"/>
                <w:szCs w:val="21"/>
                <w:highlight w:val="none"/>
              </w:rPr>
            </w:pPr>
            <w:r>
              <w:rPr>
                <w:rFonts w:ascii="宋体" w:hAnsi="宋体" w:eastAsia="宋体" w:cs="宋体"/>
                <w:color w:val="auto"/>
                <w:spacing w:val="8"/>
                <w:sz w:val="20"/>
                <w:szCs w:val="20"/>
                <w:highlight w:val="none"/>
              </w:rPr>
              <w:t>委托代表人身份证 (反面) 复印</w:t>
            </w:r>
            <w:r>
              <w:rPr>
                <w:rFonts w:ascii="宋体" w:hAnsi="宋体" w:eastAsia="宋体" w:cs="宋体"/>
                <w:color w:val="auto"/>
                <w:spacing w:val="7"/>
                <w:sz w:val="20"/>
                <w:szCs w:val="20"/>
                <w:highlight w:val="none"/>
              </w:rPr>
              <w:t>件</w:t>
            </w:r>
          </w:p>
        </w:tc>
      </w:tr>
    </w:tbl>
    <w:p w14:paraId="2544E83D">
      <w:pPr>
        <w:adjustRightInd w:val="0"/>
        <w:snapToGrid w:val="0"/>
        <w:spacing w:line="360" w:lineRule="auto"/>
        <w:ind w:firstLine="420" w:firstLineChars="200"/>
        <w:outlineLvl w:val="9"/>
        <w:rPr>
          <w:rFonts w:hint="eastAsia" w:ascii="宋体" w:hAnsi="宋体" w:eastAsia="宋体" w:cs="宋体"/>
          <w:color w:val="auto"/>
          <w:szCs w:val="21"/>
          <w:highlight w:val="none"/>
        </w:rPr>
      </w:pPr>
    </w:p>
    <w:p w14:paraId="5F8E2C39">
      <w:pPr>
        <w:adjustRightInd w:val="0"/>
        <w:snapToGrid w:val="0"/>
        <w:spacing w:line="360" w:lineRule="auto"/>
        <w:ind w:firstLine="420" w:firstLineChars="200"/>
        <w:outlineLvl w:val="9"/>
        <w:rPr>
          <w:rFonts w:hint="eastAsia" w:ascii="宋体" w:hAnsi="宋体" w:eastAsia="宋体" w:cs="宋体"/>
          <w:color w:val="auto"/>
          <w:szCs w:val="21"/>
          <w:highlight w:val="none"/>
        </w:rPr>
      </w:pPr>
    </w:p>
    <w:p w14:paraId="6C436C28">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注：供应商代表不是供应商的法定代表人（单位负责人）的提供。自然人响应的无需提供。</w:t>
      </w:r>
    </w:p>
    <w:p w14:paraId="7199387C">
      <w:pPr>
        <w:adjustRightInd w:val="0"/>
        <w:snapToGrid w:val="0"/>
        <w:spacing w:line="360" w:lineRule="auto"/>
        <w:ind w:firstLine="420" w:firstLineChars="200"/>
        <w:outlineLvl w:val="9"/>
        <w:rPr>
          <w:rFonts w:hint="eastAsia" w:ascii="宋体" w:hAnsi="宋体" w:eastAsia="宋体" w:cs="宋体"/>
          <w:color w:val="auto"/>
          <w:szCs w:val="21"/>
          <w:highlight w:val="none"/>
        </w:rPr>
      </w:pPr>
    </w:p>
    <w:p w14:paraId="1E18D3ED">
      <w:pPr>
        <w:adjustRightInd w:val="0"/>
        <w:snapToGrid w:val="0"/>
        <w:spacing w:line="360" w:lineRule="auto"/>
        <w:ind w:firstLine="420" w:firstLineChars="200"/>
        <w:outlineLvl w:val="9"/>
        <w:rPr>
          <w:rFonts w:hint="eastAsia" w:ascii="宋体" w:hAnsi="宋体" w:eastAsia="宋体" w:cs="宋体"/>
          <w:color w:val="auto"/>
          <w:szCs w:val="21"/>
          <w:highlight w:val="none"/>
        </w:rPr>
      </w:pPr>
    </w:p>
    <w:p w14:paraId="3986EDB6">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供应商名称（盖单位章）：</w:t>
      </w:r>
    </w:p>
    <w:p w14:paraId="085A24F4">
      <w:pPr>
        <w:adjustRightInd w:val="0"/>
        <w:snapToGrid w:val="0"/>
        <w:spacing w:line="360" w:lineRule="auto"/>
        <w:ind w:right="420"/>
        <w:outlineLvl w:val="9"/>
        <w:rPr>
          <w:rFonts w:hint="eastAsia" w:ascii="宋体" w:hAnsi="宋体" w:eastAsia="宋体" w:cs="宋体"/>
          <w:color w:val="auto"/>
          <w:szCs w:val="21"/>
          <w:highlight w:val="none"/>
        </w:rPr>
      </w:pPr>
      <w:r>
        <w:rPr>
          <w:rFonts w:hint="eastAsia" w:ascii="宋体" w:hAnsi="宋体" w:eastAsia="宋体" w:cs="宋体"/>
          <w:color w:val="auto"/>
          <w:spacing w:val="-2"/>
          <w:kern w:val="0"/>
          <w:szCs w:val="21"/>
          <w:highlight w:val="none"/>
        </w:rPr>
        <w:t>法</w:t>
      </w:r>
      <w:r>
        <w:rPr>
          <w:rFonts w:hint="eastAsia" w:ascii="宋体" w:hAnsi="宋体" w:eastAsia="宋体" w:cs="宋体"/>
          <w:color w:val="auto"/>
          <w:kern w:val="0"/>
          <w:szCs w:val="21"/>
          <w:highlight w:val="none"/>
        </w:rPr>
        <w:t>定</w:t>
      </w:r>
      <w:r>
        <w:rPr>
          <w:rFonts w:hint="eastAsia" w:ascii="宋体" w:hAnsi="宋体" w:eastAsia="宋体" w:cs="宋体"/>
          <w:color w:val="auto"/>
          <w:spacing w:val="-2"/>
          <w:kern w:val="0"/>
          <w:szCs w:val="21"/>
          <w:highlight w:val="none"/>
        </w:rPr>
        <w:t>代</w:t>
      </w:r>
      <w:r>
        <w:rPr>
          <w:rFonts w:hint="eastAsia" w:ascii="宋体" w:hAnsi="宋体" w:eastAsia="宋体" w:cs="宋体"/>
          <w:color w:val="auto"/>
          <w:kern w:val="0"/>
          <w:szCs w:val="21"/>
          <w:highlight w:val="none"/>
        </w:rPr>
        <w:t>表</w:t>
      </w:r>
      <w:r>
        <w:rPr>
          <w:rFonts w:hint="eastAsia" w:ascii="宋体" w:hAnsi="宋体" w:eastAsia="宋体" w:cs="宋体"/>
          <w:color w:val="auto"/>
          <w:spacing w:val="-2"/>
          <w:kern w:val="0"/>
          <w:szCs w:val="21"/>
          <w:highlight w:val="none"/>
        </w:rPr>
        <w:t>人</w:t>
      </w:r>
      <w:r>
        <w:rPr>
          <w:rFonts w:hint="eastAsia" w:ascii="宋体" w:hAnsi="宋体" w:eastAsia="宋体" w:cs="宋体"/>
          <w:color w:val="auto"/>
          <w:kern w:val="0"/>
          <w:szCs w:val="21"/>
          <w:highlight w:val="none"/>
        </w:rPr>
        <w:t>（</w:t>
      </w:r>
      <w:r>
        <w:rPr>
          <w:rFonts w:hint="eastAsia" w:ascii="宋体" w:hAnsi="宋体" w:eastAsia="宋体" w:cs="宋体"/>
          <w:color w:val="auto"/>
          <w:spacing w:val="-2"/>
          <w:kern w:val="0"/>
          <w:szCs w:val="21"/>
          <w:highlight w:val="none"/>
        </w:rPr>
        <w:t>单</w:t>
      </w:r>
      <w:r>
        <w:rPr>
          <w:rFonts w:hint="eastAsia" w:ascii="宋体" w:hAnsi="宋体" w:eastAsia="宋体" w:cs="宋体"/>
          <w:color w:val="auto"/>
          <w:kern w:val="0"/>
          <w:szCs w:val="21"/>
          <w:highlight w:val="none"/>
        </w:rPr>
        <w:t>位</w:t>
      </w:r>
      <w:r>
        <w:rPr>
          <w:rFonts w:hint="eastAsia" w:ascii="宋体" w:hAnsi="宋体" w:eastAsia="宋体" w:cs="宋体"/>
          <w:color w:val="auto"/>
          <w:spacing w:val="-2"/>
          <w:kern w:val="0"/>
          <w:szCs w:val="21"/>
          <w:highlight w:val="none"/>
        </w:rPr>
        <w:t>负</w:t>
      </w:r>
      <w:r>
        <w:rPr>
          <w:rFonts w:hint="eastAsia" w:ascii="宋体" w:hAnsi="宋体" w:eastAsia="宋体" w:cs="宋体"/>
          <w:color w:val="auto"/>
          <w:kern w:val="0"/>
          <w:szCs w:val="21"/>
          <w:highlight w:val="none"/>
        </w:rPr>
        <w:t>责人</w:t>
      </w:r>
      <w:r>
        <w:rPr>
          <w:rFonts w:hint="eastAsia" w:ascii="宋体" w:hAnsi="宋体" w:eastAsia="宋体" w:cs="宋体"/>
          <w:color w:val="auto"/>
          <w:spacing w:val="-2"/>
          <w:kern w:val="0"/>
          <w:szCs w:val="21"/>
          <w:highlight w:val="none"/>
        </w:rPr>
        <w:t>）</w:t>
      </w:r>
      <w:r>
        <w:rPr>
          <w:rFonts w:hint="eastAsia" w:ascii="宋体" w:hAnsi="宋体" w:eastAsia="宋体" w:cs="宋体"/>
          <w:color w:val="auto"/>
          <w:szCs w:val="21"/>
          <w:highlight w:val="none"/>
        </w:rPr>
        <w:t>（签字或印章）：</w:t>
      </w:r>
    </w:p>
    <w:p w14:paraId="05486336">
      <w:pPr>
        <w:adjustRightInd w:val="0"/>
        <w:snapToGrid w:val="0"/>
        <w:spacing w:line="360" w:lineRule="auto"/>
        <w:ind w:right="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委托代理人（签字或印章）：</w:t>
      </w:r>
    </w:p>
    <w:p w14:paraId="4512B56E">
      <w:pPr>
        <w:adjustRightInd w:val="0"/>
        <w:snapToGrid w:val="0"/>
        <w:spacing w:line="360" w:lineRule="auto"/>
        <w:ind w:right="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79C71A3E">
      <w:pPr>
        <w:pStyle w:val="12"/>
        <w:spacing w:line="292" w:lineRule="auto"/>
        <w:outlineLvl w:val="9"/>
        <w:rPr>
          <w:rFonts w:hint="eastAsia" w:ascii="宋体" w:hAnsi="宋体" w:eastAsia="宋体" w:cs="宋体"/>
          <w:color w:val="auto"/>
          <w:highlight w:val="none"/>
        </w:rPr>
      </w:pPr>
    </w:p>
    <w:p w14:paraId="6646C232">
      <w:pPr>
        <w:pStyle w:val="12"/>
        <w:spacing w:line="292" w:lineRule="auto"/>
        <w:outlineLvl w:val="9"/>
        <w:rPr>
          <w:rFonts w:hint="eastAsia" w:ascii="宋体" w:hAnsi="宋体" w:eastAsia="宋体" w:cs="宋体"/>
          <w:color w:val="auto"/>
          <w:highlight w:val="none"/>
        </w:rPr>
      </w:pPr>
    </w:p>
    <w:p w14:paraId="4394D3CD">
      <w:pPr>
        <w:pStyle w:val="12"/>
        <w:spacing w:line="292" w:lineRule="auto"/>
        <w:outlineLvl w:val="9"/>
        <w:rPr>
          <w:rFonts w:hint="eastAsia" w:ascii="宋体" w:hAnsi="宋体" w:eastAsia="宋体" w:cs="宋体"/>
          <w:color w:val="auto"/>
          <w:highlight w:val="none"/>
        </w:rPr>
      </w:pPr>
    </w:p>
    <w:p w14:paraId="3F8E3EEF">
      <w:pPr>
        <w:pStyle w:val="12"/>
        <w:spacing w:line="293" w:lineRule="auto"/>
        <w:outlineLvl w:val="9"/>
        <w:rPr>
          <w:rFonts w:hint="eastAsia" w:ascii="宋体" w:hAnsi="宋体" w:eastAsia="宋体" w:cs="宋体"/>
          <w:color w:val="auto"/>
          <w:szCs w:val="21"/>
          <w:highlight w:val="none"/>
        </w:rPr>
      </w:pPr>
    </w:p>
    <w:p w14:paraId="5E20A27C">
      <w:pPr>
        <w:spacing w:before="65" w:line="410" w:lineRule="exact"/>
        <w:ind w:left="10"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（注：此《授权委托书》必须另单独备一份原件与投标文件同时分别递交以供开标时现场监委和业主方审核，未单独递交或不符合要求的视为自动放弃投标。）</w:t>
      </w:r>
    </w:p>
    <w:p w14:paraId="2506595F">
      <w:pPr>
        <w:spacing w:line="227" w:lineRule="auto"/>
        <w:ind w:firstLine="400"/>
        <w:outlineLvl w:val="9"/>
        <w:rPr>
          <w:rFonts w:hint="eastAsia" w:ascii="宋体" w:hAnsi="宋体" w:eastAsia="宋体" w:cs="宋体"/>
          <w:color w:val="auto"/>
          <w:sz w:val="20"/>
          <w:szCs w:val="20"/>
          <w:highlight w:val="none"/>
        </w:rPr>
        <w:sectPr>
          <w:footerReference r:id="rId8" w:type="default"/>
          <w:pgSz w:w="11906" w:h="16839"/>
          <w:pgMar w:top="1440" w:right="1800" w:bottom="1440" w:left="1800" w:header="0" w:footer="994" w:gutter="0"/>
          <w:pgNumType w:fmt="decimal"/>
          <w:cols w:space="720" w:num="1"/>
        </w:sectPr>
      </w:pPr>
    </w:p>
    <w:p w14:paraId="4751F0F7">
      <w:pPr>
        <w:adjustRightInd w:val="0"/>
        <w:snapToGrid w:val="0"/>
        <w:spacing w:line="360" w:lineRule="auto"/>
        <w:ind w:right="23" w:rightChars="11"/>
        <w:outlineLvl w:val="9"/>
        <w:rPr>
          <w:rFonts w:hint="eastAsia" w:ascii="宋体" w:hAnsi="宋体" w:eastAsia="宋体" w:cs="宋体"/>
          <w:b/>
          <w:sz w:val="28"/>
          <w:szCs w:val="28"/>
          <w:lang w:eastAsia="zh-CN"/>
        </w:rPr>
      </w:pPr>
      <w:r>
        <w:rPr>
          <w:rFonts w:hint="eastAsia" w:ascii="黑体" w:hAnsi="华文中宋" w:eastAsia="黑体" w:cs="Times New Roman"/>
          <w:b w:val="0"/>
          <w:bCs w:val="0"/>
          <w:color w:val="auto"/>
          <w:sz w:val="28"/>
          <w:szCs w:val="28"/>
          <w:highlight w:val="none"/>
        </w:rPr>
        <w:t xml:space="preserve"> </w:t>
      </w:r>
      <w:r>
        <w:rPr>
          <w:rFonts w:hint="eastAsia" w:ascii="宋体" w:hAnsi="宋体" w:eastAsia="宋体" w:cs="宋体"/>
          <w:b w:val="0"/>
          <w:bCs w:val="0"/>
          <w:sz w:val="28"/>
          <w:szCs w:val="28"/>
        </w:rPr>
        <w:t>附件</w:t>
      </w:r>
      <w:r>
        <w:rPr>
          <w:rFonts w:hint="eastAsia" w:ascii="宋体" w:hAnsi="宋体" w:eastAsia="宋体" w:cs="宋体"/>
          <w:b w:val="0"/>
          <w:bCs w:val="0"/>
          <w:sz w:val="28"/>
          <w:szCs w:val="28"/>
          <w:lang w:val="en-US" w:eastAsia="zh-CN"/>
        </w:rPr>
        <w:t>3</w:t>
      </w:r>
    </w:p>
    <w:p w14:paraId="6C7ADF50">
      <w:pPr>
        <w:adjustRightInd w:val="0"/>
        <w:snapToGrid w:val="0"/>
        <w:spacing w:line="360" w:lineRule="auto"/>
        <w:ind w:right="23" w:rightChars="11"/>
        <w:outlineLvl w:val="9"/>
        <w:rPr>
          <w:rFonts w:hint="eastAsia" w:ascii="宋体" w:hAnsi="宋体" w:eastAsia="宋体" w:cs="宋体"/>
          <w:b/>
          <w:sz w:val="28"/>
          <w:szCs w:val="28"/>
        </w:rPr>
      </w:pPr>
    </w:p>
    <w:p w14:paraId="67A27EED">
      <w:pPr>
        <w:adjustRightInd w:val="0"/>
        <w:snapToGrid w:val="0"/>
        <w:spacing w:line="360" w:lineRule="auto"/>
        <w:ind w:right="23" w:rightChars="11"/>
        <w:jc w:val="center"/>
        <w:outlineLvl w:val="9"/>
        <w:rPr>
          <w:rFonts w:hint="eastAsia" w:ascii="黑体" w:hAnsi="Times New Roman" w:eastAsia="黑体" w:cs="Times New Roman"/>
          <w:b/>
          <w:color w:val="auto"/>
          <w:sz w:val="28"/>
          <w:szCs w:val="28"/>
          <w:highlight w:val="none"/>
        </w:rPr>
      </w:pPr>
      <w:r>
        <w:rPr>
          <w:rFonts w:hint="eastAsia" w:ascii="黑体" w:hAnsi="Times New Roman" w:eastAsia="黑体" w:cs="Times New Roman"/>
          <w:b/>
          <w:color w:val="auto"/>
          <w:sz w:val="28"/>
          <w:szCs w:val="28"/>
          <w:highlight w:val="none"/>
        </w:rPr>
        <w:t>不拖欠民工工资承诺书</w:t>
      </w:r>
    </w:p>
    <w:p w14:paraId="6617DCBC">
      <w:pPr>
        <w:adjustRightInd w:val="0"/>
        <w:snapToGrid w:val="0"/>
        <w:spacing w:line="480" w:lineRule="exact"/>
        <w:ind w:right="23" w:rightChars="11"/>
        <w:jc w:val="center"/>
        <w:outlineLvl w:val="9"/>
        <w:rPr>
          <w:rFonts w:hint="eastAsia" w:ascii="Times New Roman" w:hAnsi="Times New Roman" w:eastAsia="黑体" w:cs="Times New Roman"/>
          <w:b/>
          <w:color w:val="auto"/>
          <w:sz w:val="28"/>
          <w:szCs w:val="28"/>
          <w:highlight w:val="none"/>
        </w:rPr>
      </w:pPr>
      <w:r>
        <w:rPr>
          <w:rFonts w:hint="eastAsia" w:ascii="Times New Roman" w:hAnsi="Times New Roman" w:eastAsia="黑体" w:cs="Times New Roman"/>
          <w:b/>
          <w:color w:val="auto"/>
          <w:sz w:val="28"/>
          <w:szCs w:val="28"/>
          <w:highlight w:val="none"/>
        </w:rPr>
        <w:t>（格式自拟）</w:t>
      </w:r>
    </w:p>
    <w:p w14:paraId="6D42AE7E">
      <w:pPr>
        <w:adjustRightInd w:val="0"/>
        <w:snapToGrid w:val="0"/>
        <w:spacing w:line="480" w:lineRule="exact"/>
        <w:ind w:right="23" w:rightChars="11"/>
        <w:outlineLvl w:val="9"/>
        <w:rPr>
          <w:rFonts w:hint="eastAsia" w:ascii="黑体" w:hAnsi="Times New Roman" w:eastAsia="黑体" w:cs="Times New Roman"/>
          <w:color w:val="auto"/>
          <w:szCs w:val="21"/>
          <w:highlight w:val="none"/>
        </w:rPr>
      </w:pPr>
    </w:p>
    <w:p w14:paraId="5770E3F1">
      <w:pPr>
        <w:adjustRightInd w:val="0"/>
        <w:snapToGrid w:val="0"/>
        <w:spacing w:line="480" w:lineRule="exact"/>
        <w:ind w:right="23" w:rightChars="11"/>
        <w:outlineLvl w:val="9"/>
        <w:rPr>
          <w:rFonts w:hint="eastAsia" w:ascii="黑体" w:hAnsi="Times New Roman" w:eastAsia="黑体" w:cs="Times New Roman"/>
          <w:color w:val="auto"/>
          <w:szCs w:val="21"/>
          <w:highlight w:val="none"/>
        </w:rPr>
      </w:pPr>
    </w:p>
    <w:p w14:paraId="249129AD">
      <w:pPr>
        <w:adjustRightInd w:val="0"/>
        <w:snapToGrid w:val="0"/>
        <w:spacing w:line="480" w:lineRule="exact"/>
        <w:ind w:right="23" w:rightChars="11"/>
        <w:outlineLvl w:val="9"/>
        <w:rPr>
          <w:rFonts w:hint="eastAsia" w:ascii="黑体" w:hAnsi="Times New Roman" w:eastAsia="黑体" w:cs="Times New Roman"/>
          <w:color w:val="auto"/>
          <w:szCs w:val="21"/>
          <w:highlight w:val="none"/>
        </w:rPr>
      </w:pPr>
    </w:p>
    <w:p w14:paraId="294B9B2A">
      <w:pPr>
        <w:adjustRightInd w:val="0"/>
        <w:snapToGrid w:val="0"/>
        <w:spacing w:line="480" w:lineRule="exact"/>
        <w:ind w:right="23" w:rightChars="11"/>
        <w:outlineLvl w:val="9"/>
        <w:rPr>
          <w:rFonts w:hint="eastAsia" w:ascii="黑体" w:hAnsi="Times New Roman" w:eastAsia="黑体" w:cs="Times New Roman"/>
          <w:color w:val="auto"/>
          <w:szCs w:val="21"/>
          <w:highlight w:val="none"/>
        </w:rPr>
      </w:pPr>
    </w:p>
    <w:p w14:paraId="0D8472F2">
      <w:pPr>
        <w:adjustRightInd w:val="0"/>
        <w:snapToGrid w:val="0"/>
        <w:spacing w:line="480" w:lineRule="exact"/>
        <w:ind w:right="23" w:rightChars="11"/>
        <w:outlineLvl w:val="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供应商名称（盖章）：</w:t>
      </w:r>
    </w:p>
    <w:p w14:paraId="5288A453">
      <w:pPr>
        <w:adjustRightInd w:val="0"/>
        <w:snapToGrid w:val="0"/>
        <w:spacing w:line="480" w:lineRule="exact"/>
        <w:ind w:right="23" w:rightChars="11"/>
        <w:outlineLvl w:val="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法定代表人或其委托代理人（</w:t>
      </w:r>
      <w:r>
        <w:rPr>
          <w:rFonts w:hint="eastAsia" w:ascii="宋体" w:hAnsi="宋体" w:eastAsia="宋体" w:cs="Times New Roman"/>
          <w:szCs w:val="21"/>
        </w:rPr>
        <w:t>签字或印章</w:t>
      </w:r>
      <w:r>
        <w:rPr>
          <w:rFonts w:hint="eastAsia" w:ascii="宋体" w:hAnsi="宋体" w:eastAsia="宋体" w:cs="Times New Roman"/>
          <w:color w:val="auto"/>
          <w:szCs w:val="21"/>
          <w:highlight w:val="none"/>
        </w:rPr>
        <w:t>）：</w:t>
      </w:r>
    </w:p>
    <w:p w14:paraId="570ADFBC">
      <w:pPr>
        <w:adjustRightInd w:val="0"/>
        <w:snapToGrid w:val="0"/>
        <w:spacing w:line="360" w:lineRule="auto"/>
        <w:ind w:right="23" w:rightChars="11"/>
        <w:outlineLvl w:val="9"/>
        <w:rPr>
          <w:rFonts w:hint="eastAsia" w:ascii="宋体" w:hAnsi="宋体" w:eastAsia="宋体" w:cs="Times New Roman"/>
          <w:color w:val="auto"/>
          <w:szCs w:val="21"/>
          <w:highlight w:val="none"/>
        </w:rPr>
      </w:pPr>
    </w:p>
    <w:p w14:paraId="3E01A5E4">
      <w:pPr>
        <w:adjustRightInd w:val="0"/>
        <w:snapToGrid w:val="0"/>
        <w:spacing w:line="360" w:lineRule="auto"/>
        <w:ind w:right="23" w:rightChars="11"/>
        <w:outlineLvl w:val="9"/>
        <w:rPr>
          <w:rFonts w:hint="eastAsia" w:ascii="黑体" w:hAnsi="Times New Roman" w:eastAsia="黑体" w:cs="Times New Roman"/>
          <w:b/>
          <w:color w:val="auto"/>
          <w:sz w:val="32"/>
          <w:szCs w:val="32"/>
          <w:highlight w:val="none"/>
        </w:rPr>
      </w:pPr>
      <w:r>
        <w:rPr>
          <w:rFonts w:hint="eastAsia" w:ascii="宋体" w:hAnsi="宋体" w:eastAsia="宋体" w:cs="Times New Roman"/>
          <w:color w:val="auto"/>
          <w:szCs w:val="21"/>
          <w:highlight w:val="none"/>
        </w:rPr>
        <w:t>日期：</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w:t>
      </w:r>
    </w:p>
    <w:p w14:paraId="240EB120">
      <w:pPr>
        <w:pStyle w:val="2"/>
        <w:outlineLvl w:val="9"/>
        <w:rPr>
          <w:rFonts w:hint="eastAsia"/>
        </w:rPr>
        <w:sectPr>
          <w:pgSz w:w="11906" w:h="16839"/>
          <w:pgMar w:top="1440" w:right="1800" w:bottom="1440" w:left="1800" w:header="0" w:footer="994" w:gutter="0"/>
          <w:pgNumType w:fmt="decimal"/>
          <w:cols w:space="720" w:num="1"/>
        </w:sectPr>
      </w:pPr>
    </w:p>
    <w:p w14:paraId="32A5095E">
      <w:pPr>
        <w:ind w:firstLine="674"/>
        <w:jc w:val="center"/>
        <w:outlineLvl w:val="9"/>
        <w:rPr>
          <w:rFonts w:hint="eastAsia" w:ascii="宋体" w:hAnsi="宋体" w:eastAsia="宋体" w:cs="宋体"/>
          <w:color w:val="auto"/>
          <w:sz w:val="21"/>
          <w:highlight w:val="none"/>
        </w:rPr>
      </w:pPr>
      <w:r>
        <w:rPr>
          <w:rFonts w:hint="eastAsia" w:ascii="宋体" w:hAnsi="宋体" w:eastAsia="宋体" w:cs="宋体"/>
          <w:color w:val="auto"/>
          <w:spacing w:val="18"/>
          <w:sz w:val="30"/>
          <w:szCs w:val="30"/>
          <w:highlight w:val="none"/>
        </w:rPr>
        <w:t>二、湖</w:t>
      </w:r>
      <w:r>
        <w:rPr>
          <w:rFonts w:hint="eastAsia" w:ascii="宋体" w:hAnsi="宋体" w:eastAsia="宋体" w:cs="宋体"/>
          <w:color w:val="auto"/>
          <w:spacing w:val="9"/>
          <w:sz w:val="30"/>
          <w:szCs w:val="30"/>
          <w:highlight w:val="none"/>
        </w:rPr>
        <w:t>南省政府采购供应商资格承诺函（格式）</w:t>
      </w:r>
    </w:p>
    <w:p w14:paraId="613FF398">
      <w:pPr>
        <w:adjustRightInd w:val="0"/>
        <w:snapToGrid w:val="0"/>
        <w:spacing w:line="360" w:lineRule="auto"/>
        <w:ind w:firstLine="630" w:firstLineChars="3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本公司独立承担民事责任、具有良好的商业信誉和健全的财 务会计制度、依法缴纳税收和社会保障资金，在前三年的经营活 动中无重大违法记录，未列入严重失信行为名单，符合政府采购 供应商的基本资格要求。</w:t>
      </w:r>
    </w:p>
    <w:p w14:paraId="17DA871A">
      <w:pPr>
        <w:adjustRightInd w:val="0"/>
        <w:snapToGrid w:val="0"/>
        <w:spacing w:line="360" w:lineRule="auto"/>
        <w:ind w:firstLine="630" w:firstLineChars="3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按 照《 政府采购促进中小企业发展管理办法》 ( 财库〔2020〕46号 )，本公司企业规模为：大型□  中型□  小型□  微型□ </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61A9F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2"/>
            <w:vAlign w:val="center"/>
          </w:tcPr>
          <w:p w14:paraId="0F5F01A8">
            <w:pPr>
              <w:adjustRightInd w:val="0"/>
              <w:snapToGrid w:val="0"/>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机构代码：</w:t>
            </w:r>
          </w:p>
        </w:tc>
      </w:tr>
      <w:tr w14:paraId="4445B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2"/>
            <w:vAlign w:val="center"/>
          </w:tcPr>
          <w:p w14:paraId="21E14242">
            <w:pPr>
              <w:adjustRightInd w:val="0"/>
              <w:snapToGrid w:val="0"/>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注册登记机构：</w:t>
            </w:r>
          </w:p>
        </w:tc>
      </w:tr>
      <w:tr w14:paraId="3971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2"/>
            <w:vAlign w:val="center"/>
          </w:tcPr>
          <w:p w14:paraId="54C8A351">
            <w:pPr>
              <w:adjustRightInd w:val="0"/>
              <w:snapToGrid w:val="0"/>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p>
        </w:tc>
      </w:tr>
      <w:tr w14:paraId="1698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2"/>
            <w:vAlign w:val="center"/>
          </w:tcPr>
          <w:p w14:paraId="2DB67293">
            <w:pPr>
              <w:adjustRightInd w:val="0"/>
              <w:snapToGrid w:val="0"/>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有效期：</w:t>
            </w:r>
          </w:p>
        </w:tc>
      </w:tr>
      <w:tr w14:paraId="77CFF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2"/>
            <w:vAlign w:val="center"/>
          </w:tcPr>
          <w:p w14:paraId="6642B134">
            <w:pPr>
              <w:adjustRightInd w:val="0"/>
              <w:snapToGrid w:val="0"/>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注册资本：</w:t>
            </w:r>
          </w:p>
        </w:tc>
      </w:tr>
      <w:tr w14:paraId="6326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2"/>
            <w:vAlign w:val="center"/>
          </w:tcPr>
          <w:p w14:paraId="2BE53546">
            <w:pPr>
              <w:adjustRightInd w:val="0"/>
              <w:snapToGrid w:val="0"/>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p>
        </w:tc>
      </w:tr>
      <w:tr w14:paraId="4E45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2"/>
            <w:vAlign w:val="center"/>
          </w:tcPr>
          <w:p w14:paraId="204E8657">
            <w:pPr>
              <w:adjustRightInd w:val="0"/>
              <w:snapToGrid w:val="0"/>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经济行业：</w:t>
            </w:r>
          </w:p>
        </w:tc>
      </w:tr>
      <w:tr w14:paraId="2757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2"/>
            <w:vAlign w:val="center"/>
          </w:tcPr>
          <w:p w14:paraId="61857C0E">
            <w:pPr>
              <w:adjustRightInd w:val="0"/>
              <w:snapToGrid w:val="0"/>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经济性质：</w:t>
            </w:r>
          </w:p>
        </w:tc>
      </w:tr>
      <w:tr w14:paraId="199D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2"/>
            <w:vAlign w:val="center"/>
          </w:tcPr>
          <w:p w14:paraId="689B3367">
            <w:pPr>
              <w:adjustRightInd w:val="0"/>
              <w:snapToGrid w:val="0"/>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 (负责人) :</w:t>
            </w:r>
          </w:p>
        </w:tc>
      </w:tr>
      <w:tr w14:paraId="498C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30" w:type="dxa"/>
            <w:vAlign w:val="center"/>
          </w:tcPr>
          <w:p w14:paraId="7614B74E">
            <w:pPr>
              <w:adjustRightInd w:val="0"/>
              <w:snapToGrid w:val="0"/>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法定代表人姓名 (签字)：</w:t>
            </w:r>
          </w:p>
        </w:tc>
        <w:tc>
          <w:tcPr>
            <w:tcW w:w="4530" w:type="dxa"/>
            <w:vAlign w:val="center"/>
          </w:tcPr>
          <w:p w14:paraId="1BA34FFE">
            <w:pPr>
              <w:adjustRightInd w:val="0"/>
              <w:snapToGrid w:val="0"/>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授权委托人姓名 (签字)：</w:t>
            </w:r>
          </w:p>
        </w:tc>
      </w:tr>
      <w:tr w14:paraId="2C955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30" w:type="dxa"/>
            <w:vAlign w:val="center"/>
          </w:tcPr>
          <w:p w14:paraId="5D32FED1">
            <w:pPr>
              <w:adjustRightInd w:val="0"/>
              <w:snapToGrid w:val="0"/>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身份证号：</w:t>
            </w:r>
          </w:p>
        </w:tc>
        <w:tc>
          <w:tcPr>
            <w:tcW w:w="4530" w:type="dxa"/>
            <w:vAlign w:val="center"/>
          </w:tcPr>
          <w:p w14:paraId="430CB2B2">
            <w:pPr>
              <w:adjustRightInd w:val="0"/>
              <w:snapToGrid w:val="0"/>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身份证号：</w:t>
            </w:r>
          </w:p>
        </w:tc>
      </w:tr>
      <w:tr w14:paraId="7A37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30" w:type="dxa"/>
            <w:vAlign w:val="center"/>
          </w:tcPr>
          <w:p w14:paraId="7557941A">
            <w:pPr>
              <w:adjustRightInd w:val="0"/>
              <w:snapToGrid w:val="0"/>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手机号：</w:t>
            </w:r>
          </w:p>
        </w:tc>
        <w:tc>
          <w:tcPr>
            <w:tcW w:w="4530" w:type="dxa"/>
            <w:vAlign w:val="center"/>
          </w:tcPr>
          <w:p w14:paraId="7FE9A246">
            <w:pPr>
              <w:adjustRightInd w:val="0"/>
              <w:snapToGrid w:val="0"/>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手机号：</w:t>
            </w:r>
          </w:p>
        </w:tc>
      </w:tr>
    </w:tbl>
    <w:p w14:paraId="3FCBFB30">
      <w:pPr>
        <w:adjustRightInd w:val="0"/>
        <w:snapToGrid w:val="0"/>
        <w:spacing w:line="360" w:lineRule="auto"/>
        <w:outlineLvl w:val="9"/>
        <w:rPr>
          <w:rFonts w:hint="eastAsia" w:ascii="宋体" w:hAnsi="宋体" w:eastAsia="宋体" w:cs="宋体"/>
          <w:color w:val="auto"/>
          <w:szCs w:val="21"/>
          <w:highlight w:val="none"/>
        </w:rPr>
      </w:pPr>
    </w:p>
    <w:p w14:paraId="15E99CDF">
      <w:pPr>
        <w:adjustRightInd w:val="0"/>
        <w:snapToGrid w:val="0"/>
        <w:spacing w:line="360" w:lineRule="auto"/>
        <w:ind w:firstLine="420"/>
        <w:jc w:val="righ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公司 (单位) 名称 (盖章)</w:t>
      </w:r>
    </w:p>
    <w:p w14:paraId="56D7F66B">
      <w:pPr>
        <w:adjustRightInd w:val="0"/>
        <w:snapToGrid w:val="0"/>
        <w:spacing w:line="360" w:lineRule="auto"/>
        <w:ind w:firstLine="420"/>
        <w:jc w:val="right"/>
        <w:outlineLvl w:val="9"/>
        <w:rPr>
          <w:rFonts w:hint="eastAsia" w:ascii="宋体" w:hAnsi="宋体" w:eastAsia="宋体" w:cs="宋体"/>
          <w:color w:val="auto"/>
          <w:szCs w:val="21"/>
          <w:highlight w:val="none"/>
        </w:rPr>
        <w:sectPr>
          <w:footerReference r:id="rId9" w:type="default"/>
          <w:pgSz w:w="11906" w:h="16839"/>
          <w:pgMar w:top="1440" w:right="1800" w:bottom="1440" w:left="1800" w:header="0" w:footer="994" w:gutter="0"/>
          <w:pgNumType w:fmt="decimal"/>
          <w:cols w:space="720" w:num="1"/>
        </w:sectPr>
      </w:pP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年   月    日</w:t>
      </w:r>
    </w:p>
    <w:p w14:paraId="7F9F61AE">
      <w:pPr>
        <w:spacing w:before="63" w:line="224" w:lineRule="auto"/>
        <w:ind w:firstLine="630"/>
        <w:jc w:val="center"/>
        <w:outlineLvl w:val="9"/>
        <w:rPr>
          <w:rFonts w:hint="eastAsia" w:ascii="宋体" w:hAnsi="宋体" w:eastAsia="宋体" w:cs="宋体"/>
          <w:b/>
          <w:bCs/>
          <w:color w:val="auto"/>
          <w:sz w:val="30"/>
          <w:szCs w:val="30"/>
          <w:highlight w:val="none"/>
        </w:rPr>
      </w:pPr>
      <w:r>
        <w:rPr>
          <w:rFonts w:hint="eastAsia" w:ascii="宋体" w:hAnsi="宋体" w:eastAsia="宋体" w:cs="宋体"/>
          <w:b/>
          <w:bCs/>
          <w:color w:val="auto"/>
          <w:spacing w:val="7"/>
          <w:sz w:val="30"/>
          <w:szCs w:val="30"/>
          <w:highlight w:val="none"/>
        </w:rPr>
        <w:t>三、供应商的资格证明资料</w:t>
      </w:r>
    </w:p>
    <w:p w14:paraId="20735E0D">
      <w:pPr>
        <w:spacing w:before="323" w:line="219" w:lineRule="auto"/>
        <w:ind w:left="49" w:firstLine="552"/>
        <w:outlineLvl w:val="9"/>
        <w:rPr>
          <w:rFonts w:hint="eastAsia" w:ascii="宋体" w:hAnsi="宋体" w:eastAsia="宋体" w:cs="宋体"/>
          <w:color w:val="auto"/>
          <w:sz w:val="30"/>
          <w:szCs w:val="30"/>
          <w:highlight w:val="none"/>
        </w:rPr>
      </w:pPr>
      <w:r>
        <w:rPr>
          <w:rFonts w:hint="eastAsia" w:ascii="宋体" w:hAnsi="宋体" w:eastAsia="宋体" w:cs="宋体"/>
          <w:color w:val="auto"/>
          <w:spacing w:val="-12"/>
          <w:sz w:val="30"/>
          <w:szCs w:val="30"/>
          <w:highlight w:val="none"/>
        </w:rPr>
        <w:t>附件</w:t>
      </w:r>
      <w:r>
        <w:rPr>
          <w:rFonts w:hint="eastAsia" w:ascii="宋体" w:hAnsi="宋体" w:eastAsia="宋体" w:cs="宋体"/>
          <w:color w:val="auto"/>
          <w:spacing w:val="-58"/>
          <w:sz w:val="30"/>
          <w:szCs w:val="30"/>
          <w:highlight w:val="none"/>
        </w:rPr>
        <w:t xml:space="preserve"> </w:t>
      </w:r>
      <w:r>
        <w:rPr>
          <w:rFonts w:hint="eastAsia" w:ascii="宋体" w:hAnsi="宋体" w:eastAsia="宋体" w:cs="宋体"/>
          <w:color w:val="auto"/>
          <w:spacing w:val="-12"/>
          <w:sz w:val="30"/>
          <w:szCs w:val="30"/>
          <w:highlight w:val="none"/>
        </w:rPr>
        <w:t>3</w:t>
      </w:r>
    </w:p>
    <w:p w14:paraId="69E51A12">
      <w:pPr>
        <w:spacing w:before="124" w:line="219" w:lineRule="auto"/>
        <w:ind w:left="3326" w:firstLine="592"/>
        <w:outlineLvl w:val="9"/>
        <w:rPr>
          <w:rFonts w:hint="eastAsia" w:ascii="宋体" w:hAnsi="宋体" w:eastAsia="宋体" w:cs="宋体"/>
          <w:color w:val="auto"/>
          <w:highlight w:val="none"/>
        </w:rPr>
      </w:pPr>
      <w:r>
        <w:rPr>
          <w:rFonts w:hint="eastAsia" w:ascii="宋体" w:hAnsi="宋体" w:eastAsia="宋体" w:cs="宋体"/>
          <w:color w:val="auto"/>
          <w:spacing w:val="-2"/>
          <w:sz w:val="30"/>
          <w:szCs w:val="30"/>
          <w:highlight w:val="none"/>
        </w:rPr>
        <w:t>供应商基本情况表</w:t>
      </w:r>
    </w:p>
    <w:p w14:paraId="15260C78">
      <w:pPr>
        <w:spacing w:before="65" w:line="227" w:lineRule="auto"/>
        <w:ind w:left="23" w:firstLine="432"/>
        <w:outlineLvl w:val="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盖供应商单位章</w:t>
      </w:r>
    </w:p>
    <w:p w14:paraId="6FB90898">
      <w:pPr>
        <w:spacing w:line="130" w:lineRule="exact"/>
        <w:outlineLvl w:val="9"/>
        <w:rPr>
          <w:rFonts w:hint="eastAsia" w:ascii="宋体" w:hAnsi="宋体" w:eastAsia="宋体" w:cs="宋体"/>
          <w:color w:val="auto"/>
          <w:highlight w:val="none"/>
        </w:rPr>
      </w:pPr>
    </w:p>
    <w:tbl>
      <w:tblPr>
        <w:tblStyle w:val="102"/>
        <w:tblW w:w="8801"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9"/>
        <w:gridCol w:w="537"/>
        <w:gridCol w:w="360"/>
        <w:gridCol w:w="1136"/>
        <w:gridCol w:w="846"/>
        <w:gridCol w:w="586"/>
        <w:gridCol w:w="293"/>
        <w:gridCol w:w="1078"/>
        <w:gridCol w:w="1321"/>
        <w:gridCol w:w="1915"/>
      </w:tblGrid>
      <w:tr w14:paraId="76261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1626" w:type="dxa"/>
            <w:gridSpan w:val="3"/>
            <w:tcBorders>
              <w:top w:val="single" w:color="000000" w:sz="2" w:space="0"/>
              <w:left w:val="single" w:color="000000" w:sz="2" w:space="0"/>
            </w:tcBorders>
            <w:vAlign w:val="center"/>
          </w:tcPr>
          <w:p w14:paraId="288BA77B">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供应商名称</w:t>
            </w:r>
          </w:p>
        </w:tc>
        <w:tc>
          <w:tcPr>
            <w:tcW w:w="3939" w:type="dxa"/>
            <w:gridSpan w:val="5"/>
            <w:tcBorders>
              <w:top w:val="single" w:color="000000" w:sz="2" w:space="0"/>
            </w:tcBorders>
            <w:vAlign w:val="center"/>
          </w:tcPr>
          <w:p w14:paraId="10A4E1B1">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1321" w:type="dxa"/>
            <w:tcBorders>
              <w:top w:val="single" w:color="000000" w:sz="2" w:space="0"/>
            </w:tcBorders>
            <w:vAlign w:val="center"/>
          </w:tcPr>
          <w:p w14:paraId="20730C22">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法定代表人</w:t>
            </w:r>
          </w:p>
        </w:tc>
        <w:tc>
          <w:tcPr>
            <w:tcW w:w="1915" w:type="dxa"/>
            <w:tcBorders>
              <w:top w:val="single" w:color="000000" w:sz="2" w:space="0"/>
              <w:right w:val="single" w:color="000000" w:sz="2" w:space="0"/>
            </w:tcBorders>
            <w:vAlign w:val="center"/>
          </w:tcPr>
          <w:p w14:paraId="78A53D1B">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r>
      <w:tr w14:paraId="61075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626" w:type="dxa"/>
            <w:gridSpan w:val="3"/>
            <w:tcBorders>
              <w:left w:val="single" w:color="000000" w:sz="2" w:space="0"/>
            </w:tcBorders>
            <w:vAlign w:val="center"/>
          </w:tcPr>
          <w:p w14:paraId="2F31CF6D">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组织机构代码</w:t>
            </w:r>
          </w:p>
        </w:tc>
        <w:tc>
          <w:tcPr>
            <w:tcW w:w="3939" w:type="dxa"/>
            <w:gridSpan w:val="5"/>
            <w:vAlign w:val="center"/>
          </w:tcPr>
          <w:p w14:paraId="24EF5C25">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1321" w:type="dxa"/>
            <w:vAlign w:val="center"/>
          </w:tcPr>
          <w:p w14:paraId="0DAEBF3A">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邮政编码</w:t>
            </w:r>
          </w:p>
        </w:tc>
        <w:tc>
          <w:tcPr>
            <w:tcW w:w="1915" w:type="dxa"/>
            <w:tcBorders>
              <w:right w:val="single" w:color="000000" w:sz="2" w:space="0"/>
            </w:tcBorders>
            <w:vAlign w:val="center"/>
          </w:tcPr>
          <w:p w14:paraId="03EAC800">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r>
      <w:tr w14:paraId="4AAA7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626" w:type="dxa"/>
            <w:gridSpan w:val="3"/>
            <w:tcBorders>
              <w:left w:val="single" w:color="000000" w:sz="2" w:space="0"/>
            </w:tcBorders>
            <w:vAlign w:val="center"/>
          </w:tcPr>
          <w:p w14:paraId="71981123">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委托代理人</w:t>
            </w:r>
          </w:p>
        </w:tc>
        <w:tc>
          <w:tcPr>
            <w:tcW w:w="3939" w:type="dxa"/>
            <w:gridSpan w:val="5"/>
            <w:vAlign w:val="center"/>
          </w:tcPr>
          <w:p w14:paraId="71D6628C">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1321" w:type="dxa"/>
            <w:vAlign w:val="center"/>
          </w:tcPr>
          <w:p w14:paraId="488F985C">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电子邮箱</w:t>
            </w:r>
          </w:p>
        </w:tc>
        <w:tc>
          <w:tcPr>
            <w:tcW w:w="1915" w:type="dxa"/>
            <w:tcBorders>
              <w:right w:val="single" w:color="000000" w:sz="2" w:space="0"/>
            </w:tcBorders>
            <w:vAlign w:val="center"/>
          </w:tcPr>
          <w:p w14:paraId="47D4D2DE">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r>
      <w:tr w14:paraId="1680B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626" w:type="dxa"/>
            <w:gridSpan w:val="3"/>
            <w:tcBorders>
              <w:left w:val="single" w:color="000000" w:sz="2" w:space="0"/>
            </w:tcBorders>
            <w:vAlign w:val="center"/>
          </w:tcPr>
          <w:p w14:paraId="0903D7BB">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上年营业收入</w:t>
            </w:r>
          </w:p>
        </w:tc>
        <w:tc>
          <w:tcPr>
            <w:tcW w:w="3939" w:type="dxa"/>
            <w:gridSpan w:val="5"/>
            <w:vAlign w:val="center"/>
          </w:tcPr>
          <w:p w14:paraId="7377C532">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1321" w:type="dxa"/>
            <w:vAlign w:val="center"/>
          </w:tcPr>
          <w:p w14:paraId="54D50C12">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员工总人数</w:t>
            </w:r>
          </w:p>
        </w:tc>
        <w:tc>
          <w:tcPr>
            <w:tcW w:w="1915" w:type="dxa"/>
            <w:tcBorders>
              <w:right w:val="single" w:color="000000" w:sz="2" w:space="0"/>
            </w:tcBorders>
            <w:vAlign w:val="center"/>
          </w:tcPr>
          <w:p w14:paraId="0C3CE097">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r>
      <w:tr w14:paraId="7A708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729" w:type="dxa"/>
            <w:vMerge w:val="restart"/>
            <w:tcBorders>
              <w:left w:val="single" w:color="000000" w:sz="2" w:space="0"/>
              <w:bottom w:val="nil"/>
            </w:tcBorders>
            <w:vAlign w:val="center"/>
          </w:tcPr>
          <w:p w14:paraId="61FA9967">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p w14:paraId="65DBF868">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p w14:paraId="42D58E84">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p w14:paraId="15C9248A">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营业</w:t>
            </w:r>
          </w:p>
          <w:p w14:paraId="608B79A7">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执照</w:t>
            </w:r>
          </w:p>
        </w:tc>
        <w:tc>
          <w:tcPr>
            <w:tcW w:w="2033" w:type="dxa"/>
            <w:gridSpan w:val="3"/>
            <w:vAlign w:val="center"/>
          </w:tcPr>
          <w:p w14:paraId="61C6EC5C">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注册号码</w:t>
            </w:r>
          </w:p>
        </w:tc>
        <w:tc>
          <w:tcPr>
            <w:tcW w:w="1432" w:type="dxa"/>
            <w:gridSpan w:val="2"/>
            <w:vAlign w:val="center"/>
          </w:tcPr>
          <w:p w14:paraId="27666675">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1371" w:type="dxa"/>
            <w:gridSpan w:val="2"/>
            <w:vAlign w:val="center"/>
          </w:tcPr>
          <w:p w14:paraId="1E755299">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注册地址</w:t>
            </w:r>
          </w:p>
        </w:tc>
        <w:tc>
          <w:tcPr>
            <w:tcW w:w="3236" w:type="dxa"/>
            <w:gridSpan w:val="2"/>
            <w:tcBorders>
              <w:right w:val="single" w:color="000000" w:sz="2" w:space="0"/>
            </w:tcBorders>
            <w:vAlign w:val="center"/>
          </w:tcPr>
          <w:p w14:paraId="15EE84FC">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r>
      <w:tr w14:paraId="7E65F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729" w:type="dxa"/>
            <w:vMerge w:val="continue"/>
            <w:tcBorders>
              <w:top w:val="nil"/>
              <w:left w:val="single" w:color="000000" w:sz="2" w:space="0"/>
              <w:bottom w:val="nil"/>
            </w:tcBorders>
            <w:vAlign w:val="center"/>
          </w:tcPr>
          <w:p w14:paraId="496CCCD2">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2033" w:type="dxa"/>
            <w:gridSpan w:val="3"/>
            <w:vAlign w:val="center"/>
          </w:tcPr>
          <w:p w14:paraId="6DFA711F">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发证机关</w:t>
            </w:r>
          </w:p>
        </w:tc>
        <w:tc>
          <w:tcPr>
            <w:tcW w:w="1432" w:type="dxa"/>
            <w:gridSpan w:val="2"/>
            <w:vAlign w:val="center"/>
          </w:tcPr>
          <w:p w14:paraId="3BD2B47D">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1371" w:type="dxa"/>
            <w:gridSpan w:val="2"/>
            <w:vAlign w:val="center"/>
          </w:tcPr>
          <w:p w14:paraId="1D62ED90">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发证日期</w:t>
            </w:r>
          </w:p>
        </w:tc>
        <w:tc>
          <w:tcPr>
            <w:tcW w:w="3236" w:type="dxa"/>
            <w:gridSpan w:val="2"/>
            <w:tcBorders>
              <w:right w:val="single" w:color="000000" w:sz="2" w:space="0"/>
            </w:tcBorders>
            <w:vAlign w:val="center"/>
          </w:tcPr>
          <w:p w14:paraId="77407218">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r>
      <w:tr w14:paraId="642F0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729" w:type="dxa"/>
            <w:vMerge w:val="continue"/>
            <w:tcBorders>
              <w:top w:val="nil"/>
              <w:left w:val="single" w:color="000000" w:sz="2" w:space="0"/>
              <w:bottom w:val="nil"/>
            </w:tcBorders>
            <w:vAlign w:val="center"/>
          </w:tcPr>
          <w:p w14:paraId="29153A4C">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2033" w:type="dxa"/>
            <w:gridSpan w:val="3"/>
            <w:vAlign w:val="center"/>
          </w:tcPr>
          <w:p w14:paraId="2E6A2E55">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营业范围（主营）</w:t>
            </w:r>
          </w:p>
        </w:tc>
        <w:tc>
          <w:tcPr>
            <w:tcW w:w="6039" w:type="dxa"/>
            <w:gridSpan w:val="6"/>
            <w:tcBorders>
              <w:right w:val="single" w:color="000000" w:sz="2" w:space="0"/>
            </w:tcBorders>
            <w:vAlign w:val="center"/>
          </w:tcPr>
          <w:p w14:paraId="3A80399D">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r>
      <w:tr w14:paraId="7DB05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729" w:type="dxa"/>
            <w:vMerge w:val="continue"/>
            <w:tcBorders>
              <w:top w:val="nil"/>
              <w:left w:val="single" w:color="000000" w:sz="2" w:space="0"/>
            </w:tcBorders>
            <w:vAlign w:val="center"/>
          </w:tcPr>
          <w:p w14:paraId="7A592738">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2033" w:type="dxa"/>
            <w:gridSpan w:val="3"/>
            <w:vAlign w:val="center"/>
          </w:tcPr>
          <w:p w14:paraId="4942977D">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营业范围（兼营）</w:t>
            </w:r>
          </w:p>
        </w:tc>
        <w:tc>
          <w:tcPr>
            <w:tcW w:w="6039" w:type="dxa"/>
            <w:gridSpan w:val="6"/>
            <w:tcBorders>
              <w:right w:val="single" w:color="000000" w:sz="2" w:space="0"/>
            </w:tcBorders>
            <w:vAlign w:val="center"/>
          </w:tcPr>
          <w:p w14:paraId="1ABA71E6">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r>
      <w:tr w14:paraId="2F891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7" w:hRule="atLeast"/>
        </w:trPr>
        <w:tc>
          <w:tcPr>
            <w:tcW w:w="2762" w:type="dxa"/>
            <w:gridSpan w:val="4"/>
            <w:tcBorders>
              <w:left w:val="single" w:color="000000" w:sz="2" w:space="0"/>
            </w:tcBorders>
            <w:vAlign w:val="center"/>
          </w:tcPr>
          <w:p w14:paraId="70E308B7">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lang w:eastAsia="zh-CN"/>
              </w:rPr>
            </w:pPr>
            <w:r>
              <w:rPr>
                <w:rFonts w:hint="eastAsia"/>
                <w:snapToGrid w:val="0"/>
                <w:color w:val="auto"/>
                <w:spacing w:val="0"/>
                <w:kern w:val="0"/>
                <w:position w:val="0"/>
                <w:highlight w:val="none"/>
                <w:lang w:eastAsia="zh-CN"/>
              </w:rPr>
              <w:t>基本账户开户行及账号</w:t>
            </w:r>
          </w:p>
        </w:tc>
        <w:tc>
          <w:tcPr>
            <w:tcW w:w="6039" w:type="dxa"/>
            <w:gridSpan w:val="6"/>
            <w:tcBorders>
              <w:right w:val="single" w:color="000000" w:sz="2" w:space="0"/>
            </w:tcBorders>
            <w:vAlign w:val="center"/>
          </w:tcPr>
          <w:p w14:paraId="50D25163">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r>
      <w:tr w14:paraId="71252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7" w:hRule="atLeast"/>
        </w:trPr>
        <w:tc>
          <w:tcPr>
            <w:tcW w:w="2762" w:type="dxa"/>
            <w:gridSpan w:val="4"/>
            <w:tcBorders>
              <w:left w:val="single" w:color="000000" w:sz="2" w:space="0"/>
            </w:tcBorders>
            <w:vAlign w:val="center"/>
          </w:tcPr>
          <w:p w14:paraId="38F7E9F5">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税务登记机关</w:t>
            </w:r>
          </w:p>
        </w:tc>
        <w:tc>
          <w:tcPr>
            <w:tcW w:w="6039" w:type="dxa"/>
            <w:gridSpan w:val="6"/>
            <w:tcBorders>
              <w:right w:val="single" w:color="000000" w:sz="2" w:space="0"/>
            </w:tcBorders>
            <w:vAlign w:val="center"/>
          </w:tcPr>
          <w:p w14:paraId="19D73BFD">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r>
      <w:tr w14:paraId="16C0A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3608" w:type="dxa"/>
            <w:gridSpan w:val="5"/>
            <w:tcBorders>
              <w:left w:val="single" w:color="000000" w:sz="2" w:space="0"/>
            </w:tcBorders>
            <w:vAlign w:val="center"/>
          </w:tcPr>
          <w:p w14:paraId="39443681">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资质名称</w:t>
            </w:r>
          </w:p>
        </w:tc>
        <w:tc>
          <w:tcPr>
            <w:tcW w:w="879" w:type="dxa"/>
            <w:gridSpan w:val="2"/>
            <w:vAlign w:val="center"/>
          </w:tcPr>
          <w:p w14:paraId="08EBB986">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等级</w:t>
            </w:r>
          </w:p>
        </w:tc>
        <w:tc>
          <w:tcPr>
            <w:tcW w:w="1078" w:type="dxa"/>
            <w:vAlign w:val="center"/>
          </w:tcPr>
          <w:p w14:paraId="5639082B">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发证机关</w:t>
            </w:r>
          </w:p>
        </w:tc>
        <w:tc>
          <w:tcPr>
            <w:tcW w:w="3236" w:type="dxa"/>
            <w:gridSpan w:val="2"/>
            <w:tcBorders>
              <w:right w:val="single" w:color="000000" w:sz="2" w:space="0"/>
            </w:tcBorders>
            <w:vAlign w:val="center"/>
          </w:tcPr>
          <w:p w14:paraId="64FB4631">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有效期</w:t>
            </w:r>
          </w:p>
        </w:tc>
      </w:tr>
      <w:tr w14:paraId="75496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3608" w:type="dxa"/>
            <w:gridSpan w:val="5"/>
            <w:tcBorders>
              <w:left w:val="single" w:color="000000" w:sz="2" w:space="0"/>
            </w:tcBorders>
            <w:vAlign w:val="center"/>
          </w:tcPr>
          <w:p w14:paraId="77DB7B2F">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879" w:type="dxa"/>
            <w:gridSpan w:val="2"/>
            <w:vAlign w:val="center"/>
          </w:tcPr>
          <w:p w14:paraId="3A11BF99">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1078" w:type="dxa"/>
            <w:vAlign w:val="center"/>
          </w:tcPr>
          <w:p w14:paraId="55F01E6E">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3236" w:type="dxa"/>
            <w:gridSpan w:val="2"/>
            <w:tcBorders>
              <w:right w:val="single" w:color="000000" w:sz="2" w:space="0"/>
            </w:tcBorders>
            <w:vAlign w:val="center"/>
          </w:tcPr>
          <w:p w14:paraId="77CC5798">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r>
      <w:tr w14:paraId="25DC1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3608" w:type="dxa"/>
            <w:gridSpan w:val="5"/>
            <w:tcBorders>
              <w:left w:val="single" w:color="000000" w:sz="2" w:space="0"/>
            </w:tcBorders>
            <w:vAlign w:val="center"/>
          </w:tcPr>
          <w:p w14:paraId="1C544F58">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879" w:type="dxa"/>
            <w:gridSpan w:val="2"/>
            <w:vAlign w:val="center"/>
          </w:tcPr>
          <w:p w14:paraId="6974A9C6">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1078" w:type="dxa"/>
            <w:vAlign w:val="center"/>
          </w:tcPr>
          <w:p w14:paraId="3BA203B8">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3236" w:type="dxa"/>
            <w:gridSpan w:val="2"/>
            <w:tcBorders>
              <w:right w:val="single" w:color="000000" w:sz="2" w:space="0"/>
            </w:tcBorders>
            <w:vAlign w:val="center"/>
          </w:tcPr>
          <w:p w14:paraId="51758E2C">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r>
      <w:tr w14:paraId="488F2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3608" w:type="dxa"/>
            <w:gridSpan w:val="5"/>
            <w:tcBorders>
              <w:left w:val="single" w:color="000000" w:sz="2" w:space="0"/>
            </w:tcBorders>
            <w:vAlign w:val="center"/>
          </w:tcPr>
          <w:p w14:paraId="06640CF9">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879" w:type="dxa"/>
            <w:gridSpan w:val="2"/>
            <w:vAlign w:val="center"/>
          </w:tcPr>
          <w:p w14:paraId="47526268">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1078" w:type="dxa"/>
            <w:vAlign w:val="center"/>
          </w:tcPr>
          <w:p w14:paraId="3E96013B">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3236" w:type="dxa"/>
            <w:gridSpan w:val="2"/>
            <w:tcBorders>
              <w:right w:val="single" w:color="000000" w:sz="2" w:space="0"/>
            </w:tcBorders>
            <w:vAlign w:val="center"/>
          </w:tcPr>
          <w:p w14:paraId="1BB9F8EC">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r>
      <w:tr w14:paraId="38DB6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3608" w:type="dxa"/>
            <w:gridSpan w:val="5"/>
            <w:tcBorders>
              <w:left w:val="single" w:color="000000" w:sz="2" w:space="0"/>
            </w:tcBorders>
            <w:vAlign w:val="center"/>
          </w:tcPr>
          <w:p w14:paraId="37498CFF">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879" w:type="dxa"/>
            <w:gridSpan w:val="2"/>
            <w:vAlign w:val="center"/>
          </w:tcPr>
          <w:p w14:paraId="1BB2E92E">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1078" w:type="dxa"/>
            <w:vAlign w:val="center"/>
          </w:tcPr>
          <w:p w14:paraId="39A85BAF">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c>
          <w:tcPr>
            <w:tcW w:w="3236" w:type="dxa"/>
            <w:gridSpan w:val="2"/>
            <w:tcBorders>
              <w:right w:val="single" w:color="000000" w:sz="2" w:space="0"/>
            </w:tcBorders>
            <w:vAlign w:val="center"/>
          </w:tcPr>
          <w:p w14:paraId="0AD2177A">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tc>
      </w:tr>
      <w:tr w14:paraId="711AC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2" w:hRule="atLeast"/>
        </w:trPr>
        <w:tc>
          <w:tcPr>
            <w:tcW w:w="1266" w:type="dxa"/>
            <w:gridSpan w:val="2"/>
            <w:tcBorders>
              <w:left w:val="single" w:color="000000" w:sz="2" w:space="0"/>
              <w:bottom w:val="single" w:color="000000" w:sz="2" w:space="0"/>
            </w:tcBorders>
            <w:vAlign w:val="center"/>
          </w:tcPr>
          <w:p w14:paraId="53277010">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p w14:paraId="2B02FA11">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p w14:paraId="2C40395D">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rPr>
            </w:pPr>
            <w:r>
              <w:rPr>
                <w:rFonts w:hint="eastAsia"/>
                <w:snapToGrid w:val="0"/>
                <w:color w:val="auto"/>
                <w:spacing w:val="0"/>
                <w:kern w:val="0"/>
                <w:position w:val="0"/>
                <w:highlight w:val="none"/>
              </w:rPr>
              <w:t>备注</w:t>
            </w:r>
          </w:p>
        </w:tc>
        <w:tc>
          <w:tcPr>
            <w:tcW w:w="7535" w:type="dxa"/>
            <w:gridSpan w:val="8"/>
            <w:tcBorders>
              <w:bottom w:val="single" w:color="000000" w:sz="2" w:space="0"/>
              <w:right w:val="single" w:color="000000" w:sz="2" w:space="0"/>
            </w:tcBorders>
            <w:vAlign w:val="center"/>
          </w:tcPr>
          <w:p w14:paraId="36E580CC">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p w14:paraId="1D8AEE0C">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outlineLvl w:val="9"/>
              <w:rPr>
                <w:rFonts w:hint="eastAsia" w:ascii="宋体" w:hAnsi="宋体" w:eastAsia="宋体" w:cs="宋体"/>
                <w:snapToGrid w:val="0"/>
                <w:color w:val="auto"/>
                <w:spacing w:val="0"/>
                <w:kern w:val="0"/>
                <w:position w:val="0"/>
                <w:highlight w:val="none"/>
              </w:rPr>
            </w:pPr>
          </w:p>
          <w:p w14:paraId="75DB1753">
            <w:pPr>
              <w:pStyle w:val="10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snapToGrid w:val="0"/>
                <w:color w:val="auto"/>
                <w:spacing w:val="0"/>
                <w:kern w:val="0"/>
                <w:position w:val="0"/>
                <w:highlight w:val="none"/>
                <w:lang w:eastAsia="zh-CN"/>
              </w:rPr>
            </w:pPr>
            <w:r>
              <w:rPr>
                <w:rFonts w:hint="eastAsia"/>
                <w:snapToGrid w:val="0"/>
                <w:color w:val="auto"/>
                <w:spacing w:val="0"/>
                <w:kern w:val="0"/>
                <w:position w:val="0"/>
                <w:highlight w:val="none"/>
                <w:lang w:eastAsia="zh-CN"/>
              </w:rPr>
              <w:t>附《营业执照》（副本）复印件</w:t>
            </w:r>
          </w:p>
        </w:tc>
      </w:tr>
    </w:tbl>
    <w:p w14:paraId="2BDB751A">
      <w:pPr>
        <w:pStyle w:val="12"/>
        <w:outlineLvl w:val="9"/>
        <w:rPr>
          <w:rFonts w:hint="eastAsia" w:ascii="宋体" w:hAnsi="宋体" w:eastAsia="宋体" w:cs="宋体"/>
          <w:color w:val="auto"/>
          <w:highlight w:val="none"/>
        </w:rPr>
      </w:pPr>
    </w:p>
    <w:p w14:paraId="1D28235D">
      <w:pPr>
        <w:outlineLvl w:val="9"/>
        <w:rPr>
          <w:rFonts w:hint="eastAsia" w:ascii="宋体" w:hAnsi="宋体" w:eastAsia="宋体" w:cs="宋体"/>
          <w:color w:val="auto"/>
          <w:highlight w:val="none"/>
        </w:rPr>
        <w:sectPr>
          <w:footerReference r:id="rId10" w:type="default"/>
          <w:pgSz w:w="11906" w:h="16839"/>
          <w:pgMar w:top="1440" w:right="1800" w:bottom="1440" w:left="1800" w:header="0" w:footer="994" w:gutter="0"/>
          <w:pgNumType w:fmt="decimal"/>
          <w:cols w:space="720" w:num="1"/>
        </w:sectPr>
      </w:pPr>
    </w:p>
    <w:p w14:paraId="27E1741D">
      <w:pPr>
        <w:spacing w:before="135" w:line="219" w:lineRule="auto"/>
        <w:ind w:left="27" w:firstLine="552"/>
        <w:outlineLvl w:val="9"/>
        <w:rPr>
          <w:rFonts w:hint="eastAsia" w:ascii="宋体" w:hAnsi="宋体" w:eastAsia="宋体" w:cs="宋体"/>
          <w:color w:val="auto"/>
          <w:sz w:val="30"/>
          <w:szCs w:val="30"/>
          <w:highlight w:val="none"/>
        </w:rPr>
      </w:pPr>
      <w:r>
        <w:rPr>
          <w:rFonts w:hint="eastAsia" w:ascii="宋体" w:hAnsi="宋体" w:eastAsia="宋体" w:cs="宋体"/>
          <w:color w:val="auto"/>
          <w:spacing w:val="-12"/>
          <w:sz w:val="30"/>
          <w:szCs w:val="30"/>
          <w:highlight w:val="none"/>
        </w:rPr>
        <w:t>附件</w:t>
      </w:r>
      <w:r>
        <w:rPr>
          <w:rFonts w:hint="eastAsia" w:ascii="宋体" w:hAnsi="宋体" w:eastAsia="宋体" w:cs="宋体"/>
          <w:color w:val="auto"/>
          <w:spacing w:val="-62"/>
          <w:sz w:val="30"/>
          <w:szCs w:val="30"/>
          <w:highlight w:val="none"/>
        </w:rPr>
        <w:t xml:space="preserve"> </w:t>
      </w:r>
      <w:r>
        <w:rPr>
          <w:rFonts w:hint="eastAsia" w:ascii="宋体" w:hAnsi="宋体" w:eastAsia="宋体" w:cs="宋体"/>
          <w:color w:val="auto"/>
          <w:spacing w:val="-12"/>
          <w:sz w:val="30"/>
          <w:szCs w:val="30"/>
          <w:highlight w:val="none"/>
        </w:rPr>
        <w:t>4</w:t>
      </w:r>
    </w:p>
    <w:p w14:paraId="0F304166">
      <w:pPr>
        <w:spacing w:before="124" w:line="219" w:lineRule="auto"/>
        <w:ind w:left="1802" w:firstLine="596"/>
        <w:outlineLvl w:val="9"/>
        <w:rPr>
          <w:rFonts w:hint="eastAsia" w:ascii="宋体" w:hAnsi="宋体" w:eastAsia="宋体" w:cs="宋体"/>
          <w:color w:val="auto"/>
          <w:sz w:val="30"/>
          <w:szCs w:val="30"/>
          <w:highlight w:val="none"/>
        </w:rPr>
      </w:pPr>
      <w:r>
        <w:rPr>
          <w:rFonts w:hint="eastAsia" w:ascii="宋体" w:hAnsi="宋体" w:eastAsia="宋体" w:cs="宋体"/>
          <w:color w:val="auto"/>
          <w:spacing w:val="-1"/>
          <w:sz w:val="30"/>
          <w:szCs w:val="30"/>
          <w:highlight w:val="none"/>
        </w:rPr>
        <w:t>磋商文件规定的基本资格条件证明资料</w:t>
      </w:r>
    </w:p>
    <w:p w14:paraId="494996C2">
      <w:pPr>
        <w:adjustRightInd w:val="0"/>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1、供应商的基本资格条件：供应商必须是在中华人民共和国境内注册登记的法人、其他组织或者自然人，且应当符合《政府采购法》第二十二条第一款的规定，即： </w:t>
      </w:r>
    </w:p>
    <w:p w14:paraId="27296CDD">
      <w:pPr>
        <w:adjustRightInd w:val="0"/>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（1）具有独立承担民事责任的能力；</w:t>
      </w:r>
    </w:p>
    <w:p w14:paraId="7B4232B2">
      <w:pPr>
        <w:adjustRightInd w:val="0"/>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（2）具有良好的商业信誉和健全的财务会计制度；</w:t>
      </w:r>
    </w:p>
    <w:p w14:paraId="359FE3C1">
      <w:pPr>
        <w:adjustRightInd w:val="0"/>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（3）具有履行合同所必需的设备和专业技术能力；</w:t>
      </w:r>
    </w:p>
    <w:p w14:paraId="51F13E26">
      <w:pPr>
        <w:adjustRightInd w:val="0"/>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（4）有依法缴纳税收和社会保障资金的良好记录；</w:t>
      </w:r>
    </w:p>
    <w:p w14:paraId="2EEA2C3F">
      <w:pPr>
        <w:adjustRightInd w:val="0"/>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（5）参加政府采购活动前三年内，在经营活动中没有重大违法记录；</w:t>
      </w:r>
    </w:p>
    <w:p w14:paraId="68B02AB3">
      <w:pPr>
        <w:adjustRightInd w:val="0"/>
        <w:snapToGrid w:val="0"/>
        <w:spacing w:line="360" w:lineRule="auto"/>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（6）法律、行政法规规定的其他条件。</w:t>
      </w:r>
    </w:p>
    <w:p w14:paraId="49630F9C">
      <w:pPr>
        <w:pStyle w:val="12"/>
        <w:spacing w:line="279" w:lineRule="auto"/>
        <w:ind w:firstLine="600"/>
        <w:outlineLvl w:val="9"/>
        <w:rPr>
          <w:rFonts w:hint="eastAsia" w:ascii="宋体" w:hAnsi="宋体" w:eastAsia="宋体" w:cs="宋体"/>
          <w:color w:val="auto"/>
          <w:highlight w:val="none"/>
        </w:rPr>
      </w:pPr>
      <w:r>
        <w:rPr>
          <w:rFonts w:hint="eastAsia" w:ascii="宋体" w:hAnsi="宋体" w:eastAsia="宋体" w:cs="宋体"/>
          <w:color w:val="auto"/>
          <w:sz w:val="30"/>
          <w:szCs w:val="30"/>
          <w:highlight w:val="none"/>
        </w:rPr>
        <w:t xml:space="preserve">   </w:t>
      </w:r>
      <w:r>
        <w:rPr>
          <w:rFonts w:hint="eastAsia" w:ascii="宋体" w:hAnsi="宋体" w:eastAsia="宋体" w:cs="宋体"/>
          <w:color w:val="auto"/>
          <w:spacing w:val="1"/>
          <w:sz w:val="22"/>
          <w:szCs w:val="22"/>
          <w:highlight w:val="none"/>
        </w:rPr>
        <w:t>注：为贯彻落实《湖南省财政厅关于政府采购促进中小企业发展有关措施的通</w:t>
      </w:r>
      <w:r>
        <w:rPr>
          <w:rFonts w:hint="eastAsia" w:ascii="宋体" w:hAnsi="宋体" w:eastAsia="宋体" w:cs="宋体"/>
          <w:color w:val="auto"/>
          <w:sz w:val="22"/>
          <w:szCs w:val="22"/>
          <w:highlight w:val="none"/>
        </w:rPr>
        <w:t>知》（湘财购</w:t>
      </w:r>
      <w:r>
        <w:rPr>
          <w:rFonts w:hint="eastAsia" w:ascii="宋体" w:hAnsi="宋体" w:eastAsia="宋体" w:cs="宋体"/>
          <w:color w:val="auto"/>
          <w:spacing w:val="-1"/>
          <w:sz w:val="22"/>
          <w:szCs w:val="22"/>
          <w:highlight w:val="none"/>
        </w:rPr>
        <w:t>〔2022〕17</w:t>
      </w:r>
      <w:r>
        <w:rPr>
          <w:rFonts w:hint="eastAsia" w:ascii="宋体" w:hAnsi="宋体" w:eastAsia="宋体" w:cs="宋体"/>
          <w:color w:val="auto"/>
          <w:spacing w:val="-41"/>
          <w:sz w:val="22"/>
          <w:szCs w:val="22"/>
          <w:highlight w:val="none"/>
        </w:rPr>
        <w:t xml:space="preserve"> </w:t>
      </w:r>
      <w:r>
        <w:rPr>
          <w:rFonts w:hint="eastAsia" w:ascii="宋体" w:hAnsi="宋体" w:eastAsia="宋体" w:cs="宋体"/>
          <w:color w:val="auto"/>
          <w:spacing w:val="-1"/>
          <w:sz w:val="22"/>
          <w:szCs w:val="22"/>
          <w:highlight w:val="none"/>
        </w:rPr>
        <w:t>号）文，要求供应商提供的相关财务状况</w:t>
      </w:r>
      <w:r>
        <w:rPr>
          <w:rFonts w:hint="eastAsia" w:ascii="宋体" w:hAnsi="宋体" w:eastAsia="宋体" w:cs="宋体"/>
          <w:color w:val="auto"/>
          <w:spacing w:val="-2"/>
          <w:sz w:val="22"/>
          <w:szCs w:val="22"/>
          <w:highlight w:val="none"/>
        </w:rPr>
        <w:t>、缴纳税收和社保等证明材料可改为书</w:t>
      </w:r>
      <w:r>
        <w:rPr>
          <w:rFonts w:hint="eastAsia" w:ascii="宋体" w:hAnsi="宋体" w:eastAsia="宋体" w:cs="宋体"/>
          <w:color w:val="auto"/>
          <w:spacing w:val="1"/>
          <w:sz w:val="22"/>
          <w:szCs w:val="22"/>
          <w:highlight w:val="none"/>
        </w:rPr>
        <w:t>面承诺，符合法定条件的供应商凭《湖南省政府采购供应商资格承诺函》（格式</w:t>
      </w:r>
      <w:r>
        <w:rPr>
          <w:rFonts w:hint="eastAsia" w:ascii="宋体" w:hAnsi="宋体" w:eastAsia="宋体" w:cs="宋体"/>
          <w:color w:val="auto"/>
          <w:sz w:val="22"/>
          <w:szCs w:val="22"/>
          <w:highlight w:val="none"/>
        </w:rPr>
        <w:t xml:space="preserve">附后）参与 </w:t>
      </w:r>
      <w:r>
        <w:rPr>
          <w:rFonts w:hint="eastAsia" w:ascii="宋体" w:hAnsi="宋体" w:eastAsia="宋体" w:cs="宋体"/>
          <w:color w:val="auto"/>
          <w:spacing w:val="1"/>
          <w:sz w:val="22"/>
          <w:szCs w:val="22"/>
          <w:highlight w:val="none"/>
        </w:rPr>
        <w:t>政府采购活动。提供虚假承诺的供应商将以虚假资料谋取中标（成交）的违法行</w:t>
      </w:r>
      <w:r>
        <w:rPr>
          <w:rFonts w:hint="eastAsia" w:ascii="宋体" w:hAnsi="宋体" w:eastAsia="宋体" w:cs="宋体"/>
          <w:color w:val="auto"/>
          <w:sz w:val="22"/>
          <w:szCs w:val="22"/>
          <w:highlight w:val="none"/>
        </w:rPr>
        <w:t>为，被列入</w:t>
      </w:r>
      <w:r>
        <w:rPr>
          <w:rFonts w:hint="eastAsia" w:ascii="宋体" w:hAnsi="宋体" w:eastAsia="宋体" w:cs="宋体"/>
          <w:color w:val="auto"/>
          <w:spacing w:val="-2"/>
          <w:sz w:val="22"/>
          <w:szCs w:val="22"/>
          <w:highlight w:val="none"/>
        </w:rPr>
        <w:t>不良记录名单。</w:t>
      </w:r>
    </w:p>
    <w:p w14:paraId="785AB3CD">
      <w:pPr>
        <w:pStyle w:val="12"/>
        <w:spacing w:line="279" w:lineRule="auto"/>
        <w:outlineLvl w:val="9"/>
        <w:rPr>
          <w:rFonts w:hint="eastAsia" w:ascii="宋体" w:hAnsi="宋体" w:eastAsia="宋体" w:cs="宋体"/>
          <w:color w:val="auto"/>
          <w:highlight w:val="none"/>
        </w:rPr>
      </w:pPr>
    </w:p>
    <w:p w14:paraId="4AB0C166">
      <w:pPr>
        <w:pStyle w:val="12"/>
        <w:spacing w:line="280" w:lineRule="auto"/>
        <w:outlineLvl w:val="9"/>
        <w:rPr>
          <w:rFonts w:hint="eastAsia" w:ascii="宋体" w:hAnsi="宋体" w:eastAsia="宋体" w:cs="宋体"/>
          <w:color w:val="auto"/>
          <w:highlight w:val="none"/>
        </w:rPr>
      </w:pPr>
    </w:p>
    <w:p w14:paraId="79F83EB1">
      <w:pPr>
        <w:pStyle w:val="12"/>
        <w:spacing w:line="280" w:lineRule="auto"/>
        <w:outlineLvl w:val="9"/>
        <w:rPr>
          <w:rFonts w:hint="eastAsia" w:ascii="宋体" w:hAnsi="宋体" w:eastAsia="宋体" w:cs="宋体"/>
          <w:color w:val="auto"/>
          <w:highlight w:val="none"/>
        </w:rPr>
      </w:pPr>
    </w:p>
    <w:p w14:paraId="438A07EF">
      <w:pPr>
        <w:ind w:firstLine="552"/>
        <w:outlineLvl w:val="9"/>
        <w:rPr>
          <w:rFonts w:hint="eastAsia" w:ascii="宋体" w:hAnsi="宋体" w:eastAsia="宋体" w:cs="宋体"/>
          <w:color w:val="auto"/>
          <w:spacing w:val="-12"/>
          <w:sz w:val="30"/>
          <w:szCs w:val="30"/>
          <w:highlight w:val="none"/>
        </w:rPr>
      </w:pPr>
      <w:r>
        <w:rPr>
          <w:rFonts w:hint="eastAsia" w:ascii="宋体" w:hAnsi="宋体" w:eastAsia="宋体" w:cs="宋体"/>
          <w:color w:val="auto"/>
          <w:spacing w:val="-12"/>
          <w:sz w:val="30"/>
          <w:szCs w:val="30"/>
          <w:highlight w:val="none"/>
        </w:rPr>
        <w:br w:type="page"/>
      </w:r>
    </w:p>
    <w:p w14:paraId="215F2A93">
      <w:pPr>
        <w:spacing w:before="135" w:line="219" w:lineRule="auto"/>
        <w:ind w:left="24" w:firstLine="552"/>
        <w:outlineLvl w:val="9"/>
        <w:rPr>
          <w:rFonts w:hint="eastAsia" w:ascii="宋体" w:hAnsi="宋体" w:eastAsia="宋体" w:cs="宋体"/>
          <w:color w:val="auto"/>
          <w:sz w:val="30"/>
          <w:szCs w:val="30"/>
          <w:highlight w:val="none"/>
        </w:rPr>
      </w:pPr>
      <w:r>
        <w:rPr>
          <w:rFonts w:hint="eastAsia" w:ascii="宋体" w:hAnsi="宋体" w:eastAsia="宋体" w:cs="宋体"/>
          <w:color w:val="auto"/>
          <w:spacing w:val="-12"/>
          <w:sz w:val="30"/>
          <w:szCs w:val="30"/>
          <w:highlight w:val="none"/>
        </w:rPr>
        <w:t>附件</w:t>
      </w:r>
      <w:r>
        <w:rPr>
          <w:rFonts w:hint="eastAsia" w:ascii="宋体" w:hAnsi="宋体" w:eastAsia="宋体" w:cs="宋体"/>
          <w:color w:val="auto"/>
          <w:spacing w:val="-57"/>
          <w:sz w:val="30"/>
          <w:szCs w:val="30"/>
          <w:highlight w:val="none"/>
        </w:rPr>
        <w:t>5</w:t>
      </w:r>
    </w:p>
    <w:p w14:paraId="5AF11F92">
      <w:pPr>
        <w:spacing w:before="125" w:line="219" w:lineRule="auto"/>
        <w:ind w:left="1871" w:firstLine="596"/>
        <w:outlineLvl w:val="9"/>
        <w:rPr>
          <w:rFonts w:hint="eastAsia" w:ascii="宋体" w:hAnsi="宋体" w:eastAsia="宋体" w:cs="宋体"/>
          <w:color w:val="auto"/>
          <w:sz w:val="30"/>
          <w:szCs w:val="30"/>
          <w:highlight w:val="none"/>
        </w:rPr>
      </w:pPr>
      <w:r>
        <w:rPr>
          <w:rFonts w:hint="eastAsia" w:ascii="宋体" w:hAnsi="宋体" w:eastAsia="宋体" w:cs="宋体"/>
          <w:color w:val="auto"/>
          <w:spacing w:val="-1"/>
          <w:sz w:val="30"/>
          <w:szCs w:val="30"/>
          <w:highlight w:val="none"/>
        </w:rPr>
        <w:t>磋商文件规定的特定资格条件证明资料</w:t>
      </w:r>
    </w:p>
    <w:p w14:paraId="6F54F988">
      <w:pPr>
        <w:pStyle w:val="12"/>
        <w:spacing w:line="306" w:lineRule="auto"/>
        <w:outlineLvl w:val="9"/>
        <w:rPr>
          <w:rFonts w:hint="eastAsia" w:ascii="宋体" w:hAnsi="宋体" w:eastAsia="宋体" w:cs="宋体"/>
          <w:color w:val="auto"/>
          <w:highlight w:val="none"/>
        </w:rPr>
      </w:pPr>
    </w:p>
    <w:p w14:paraId="29F5B9EA">
      <w:pPr>
        <w:pStyle w:val="12"/>
        <w:spacing w:line="306" w:lineRule="auto"/>
        <w:outlineLvl w:val="9"/>
        <w:rPr>
          <w:rFonts w:hint="eastAsia" w:ascii="宋体" w:hAnsi="宋体" w:eastAsia="宋体" w:cs="宋体"/>
          <w:color w:val="auto"/>
          <w:highlight w:val="none"/>
        </w:rPr>
      </w:pPr>
    </w:p>
    <w:p w14:paraId="52EA01E0">
      <w:pPr>
        <w:spacing w:before="65" w:line="227" w:lineRule="auto"/>
        <w:ind w:firstLine="432"/>
        <w:outlineLvl w:val="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备注：提供第二章 磋商须知第</w:t>
      </w:r>
      <w:r>
        <w:rPr>
          <w:rFonts w:hint="eastAsia" w:ascii="宋体" w:hAnsi="宋体" w:eastAsia="宋体" w:cs="宋体"/>
          <w:color w:val="auto"/>
          <w:spacing w:val="-29"/>
          <w:sz w:val="20"/>
          <w:szCs w:val="20"/>
          <w:highlight w:val="none"/>
        </w:rPr>
        <w:t xml:space="preserve"> </w:t>
      </w:r>
      <w:r>
        <w:rPr>
          <w:rFonts w:hint="eastAsia" w:ascii="宋体" w:hAnsi="宋体" w:eastAsia="宋体" w:cs="宋体"/>
          <w:color w:val="auto"/>
          <w:spacing w:val="8"/>
          <w:sz w:val="20"/>
          <w:szCs w:val="20"/>
          <w:highlight w:val="none"/>
        </w:rPr>
        <w:t>3.1</w:t>
      </w:r>
      <w:r>
        <w:rPr>
          <w:rFonts w:hint="eastAsia" w:ascii="宋体" w:hAnsi="宋体" w:eastAsia="宋体" w:cs="宋体"/>
          <w:color w:val="auto"/>
          <w:spacing w:val="-39"/>
          <w:sz w:val="20"/>
          <w:szCs w:val="20"/>
          <w:highlight w:val="none"/>
        </w:rPr>
        <w:t xml:space="preserve"> </w:t>
      </w:r>
      <w:r>
        <w:rPr>
          <w:rFonts w:hint="eastAsia" w:ascii="宋体" w:hAnsi="宋体" w:eastAsia="宋体" w:cs="宋体"/>
          <w:color w:val="auto"/>
          <w:spacing w:val="8"/>
          <w:sz w:val="20"/>
          <w:szCs w:val="20"/>
          <w:highlight w:val="none"/>
        </w:rPr>
        <w:t>款供应商特定资格条件证明资料的复印件。</w:t>
      </w:r>
    </w:p>
    <w:p w14:paraId="7656CD3B">
      <w:pPr>
        <w:spacing w:line="227" w:lineRule="auto"/>
        <w:ind w:firstLine="400"/>
        <w:outlineLvl w:val="9"/>
        <w:rPr>
          <w:rFonts w:hint="eastAsia" w:ascii="宋体" w:hAnsi="宋体" w:eastAsia="宋体" w:cs="宋体"/>
          <w:color w:val="auto"/>
          <w:sz w:val="20"/>
          <w:szCs w:val="20"/>
          <w:highlight w:val="none"/>
        </w:rPr>
        <w:sectPr>
          <w:footerReference r:id="rId11" w:type="default"/>
          <w:pgSz w:w="11906" w:h="16839"/>
          <w:pgMar w:top="1440" w:right="1800" w:bottom="1440" w:left="1800" w:header="0" w:footer="994" w:gutter="0"/>
          <w:pgNumType w:fmt="decimal"/>
          <w:cols w:space="720" w:num="1"/>
        </w:sectPr>
      </w:pPr>
    </w:p>
    <w:p w14:paraId="7B0C4EFC">
      <w:pPr>
        <w:spacing w:before="135" w:line="219" w:lineRule="auto"/>
        <w:ind w:left="26" w:firstLine="552"/>
        <w:outlineLvl w:val="9"/>
        <w:rPr>
          <w:rFonts w:hint="eastAsia" w:ascii="宋体" w:hAnsi="宋体" w:eastAsia="宋体" w:cs="宋体"/>
          <w:color w:val="auto"/>
          <w:sz w:val="30"/>
          <w:szCs w:val="30"/>
          <w:highlight w:val="none"/>
        </w:rPr>
      </w:pPr>
      <w:r>
        <w:rPr>
          <w:rFonts w:hint="eastAsia" w:ascii="宋体" w:hAnsi="宋体" w:eastAsia="宋体" w:cs="宋体"/>
          <w:color w:val="auto"/>
          <w:spacing w:val="-12"/>
          <w:sz w:val="30"/>
          <w:szCs w:val="30"/>
          <w:highlight w:val="none"/>
        </w:rPr>
        <w:t>附件</w:t>
      </w:r>
      <w:r>
        <w:rPr>
          <w:rFonts w:hint="eastAsia" w:ascii="宋体" w:hAnsi="宋体" w:eastAsia="宋体" w:cs="宋体"/>
          <w:color w:val="auto"/>
          <w:spacing w:val="-63"/>
          <w:sz w:val="30"/>
          <w:szCs w:val="30"/>
          <w:highlight w:val="none"/>
        </w:rPr>
        <w:t xml:space="preserve"> </w:t>
      </w:r>
      <w:r>
        <w:rPr>
          <w:rFonts w:hint="eastAsia" w:ascii="宋体" w:hAnsi="宋体" w:eastAsia="宋体" w:cs="宋体"/>
          <w:color w:val="auto"/>
          <w:spacing w:val="-12"/>
          <w:sz w:val="30"/>
          <w:szCs w:val="30"/>
          <w:highlight w:val="none"/>
        </w:rPr>
        <w:t>6</w:t>
      </w:r>
    </w:p>
    <w:p w14:paraId="223F11CF">
      <w:pPr>
        <w:spacing w:before="125" w:line="219" w:lineRule="auto"/>
        <w:ind w:left="3003" w:firstLine="592"/>
        <w:outlineLvl w:val="9"/>
        <w:rPr>
          <w:rFonts w:hint="eastAsia" w:ascii="宋体" w:hAnsi="宋体" w:eastAsia="宋体" w:cs="宋体"/>
          <w:color w:val="auto"/>
          <w:sz w:val="30"/>
          <w:szCs w:val="30"/>
          <w:highlight w:val="none"/>
        </w:rPr>
      </w:pPr>
      <w:r>
        <w:rPr>
          <w:rFonts w:hint="eastAsia" w:ascii="宋体" w:hAnsi="宋体" w:eastAsia="宋体" w:cs="宋体"/>
          <w:color w:val="auto"/>
          <w:spacing w:val="-2"/>
          <w:sz w:val="30"/>
          <w:szCs w:val="30"/>
          <w:highlight w:val="none"/>
        </w:rPr>
        <w:t>其他证明资料或说明</w:t>
      </w:r>
    </w:p>
    <w:p w14:paraId="689AFA34">
      <w:pPr>
        <w:pStyle w:val="12"/>
        <w:spacing w:line="367" w:lineRule="auto"/>
        <w:outlineLvl w:val="9"/>
        <w:rPr>
          <w:rFonts w:hint="eastAsia" w:ascii="宋体" w:hAnsi="宋体" w:eastAsia="宋体" w:cs="宋体"/>
          <w:color w:val="auto"/>
          <w:highlight w:val="none"/>
        </w:rPr>
      </w:pPr>
    </w:p>
    <w:p w14:paraId="1C7D8C16">
      <w:pPr>
        <w:spacing w:before="65" w:line="227" w:lineRule="auto"/>
        <w:ind w:firstLine="436"/>
        <w:outlineLvl w:val="9"/>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提供磋商文件或评分标准需要提供的相关证明文件复印件</w:t>
      </w:r>
    </w:p>
    <w:p w14:paraId="1773F0C0">
      <w:pPr>
        <w:spacing w:line="227" w:lineRule="auto"/>
        <w:ind w:firstLine="400"/>
        <w:outlineLvl w:val="9"/>
        <w:rPr>
          <w:rFonts w:hint="eastAsia" w:ascii="宋体" w:hAnsi="宋体" w:eastAsia="宋体" w:cs="宋体"/>
          <w:color w:val="auto"/>
          <w:sz w:val="20"/>
          <w:szCs w:val="20"/>
          <w:highlight w:val="none"/>
        </w:rPr>
        <w:sectPr>
          <w:footerReference r:id="rId12" w:type="default"/>
          <w:pgSz w:w="11906" w:h="16839"/>
          <w:pgMar w:top="1440" w:right="1800" w:bottom="1440" w:left="1800" w:header="0" w:footer="994" w:gutter="0"/>
          <w:pgNumType w:fmt="decimal"/>
          <w:cols w:space="720" w:num="1"/>
        </w:sectPr>
      </w:pPr>
    </w:p>
    <w:p w14:paraId="55E7B789">
      <w:pPr>
        <w:spacing w:before="135" w:line="219" w:lineRule="auto"/>
        <w:ind w:left="26" w:firstLine="552"/>
        <w:outlineLvl w:val="9"/>
        <w:rPr>
          <w:rFonts w:hint="eastAsia" w:ascii="宋体" w:hAnsi="宋体" w:eastAsia="宋体" w:cs="宋体"/>
          <w:color w:val="auto"/>
          <w:sz w:val="30"/>
          <w:szCs w:val="30"/>
          <w:highlight w:val="none"/>
        </w:rPr>
      </w:pPr>
      <w:r>
        <w:rPr>
          <w:rFonts w:hint="eastAsia" w:ascii="宋体" w:hAnsi="宋体" w:eastAsia="宋体" w:cs="宋体"/>
          <w:color w:val="auto"/>
          <w:spacing w:val="-12"/>
          <w:sz w:val="30"/>
          <w:szCs w:val="30"/>
          <w:highlight w:val="none"/>
        </w:rPr>
        <w:t>附件</w:t>
      </w:r>
      <w:r>
        <w:rPr>
          <w:rFonts w:hint="eastAsia" w:ascii="宋体" w:hAnsi="宋体" w:eastAsia="宋体" w:cs="宋体"/>
          <w:color w:val="auto"/>
          <w:spacing w:val="-63"/>
          <w:sz w:val="30"/>
          <w:szCs w:val="30"/>
          <w:highlight w:val="none"/>
        </w:rPr>
        <w:t xml:space="preserve"> </w:t>
      </w:r>
      <w:r>
        <w:rPr>
          <w:rFonts w:hint="eastAsia" w:ascii="宋体" w:hAnsi="宋体" w:eastAsia="宋体" w:cs="宋体"/>
          <w:color w:val="auto"/>
          <w:spacing w:val="-12"/>
          <w:sz w:val="30"/>
          <w:szCs w:val="30"/>
          <w:highlight w:val="none"/>
        </w:rPr>
        <w:t>7</w:t>
      </w:r>
    </w:p>
    <w:p w14:paraId="3578EF0B">
      <w:pPr>
        <w:widowControl/>
        <w:adjustRightInd w:val="0"/>
        <w:spacing w:before="228" w:after="100" w:afterAutospacing="1" w:line="360" w:lineRule="auto"/>
        <w:ind w:left="456" w:firstLine="560"/>
        <w:jc w:val="center"/>
        <w:outlineLvl w:val="9"/>
        <w:rPr>
          <w:rFonts w:hint="eastAsia" w:ascii="微软雅黑" w:hAnsi="微软雅黑" w:eastAsia="微软雅黑" w:cs="微软雅黑"/>
          <w:color w:val="auto"/>
          <w:sz w:val="28"/>
          <w:szCs w:val="28"/>
          <w:highlight w:val="none"/>
        </w:rPr>
      </w:pPr>
      <w:r>
        <w:rPr>
          <w:rFonts w:hint="eastAsia" w:ascii="微软雅黑" w:hAnsi="微软雅黑" w:eastAsia="微软雅黑" w:cs="微软雅黑"/>
          <w:b/>
          <w:color w:val="auto"/>
          <w:sz w:val="28"/>
          <w:szCs w:val="28"/>
          <w:highlight w:val="none"/>
        </w:rPr>
        <w:t>供应商资格声明(格式)</w:t>
      </w:r>
    </w:p>
    <w:p w14:paraId="7B773E87">
      <w:pPr>
        <w:widowControl/>
        <w:spacing w:before="50" w:after="100" w:line="360" w:lineRule="auto"/>
        <w:ind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(采购人、采购代理机构)：</w:t>
      </w:r>
    </w:p>
    <w:p w14:paraId="28A6B077">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按照《中华人民共和国政府采购法》及实施条例和</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(项目名称)邀请公告的规定，我单位郑重声明如下：</w:t>
      </w:r>
    </w:p>
    <w:p w14:paraId="1DCC7C9B">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一、我单位是按照中华人民共和国法律规定登记注册的，注册地点为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，统一社会信用代码为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，法定代表人（单位负责人）为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 xml:space="preserve"> ，具有独立承担民事责任的能力。</w:t>
      </w:r>
    </w:p>
    <w:p w14:paraId="48D502B3">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二、我单位具有良好的商业信誉和健全的财务会计制度。</w:t>
      </w:r>
    </w:p>
    <w:p w14:paraId="2ED5764E">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三、我单位依法进行纳税和社会保险申报并实际履行了义务。</w:t>
      </w:r>
    </w:p>
    <w:p w14:paraId="4E2849AE">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四、我单位具有履行本项目采购合同所必需的设备和专业技术能力，并具有履行合同的良好记录。</w:t>
      </w:r>
    </w:p>
    <w:p w14:paraId="7A9F6CA7">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511837B5">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供应商在参加政府采购活动前3年内因违法经营被禁止在一定期限内参加政府采购活动，期限届满的，可以参加政府采购活动。</w:t>
      </w:r>
    </w:p>
    <w:p w14:paraId="291DEA1B">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六、我单位具备法律、行政法规规定的其他条件。</w:t>
      </w:r>
    </w:p>
    <w:p w14:paraId="7BAACEFE">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七、与我单位存在“单位负责人为同一人或者存在直接控股、管理关系”的其他单位信息如下（如无，填写“无”）：</w:t>
      </w:r>
    </w:p>
    <w:p w14:paraId="62D3E786">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1、与我单位的法定代表人（单位负责人）为同一人的其他单位如下：</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 xml:space="preserve">            </w:t>
      </w:r>
    </w:p>
    <w:p w14:paraId="7665E641">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2、我单位直接控股的其他单位如下：</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 xml:space="preserve">       </w:t>
      </w:r>
    </w:p>
    <w:p w14:paraId="3E3F3F01">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3、与我单位存在管理关系的其他单位如下：</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 xml:space="preserve">     </w:t>
      </w:r>
    </w:p>
    <w:p w14:paraId="1B60D8B7">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八、我单位不属于为本项目提供整体设计、规范编制或者项目管理、监理、检测等服务的供应商。</w:t>
      </w:r>
    </w:p>
    <w:p w14:paraId="6D66A5AA">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九、我单位无以下不良信用记录情形：</w:t>
      </w:r>
    </w:p>
    <w:p w14:paraId="15EE6C03">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1、在“信用中国”网站被列入失信被执行人和重大税收违法案件当事人名单；</w:t>
      </w:r>
    </w:p>
    <w:p w14:paraId="76B26F4D">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2、在“中国湖南政府采购网”网站被列入政府采购严重违法失信行为记录名单；</w:t>
      </w:r>
    </w:p>
    <w:p w14:paraId="3664D05D">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3、不符合《政府采购法》第二十二条规定的条件。</w:t>
      </w:r>
    </w:p>
    <w:p w14:paraId="549A4F22">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我单位保证上述声明的事项都是真实的，如有虚假，我单位愿意承担相应的法律责任，并承担因此所造成的一切损失。</w:t>
      </w:r>
    </w:p>
    <w:p w14:paraId="3EDAB2E7">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注：第三条“良好的商业信誉”是指供应商经营状况良好，无本承诺函第九条情形。</w:t>
      </w:r>
    </w:p>
    <w:p w14:paraId="670E22CE">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p>
    <w:p w14:paraId="245A1F57">
      <w:pPr>
        <w:widowControl/>
        <w:spacing w:before="50" w:after="100" w:line="360" w:lineRule="auto"/>
        <w:ind w:left="152" w:firstLine="480"/>
        <w:jc w:val="left"/>
        <w:outlineLvl w:val="9"/>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供应商名称（盖单位公章）：</w:t>
      </w:r>
      <w:r>
        <w:rPr>
          <w:rFonts w:hint="eastAsia" w:ascii="宋体" w:hAnsi="宋体" w:eastAsia="宋体" w:cs="宋体"/>
          <w:color w:val="auto"/>
          <w:kern w:val="0"/>
          <w:sz w:val="24"/>
          <w:highlight w:val="none"/>
          <w:u w:val="single"/>
        </w:rPr>
        <w:t xml:space="preserve">         </w:t>
      </w:r>
    </w:p>
    <w:p w14:paraId="307112AA">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法定代表人（单位负责人）或委托代理人：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（签字或印章）</w:t>
      </w:r>
    </w:p>
    <w:p w14:paraId="7CE5D739">
      <w:pPr>
        <w:widowControl/>
        <w:spacing w:before="50" w:after="100" w:line="360" w:lineRule="auto"/>
        <w:ind w:left="152"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日期：</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 xml:space="preserve"> 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w:t>
      </w:r>
    </w:p>
    <w:p w14:paraId="187EB340">
      <w:pPr>
        <w:pStyle w:val="2"/>
        <w:outlineLvl w:val="9"/>
        <w:rPr>
          <w:color w:val="auto"/>
          <w:highlight w:val="none"/>
        </w:rPr>
        <w:sectPr>
          <w:pgSz w:w="11906" w:h="16839"/>
          <w:pgMar w:top="1440" w:right="1800" w:bottom="1440" w:left="1800" w:header="0" w:footer="994" w:gutter="0"/>
          <w:pgNumType w:fmt="decimal"/>
          <w:cols w:space="720" w:num="1"/>
        </w:sectPr>
      </w:pPr>
    </w:p>
    <w:p w14:paraId="4FAF565F">
      <w:pPr>
        <w:spacing w:before="63" w:line="224" w:lineRule="auto"/>
        <w:ind w:firstLine="630"/>
        <w:jc w:val="center"/>
        <w:outlineLvl w:val="9"/>
        <w:rPr>
          <w:rFonts w:hint="eastAsia" w:ascii="宋体" w:hAnsi="宋体" w:eastAsia="宋体" w:cs="宋体"/>
          <w:b/>
          <w:bCs/>
          <w:color w:val="auto"/>
          <w:spacing w:val="7"/>
          <w:sz w:val="30"/>
          <w:szCs w:val="30"/>
          <w:highlight w:val="none"/>
        </w:rPr>
      </w:pPr>
      <w:r>
        <w:rPr>
          <w:rFonts w:hint="eastAsia" w:ascii="宋体" w:hAnsi="宋体" w:eastAsia="宋体" w:cs="宋体"/>
          <w:b/>
          <w:bCs/>
          <w:color w:val="auto"/>
          <w:spacing w:val="7"/>
          <w:sz w:val="30"/>
          <w:szCs w:val="30"/>
          <w:highlight w:val="none"/>
        </w:rPr>
        <w:t>四、技术方案</w:t>
      </w:r>
    </w:p>
    <w:p w14:paraId="1491563A">
      <w:pPr>
        <w:pStyle w:val="12"/>
        <w:spacing w:line="450" w:lineRule="auto"/>
        <w:outlineLvl w:val="9"/>
        <w:rPr>
          <w:rFonts w:hint="eastAsia" w:ascii="宋体" w:hAnsi="宋体" w:eastAsia="宋体" w:cs="宋体"/>
          <w:color w:val="auto"/>
          <w:highlight w:val="none"/>
        </w:rPr>
      </w:pPr>
    </w:p>
    <w:p w14:paraId="3D3C90CE">
      <w:pPr>
        <w:spacing w:before="65" w:line="227" w:lineRule="auto"/>
        <w:jc w:val="both"/>
        <w:outlineLvl w:val="9"/>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说明：工程类项目供应商应技术方案</w:t>
      </w:r>
      <w:r>
        <w:rPr>
          <w:rFonts w:hint="eastAsia" w:ascii="宋体" w:hAnsi="宋体" w:eastAsia="宋体" w:cs="宋体"/>
          <w:color w:val="auto"/>
          <w:spacing w:val="-17"/>
          <w:sz w:val="20"/>
          <w:szCs w:val="20"/>
          <w:highlight w:val="none"/>
        </w:rPr>
        <w:t>，（</w:t>
      </w:r>
      <w:r>
        <w:rPr>
          <w:rFonts w:hint="eastAsia" w:ascii="宋体" w:hAnsi="宋体" w:eastAsia="宋体" w:cs="宋体"/>
          <w:color w:val="auto"/>
          <w:spacing w:val="9"/>
          <w:sz w:val="20"/>
          <w:szCs w:val="20"/>
          <w:highlight w:val="none"/>
        </w:rPr>
        <w:t>根据项目情况及评分细则自行编制）</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内容格式自拟。</w:t>
      </w:r>
    </w:p>
    <w:p w14:paraId="578C066D">
      <w:pPr>
        <w:spacing w:line="227" w:lineRule="auto"/>
        <w:ind w:firstLine="400"/>
        <w:outlineLvl w:val="9"/>
        <w:rPr>
          <w:rFonts w:hint="eastAsia" w:ascii="宋体" w:hAnsi="宋体" w:eastAsia="宋体" w:cs="宋体"/>
          <w:color w:val="auto"/>
          <w:sz w:val="20"/>
          <w:szCs w:val="20"/>
          <w:highlight w:val="none"/>
        </w:rPr>
        <w:sectPr>
          <w:footerReference r:id="rId13" w:type="default"/>
          <w:pgSz w:w="11906" w:h="16839"/>
          <w:pgMar w:top="1440" w:right="1800" w:bottom="1440" w:left="1800" w:header="0" w:footer="994" w:gutter="0"/>
          <w:pgNumType w:fmt="decimal"/>
          <w:cols w:space="720" w:num="1"/>
        </w:sectPr>
      </w:pPr>
    </w:p>
    <w:p w14:paraId="31DF6A67">
      <w:pPr>
        <w:spacing w:before="59" w:line="219" w:lineRule="auto"/>
        <w:ind w:left="49" w:firstLine="552"/>
        <w:outlineLvl w:val="9"/>
        <w:rPr>
          <w:rFonts w:hint="eastAsia" w:ascii="宋体" w:hAnsi="宋体" w:eastAsia="宋体" w:cs="宋体"/>
          <w:color w:val="auto"/>
          <w:highlight w:val="none"/>
        </w:rPr>
      </w:pPr>
      <w:r>
        <w:rPr>
          <w:rFonts w:hint="eastAsia" w:ascii="宋体" w:hAnsi="宋体" w:eastAsia="宋体" w:cs="宋体"/>
          <w:color w:val="auto"/>
          <w:spacing w:val="-12"/>
          <w:sz w:val="30"/>
          <w:szCs w:val="30"/>
          <w:highlight w:val="none"/>
        </w:rPr>
        <w:t>附件</w:t>
      </w:r>
      <w:r>
        <w:rPr>
          <w:rFonts w:hint="eastAsia" w:ascii="宋体" w:hAnsi="宋体" w:eastAsia="宋体" w:cs="宋体"/>
          <w:color w:val="auto"/>
          <w:spacing w:val="-63"/>
          <w:sz w:val="30"/>
          <w:szCs w:val="30"/>
          <w:highlight w:val="none"/>
        </w:rPr>
        <w:t>8</w:t>
      </w:r>
      <w:r>
        <w:rPr>
          <w:rFonts w:hint="eastAsia" w:ascii="宋体" w:hAnsi="宋体" w:eastAsia="宋体" w:cs="宋体"/>
          <w:color w:val="auto"/>
          <w:spacing w:val="-12"/>
          <w:sz w:val="30"/>
          <w:szCs w:val="30"/>
          <w:highlight w:val="none"/>
        </w:rPr>
        <w:t>：</w:t>
      </w:r>
    </w:p>
    <w:p w14:paraId="6301ACFC">
      <w:pPr>
        <w:spacing w:before="98" w:line="219" w:lineRule="auto"/>
        <w:ind w:left="2500" w:firstLine="592"/>
        <w:outlineLvl w:val="9"/>
        <w:rPr>
          <w:rFonts w:hint="eastAsia" w:ascii="宋体" w:hAnsi="宋体" w:eastAsia="宋体" w:cs="宋体"/>
          <w:color w:val="auto"/>
          <w:highlight w:val="none"/>
        </w:rPr>
      </w:pPr>
      <w:r>
        <w:rPr>
          <w:rFonts w:hint="eastAsia" w:ascii="宋体" w:hAnsi="宋体" w:eastAsia="宋体" w:cs="宋体"/>
          <w:color w:val="auto"/>
          <w:spacing w:val="-2"/>
          <w:sz w:val="30"/>
          <w:szCs w:val="30"/>
          <w:highlight w:val="none"/>
        </w:rPr>
        <w:t>主要人员简历表(工程类适用)</w:t>
      </w:r>
    </w:p>
    <w:p w14:paraId="525628E5">
      <w:pPr>
        <w:spacing w:before="69"/>
        <w:outlineLvl w:val="9"/>
        <w:rPr>
          <w:rFonts w:hint="eastAsia" w:ascii="宋体" w:hAnsi="宋体" w:eastAsia="宋体" w:cs="宋体"/>
          <w:color w:val="auto"/>
          <w:highlight w:val="none"/>
        </w:rPr>
      </w:pPr>
    </w:p>
    <w:tbl>
      <w:tblPr>
        <w:tblStyle w:val="102"/>
        <w:tblW w:w="8526"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4"/>
        <w:gridCol w:w="771"/>
        <w:gridCol w:w="2466"/>
        <w:gridCol w:w="396"/>
        <w:gridCol w:w="1403"/>
        <w:gridCol w:w="540"/>
        <w:gridCol w:w="1676"/>
      </w:tblGrid>
      <w:tr w14:paraId="40B04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2045" w:type="dxa"/>
            <w:gridSpan w:val="2"/>
            <w:tcBorders>
              <w:top w:val="single" w:color="000000" w:sz="2" w:space="0"/>
              <w:left w:val="single" w:color="000000" w:sz="2" w:space="0"/>
            </w:tcBorders>
          </w:tcPr>
          <w:p w14:paraId="4E6BC1DE">
            <w:pPr>
              <w:pStyle w:val="101"/>
              <w:spacing w:before="292" w:line="228" w:lineRule="auto"/>
              <w:jc w:val="center"/>
              <w:outlineLvl w:val="9"/>
              <w:rPr>
                <w:rFonts w:hint="eastAsia"/>
                <w:color w:val="auto"/>
                <w:highlight w:val="none"/>
              </w:rPr>
            </w:pPr>
            <w:r>
              <w:rPr>
                <w:rFonts w:hint="eastAsia"/>
                <w:color w:val="auto"/>
                <w:highlight w:val="none"/>
              </w:rPr>
              <w:t>姓</w:t>
            </w:r>
            <w:r>
              <w:rPr>
                <w:rFonts w:hint="eastAsia"/>
                <w:color w:val="auto"/>
                <w:spacing w:val="9"/>
                <w:highlight w:val="none"/>
              </w:rPr>
              <w:t xml:space="preserve">   </w:t>
            </w:r>
            <w:r>
              <w:rPr>
                <w:rFonts w:hint="eastAsia"/>
                <w:color w:val="auto"/>
                <w:highlight w:val="none"/>
              </w:rPr>
              <w:t>名</w:t>
            </w:r>
          </w:p>
        </w:tc>
        <w:tc>
          <w:tcPr>
            <w:tcW w:w="2466" w:type="dxa"/>
            <w:tcBorders>
              <w:top w:val="single" w:color="000000" w:sz="2" w:space="0"/>
            </w:tcBorders>
          </w:tcPr>
          <w:p w14:paraId="16F931F9">
            <w:pPr>
              <w:jc w:val="center"/>
              <w:outlineLvl w:val="9"/>
              <w:rPr>
                <w:rFonts w:hint="eastAsia" w:ascii="宋体" w:hAnsi="宋体" w:eastAsia="宋体" w:cs="宋体"/>
                <w:color w:val="auto"/>
                <w:highlight w:val="none"/>
              </w:rPr>
            </w:pPr>
          </w:p>
        </w:tc>
        <w:tc>
          <w:tcPr>
            <w:tcW w:w="2339" w:type="dxa"/>
            <w:gridSpan w:val="3"/>
            <w:tcBorders>
              <w:top w:val="single" w:color="000000" w:sz="2" w:space="0"/>
            </w:tcBorders>
          </w:tcPr>
          <w:p w14:paraId="70FEEC81">
            <w:pPr>
              <w:pStyle w:val="101"/>
              <w:spacing w:before="293" w:line="228" w:lineRule="auto"/>
              <w:jc w:val="center"/>
              <w:outlineLvl w:val="9"/>
              <w:rPr>
                <w:rFonts w:hint="eastAsia"/>
                <w:color w:val="auto"/>
                <w:highlight w:val="none"/>
              </w:rPr>
            </w:pPr>
            <w:r>
              <w:rPr>
                <w:rFonts w:hint="eastAsia"/>
                <w:color w:val="auto"/>
                <w:spacing w:val="-1"/>
                <w:highlight w:val="none"/>
              </w:rPr>
              <w:t>性</w:t>
            </w:r>
            <w:r>
              <w:rPr>
                <w:rFonts w:hint="eastAsia"/>
                <w:color w:val="auto"/>
                <w:spacing w:val="10"/>
                <w:highlight w:val="none"/>
              </w:rPr>
              <w:t xml:space="preserve">  </w:t>
            </w:r>
            <w:r>
              <w:rPr>
                <w:rFonts w:hint="eastAsia"/>
                <w:color w:val="auto"/>
                <w:spacing w:val="-1"/>
                <w:highlight w:val="none"/>
              </w:rPr>
              <w:t>别</w:t>
            </w:r>
          </w:p>
        </w:tc>
        <w:tc>
          <w:tcPr>
            <w:tcW w:w="1676" w:type="dxa"/>
            <w:tcBorders>
              <w:top w:val="single" w:color="000000" w:sz="2" w:space="0"/>
              <w:right w:val="single" w:color="000000" w:sz="2" w:space="0"/>
            </w:tcBorders>
          </w:tcPr>
          <w:p w14:paraId="7EC402E7">
            <w:pPr>
              <w:jc w:val="center"/>
              <w:outlineLvl w:val="9"/>
              <w:rPr>
                <w:rFonts w:hint="eastAsia" w:ascii="宋体" w:hAnsi="宋体" w:eastAsia="宋体" w:cs="宋体"/>
                <w:color w:val="auto"/>
                <w:highlight w:val="none"/>
              </w:rPr>
            </w:pPr>
          </w:p>
        </w:tc>
      </w:tr>
      <w:tr w14:paraId="7DC70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2045" w:type="dxa"/>
            <w:gridSpan w:val="2"/>
            <w:tcBorders>
              <w:left w:val="single" w:color="000000" w:sz="2" w:space="0"/>
            </w:tcBorders>
          </w:tcPr>
          <w:p w14:paraId="451812B4">
            <w:pPr>
              <w:pStyle w:val="101"/>
              <w:spacing w:before="235" w:line="228" w:lineRule="auto"/>
              <w:jc w:val="center"/>
              <w:outlineLvl w:val="9"/>
              <w:rPr>
                <w:rFonts w:hint="eastAsia"/>
                <w:color w:val="auto"/>
                <w:highlight w:val="none"/>
              </w:rPr>
            </w:pPr>
            <w:r>
              <w:rPr>
                <w:rFonts w:hint="eastAsia"/>
                <w:color w:val="auto"/>
                <w:highlight w:val="none"/>
              </w:rPr>
              <w:t>职</w:t>
            </w:r>
            <w:r>
              <w:rPr>
                <w:rFonts w:hint="eastAsia"/>
                <w:color w:val="auto"/>
                <w:spacing w:val="8"/>
                <w:highlight w:val="none"/>
              </w:rPr>
              <w:t xml:space="preserve">   </w:t>
            </w:r>
            <w:r>
              <w:rPr>
                <w:rFonts w:hint="eastAsia"/>
                <w:color w:val="auto"/>
                <w:highlight w:val="none"/>
              </w:rPr>
              <w:t>务</w:t>
            </w:r>
          </w:p>
        </w:tc>
        <w:tc>
          <w:tcPr>
            <w:tcW w:w="2466" w:type="dxa"/>
          </w:tcPr>
          <w:p w14:paraId="47925643">
            <w:pPr>
              <w:jc w:val="center"/>
              <w:outlineLvl w:val="9"/>
              <w:rPr>
                <w:rFonts w:hint="eastAsia" w:ascii="宋体" w:hAnsi="宋体" w:eastAsia="宋体" w:cs="宋体"/>
                <w:color w:val="auto"/>
                <w:highlight w:val="none"/>
              </w:rPr>
            </w:pPr>
          </w:p>
        </w:tc>
        <w:tc>
          <w:tcPr>
            <w:tcW w:w="2339" w:type="dxa"/>
            <w:gridSpan w:val="3"/>
          </w:tcPr>
          <w:p w14:paraId="54041E22">
            <w:pPr>
              <w:pStyle w:val="101"/>
              <w:spacing w:before="235" w:line="230" w:lineRule="auto"/>
              <w:jc w:val="center"/>
              <w:outlineLvl w:val="9"/>
              <w:rPr>
                <w:rFonts w:hint="eastAsia"/>
                <w:color w:val="auto"/>
                <w:highlight w:val="none"/>
              </w:rPr>
            </w:pPr>
            <w:r>
              <w:rPr>
                <w:rFonts w:hint="eastAsia"/>
                <w:color w:val="auto"/>
                <w:highlight w:val="none"/>
              </w:rPr>
              <w:t>职</w:t>
            </w:r>
            <w:r>
              <w:rPr>
                <w:rFonts w:hint="eastAsia"/>
                <w:color w:val="auto"/>
                <w:spacing w:val="9"/>
                <w:highlight w:val="none"/>
              </w:rPr>
              <w:t xml:space="preserve">  </w:t>
            </w:r>
            <w:r>
              <w:rPr>
                <w:rFonts w:hint="eastAsia"/>
                <w:color w:val="auto"/>
                <w:highlight w:val="none"/>
              </w:rPr>
              <w:t>称</w:t>
            </w:r>
          </w:p>
        </w:tc>
        <w:tc>
          <w:tcPr>
            <w:tcW w:w="1676" w:type="dxa"/>
            <w:tcBorders>
              <w:right w:val="single" w:color="000000" w:sz="2" w:space="0"/>
            </w:tcBorders>
          </w:tcPr>
          <w:p w14:paraId="3D04D75E">
            <w:pPr>
              <w:jc w:val="center"/>
              <w:outlineLvl w:val="9"/>
              <w:rPr>
                <w:rFonts w:hint="eastAsia" w:ascii="宋体" w:hAnsi="宋体" w:eastAsia="宋体" w:cs="宋体"/>
                <w:color w:val="auto"/>
                <w:highlight w:val="none"/>
              </w:rPr>
            </w:pPr>
          </w:p>
        </w:tc>
      </w:tr>
      <w:tr w14:paraId="52010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2045" w:type="dxa"/>
            <w:gridSpan w:val="2"/>
            <w:tcBorders>
              <w:left w:val="single" w:color="000000" w:sz="2" w:space="0"/>
            </w:tcBorders>
          </w:tcPr>
          <w:p w14:paraId="56C6EB8C">
            <w:pPr>
              <w:pStyle w:val="101"/>
              <w:spacing w:before="240" w:line="228" w:lineRule="auto"/>
              <w:jc w:val="center"/>
              <w:outlineLvl w:val="9"/>
              <w:rPr>
                <w:rFonts w:hint="eastAsia"/>
                <w:color w:val="auto"/>
                <w:highlight w:val="none"/>
              </w:rPr>
            </w:pPr>
            <w:r>
              <w:rPr>
                <w:rFonts w:hint="eastAsia"/>
                <w:color w:val="auto"/>
                <w:spacing w:val="8"/>
                <w:highlight w:val="none"/>
              </w:rPr>
              <w:t>毕业学校、专业</w:t>
            </w:r>
          </w:p>
        </w:tc>
        <w:tc>
          <w:tcPr>
            <w:tcW w:w="6481" w:type="dxa"/>
            <w:gridSpan w:val="5"/>
            <w:tcBorders>
              <w:right w:val="single" w:color="000000" w:sz="2" w:space="0"/>
            </w:tcBorders>
          </w:tcPr>
          <w:p w14:paraId="28474A7A">
            <w:pPr>
              <w:jc w:val="center"/>
              <w:outlineLvl w:val="9"/>
              <w:rPr>
                <w:rFonts w:hint="eastAsia" w:ascii="宋体" w:hAnsi="宋体" w:eastAsia="宋体" w:cs="宋体"/>
                <w:color w:val="auto"/>
                <w:highlight w:val="none"/>
              </w:rPr>
            </w:pPr>
          </w:p>
        </w:tc>
      </w:tr>
      <w:tr w14:paraId="6AFD3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2045" w:type="dxa"/>
            <w:gridSpan w:val="2"/>
            <w:tcBorders>
              <w:left w:val="single" w:color="000000" w:sz="2" w:space="0"/>
            </w:tcBorders>
          </w:tcPr>
          <w:p w14:paraId="0C120A2F">
            <w:pPr>
              <w:spacing w:line="249" w:lineRule="auto"/>
              <w:jc w:val="center"/>
              <w:outlineLvl w:val="9"/>
              <w:rPr>
                <w:rFonts w:hint="eastAsia" w:ascii="宋体" w:hAnsi="宋体" w:eastAsia="宋体" w:cs="宋体"/>
                <w:color w:val="auto"/>
                <w:highlight w:val="none"/>
              </w:rPr>
            </w:pPr>
          </w:p>
          <w:p w14:paraId="2B1D53BD">
            <w:pPr>
              <w:pStyle w:val="101"/>
              <w:spacing w:before="65" w:line="228" w:lineRule="auto"/>
              <w:jc w:val="center"/>
              <w:outlineLvl w:val="9"/>
              <w:rPr>
                <w:rFonts w:hint="eastAsia"/>
                <w:color w:val="auto"/>
                <w:highlight w:val="none"/>
              </w:rPr>
            </w:pPr>
            <w:r>
              <w:rPr>
                <w:rFonts w:hint="eastAsia"/>
                <w:color w:val="auto"/>
                <w:spacing w:val="5"/>
                <w:highlight w:val="none"/>
              </w:rPr>
              <w:t>身份证号</w:t>
            </w:r>
          </w:p>
        </w:tc>
        <w:tc>
          <w:tcPr>
            <w:tcW w:w="2466" w:type="dxa"/>
          </w:tcPr>
          <w:p w14:paraId="1F224903">
            <w:pPr>
              <w:jc w:val="center"/>
              <w:outlineLvl w:val="9"/>
              <w:rPr>
                <w:rFonts w:hint="eastAsia" w:ascii="宋体" w:hAnsi="宋体" w:eastAsia="宋体" w:cs="宋体"/>
                <w:color w:val="auto"/>
                <w:highlight w:val="none"/>
              </w:rPr>
            </w:pPr>
          </w:p>
        </w:tc>
        <w:tc>
          <w:tcPr>
            <w:tcW w:w="2339" w:type="dxa"/>
            <w:gridSpan w:val="3"/>
          </w:tcPr>
          <w:p w14:paraId="0157B948">
            <w:pPr>
              <w:spacing w:line="249" w:lineRule="auto"/>
              <w:jc w:val="center"/>
              <w:outlineLvl w:val="9"/>
              <w:rPr>
                <w:rFonts w:hint="eastAsia" w:ascii="宋体" w:hAnsi="宋体" w:eastAsia="宋体" w:cs="宋体"/>
                <w:color w:val="auto"/>
                <w:highlight w:val="none"/>
              </w:rPr>
            </w:pPr>
          </w:p>
          <w:p w14:paraId="1D6BB3AF">
            <w:pPr>
              <w:pStyle w:val="101"/>
              <w:spacing w:before="65" w:line="227" w:lineRule="auto"/>
              <w:jc w:val="center"/>
              <w:outlineLvl w:val="9"/>
              <w:rPr>
                <w:rFonts w:hint="eastAsia"/>
                <w:color w:val="auto"/>
                <w:highlight w:val="none"/>
              </w:rPr>
            </w:pPr>
            <w:r>
              <w:rPr>
                <w:rFonts w:hint="eastAsia"/>
                <w:color w:val="auto"/>
                <w:spacing w:val="8"/>
                <w:highlight w:val="none"/>
              </w:rPr>
              <w:t>拟在本合同任职</w:t>
            </w:r>
          </w:p>
        </w:tc>
        <w:tc>
          <w:tcPr>
            <w:tcW w:w="1676" w:type="dxa"/>
            <w:tcBorders>
              <w:right w:val="single" w:color="000000" w:sz="2" w:space="0"/>
            </w:tcBorders>
          </w:tcPr>
          <w:p w14:paraId="47D900B7">
            <w:pPr>
              <w:jc w:val="center"/>
              <w:outlineLvl w:val="9"/>
              <w:rPr>
                <w:rFonts w:hint="eastAsia" w:ascii="宋体" w:hAnsi="宋体" w:eastAsia="宋体" w:cs="宋体"/>
                <w:color w:val="auto"/>
                <w:highlight w:val="none"/>
              </w:rPr>
            </w:pPr>
          </w:p>
        </w:tc>
      </w:tr>
      <w:tr w14:paraId="3C7D0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2045" w:type="dxa"/>
            <w:gridSpan w:val="2"/>
            <w:tcBorders>
              <w:left w:val="single" w:color="000000" w:sz="2" w:space="0"/>
            </w:tcBorders>
          </w:tcPr>
          <w:p w14:paraId="1041E7CB">
            <w:pPr>
              <w:spacing w:line="249" w:lineRule="auto"/>
              <w:jc w:val="center"/>
              <w:outlineLvl w:val="9"/>
              <w:rPr>
                <w:rFonts w:hint="eastAsia" w:ascii="宋体" w:hAnsi="宋体" w:eastAsia="宋体" w:cs="宋体"/>
                <w:color w:val="auto"/>
                <w:highlight w:val="none"/>
              </w:rPr>
            </w:pPr>
          </w:p>
          <w:p w14:paraId="4B66086C">
            <w:pPr>
              <w:pStyle w:val="101"/>
              <w:spacing w:before="65" w:line="228" w:lineRule="auto"/>
              <w:jc w:val="center"/>
              <w:outlineLvl w:val="9"/>
              <w:rPr>
                <w:rFonts w:hint="eastAsia"/>
                <w:color w:val="auto"/>
                <w:highlight w:val="none"/>
              </w:rPr>
            </w:pPr>
            <w:r>
              <w:rPr>
                <w:rFonts w:hint="eastAsia"/>
                <w:color w:val="auto"/>
                <w:spacing w:val="8"/>
                <w:highlight w:val="none"/>
              </w:rPr>
              <w:t>执业资格证</w:t>
            </w:r>
          </w:p>
        </w:tc>
        <w:tc>
          <w:tcPr>
            <w:tcW w:w="2466" w:type="dxa"/>
          </w:tcPr>
          <w:p w14:paraId="245E017C">
            <w:pPr>
              <w:jc w:val="center"/>
              <w:outlineLvl w:val="9"/>
              <w:rPr>
                <w:rFonts w:hint="eastAsia" w:ascii="宋体" w:hAnsi="宋体" w:eastAsia="宋体" w:cs="宋体"/>
                <w:color w:val="auto"/>
                <w:highlight w:val="none"/>
              </w:rPr>
            </w:pPr>
          </w:p>
        </w:tc>
        <w:tc>
          <w:tcPr>
            <w:tcW w:w="2339" w:type="dxa"/>
            <w:gridSpan w:val="3"/>
          </w:tcPr>
          <w:p w14:paraId="456BBB40">
            <w:pPr>
              <w:spacing w:line="250" w:lineRule="auto"/>
              <w:jc w:val="center"/>
              <w:outlineLvl w:val="9"/>
              <w:rPr>
                <w:rFonts w:hint="eastAsia" w:ascii="宋体" w:hAnsi="宋体" w:eastAsia="宋体" w:cs="宋体"/>
                <w:color w:val="auto"/>
                <w:highlight w:val="none"/>
              </w:rPr>
            </w:pPr>
          </w:p>
          <w:p w14:paraId="50FB71D9">
            <w:pPr>
              <w:pStyle w:val="101"/>
              <w:spacing w:before="65" w:line="227" w:lineRule="auto"/>
              <w:jc w:val="center"/>
              <w:outlineLvl w:val="9"/>
              <w:rPr>
                <w:rFonts w:hint="eastAsia"/>
                <w:color w:val="auto"/>
                <w:highlight w:val="none"/>
              </w:rPr>
            </w:pPr>
            <w:r>
              <w:rPr>
                <w:rFonts w:hint="eastAsia"/>
                <w:color w:val="auto"/>
                <w:spacing w:val="8"/>
                <w:highlight w:val="none"/>
              </w:rPr>
              <w:t>执业资格证书号</w:t>
            </w:r>
          </w:p>
        </w:tc>
        <w:tc>
          <w:tcPr>
            <w:tcW w:w="1676" w:type="dxa"/>
            <w:tcBorders>
              <w:right w:val="single" w:color="000000" w:sz="2" w:space="0"/>
            </w:tcBorders>
          </w:tcPr>
          <w:p w14:paraId="594B6560">
            <w:pPr>
              <w:jc w:val="center"/>
              <w:outlineLvl w:val="9"/>
              <w:rPr>
                <w:rFonts w:hint="eastAsia" w:ascii="宋体" w:hAnsi="宋体" w:eastAsia="宋体" w:cs="宋体"/>
                <w:color w:val="auto"/>
                <w:highlight w:val="none"/>
              </w:rPr>
            </w:pPr>
          </w:p>
        </w:tc>
      </w:tr>
      <w:tr w14:paraId="3A7E6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526" w:type="dxa"/>
            <w:gridSpan w:val="7"/>
            <w:tcBorders>
              <w:left w:val="single" w:color="000000" w:sz="2" w:space="0"/>
              <w:right w:val="single" w:color="000000" w:sz="2" w:space="0"/>
            </w:tcBorders>
          </w:tcPr>
          <w:p w14:paraId="22C3541B">
            <w:pPr>
              <w:pStyle w:val="101"/>
              <w:spacing w:before="182" w:line="228" w:lineRule="auto"/>
              <w:ind w:left="124" w:firstLine="436"/>
              <w:jc w:val="center"/>
              <w:outlineLvl w:val="9"/>
              <w:rPr>
                <w:rFonts w:hint="eastAsia"/>
                <w:color w:val="auto"/>
                <w:highlight w:val="none"/>
              </w:rPr>
            </w:pPr>
            <w:r>
              <w:rPr>
                <w:rFonts w:hint="eastAsia"/>
                <w:color w:val="auto"/>
                <w:spacing w:val="9"/>
                <w:highlight w:val="none"/>
              </w:rPr>
              <w:t>近三年承担项目情况</w:t>
            </w:r>
          </w:p>
        </w:tc>
      </w:tr>
      <w:tr w14:paraId="7DA33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274" w:type="dxa"/>
            <w:tcBorders>
              <w:left w:val="single" w:color="000000" w:sz="2" w:space="0"/>
            </w:tcBorders>
          </w:tcPr>
          <w:p w14:paraId="1DF2BF20">
            <w:pPr>
              <w:pStyle w:val="101"/>
              <w:spacing w:before="182" w:line="230" w:lineRule="auto"/>
              <w:jc w:val="center"/>
              <w:outlineLvl w:val="9"/>
              <w:rPr>
                <w:rFonts w:hint="eastAsia"/>
                <w:color w:val="auto"/>
                <w:highlight w:val="none"/>
              </w:rPr>
            </w:pPr>
            <w:r>
              <w:rPr>
                <w:rFonts w:hint="eastAsia"/>
                <w:color w:val="auto"/>
                <w:spacing w:val="-1"/>
                <w:highlight w:val="none"/>
              </w:rPr>
              <w:t>时间</w:t>
            </w:r>
          </w:p>
        </w:tc>
        <w:tc>
          <w:tcPr>
            <w:tcW w:w="3633" w:type="dxa"/>
            <w:gridSpan w:val="3"/>
          </w:tcPr>
          <w:p w14:paraId="049AFF1A">
            <w:pPr>
              <w:pStyle w:val="101"/>
              <w:spacing w:before="182" w:line="228" w:lineRule="auto"/>
              <w:jc w:val="center"/>
              <w:outlineLvl w:val="9"/>
              <w:rPr>
                <w:rFonts w:hint="eastAsia"/>
                <w:color w:val="auto"/>
                <w:highlight w:val="none"/>
              </w:rPr>
            </w:pPr>
            <w:r>
              <w:rPr>
                <w:rFonts w:hint="eastAsia"/>
                <w:color w:val="auto"/>
                <w:spacing w:val="8"/>
                <w:highlight w:val="none"/>
              </w:rPr>
              <w:t>类似项目名称</w:t>
            </w:r>
          </w:p>
        </w:tc>
        <w:tc>
          <w:tcPr>
            <w:tcW w:w="1403" w:type="dxa"/>
          </w:tcPr>
          <w:p w14:paraId="49393F11">
            <w:pPr>
              <w:pStyle w:val="101"/>
              <w:spacing w:before="182" w:line="228" w:lineRule="auto"/>
              <w:jc w:val="center"/>
              <w:outlineLvl w:val="9"/>
              <w:rPr>
                <w:rFonts w:hint="eastAsia"/>
                <w:color w:val="auto"/>
                <w:highlight w:val="none"/>
              </w:rPr>
            </w:pPr>
            <w:r>
              <w:rPr>
                <w:rFonts w:hint="eastAsia"/>
                <w:color w:val="auto"/>
                <w:spacing w:val="7"/>
                <w:highlight w:val="none"/>
              </w:rPr>
              <w:t>担任职务</w:t>
            </w:r>
          </w:p>
        </w:tc>
        <w:tc>
          <w:tcPr>
            <w:tcW w:w="2216" w:type="dxa"/>
            <w:gridSpan w:val="2"/>
            <w:tcBorders>
              <w:right w:val="single" w:color="000000" w:sz="2" w:space="0"/>
            </w:tcBorders>
          </w:tcPr>
          <w:p w14:paraId="343558FA">
            <w:pPr>
              <w:pStyle w:val="101"/>
              <w:spacing w:before="183" w:line="228" w:lineRule="auto"/>
              <w:jc w:val="center"/>
              <w:outlineLvl w:val="9"/>
              <w:rPr>
                <w:rFonts w:hint="eastAsia"/>
                <w:color w:val="auto"/>
                <w:highlight w:val="none"/>
              </w:rPr>
            </w:pPr>
            <w:r>
              <w:rPr>
                <w:rFonts w:hint="eastAsia"/>
                <w:color w:val="auto"/>
                <w:spacing w:val="8"/>
                <w:highlight w:val="none"/>
              </w:rPr>
              <w:t>项目单位名称及电话</w:t>
            </w:r>
          </w:p>
        </w:tc>
      </w:tr>
      <w:tr w14:paraId="0C915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274" w:type="dxa"/>
            <w:tcBorders>
              <w:left w:val="single" w:color="000000" w:sz="2" w:space="0"/>
            </w:tcBorders>
          </w:tcPr>
          <w:p w14:paraId="7924EFB9">
            <w:pPr>
              <w:jc w:val="center"/>
              <w:outlineLvl w:val="9"/>
              <w:rPr>
                <w:rFonts w:hint="eastAsia" w:ascii="宋体" w:hAnsi="宋体" w:eastAsia="宋体" w:cs="宋体"/>
                <w:color w:val="auto"/>
                <w:highlight w:val="none"/>
              </w:rPr>
            </w:pPr>
          </w:p>
        </w:tc>
        <w:tc>
          <w:tcPr>
            <w:tcW w:w="3633" w:type="dxa"/>
            <w:gridSpan w:val="3"/>
          </w:tcPr>
          <w:p w14:paraId="190D8405">
            <w:pPr>
              <w:jc w:val="center"/>
              <w:outlineLvl w:val="9"/>
              <w:rPr>
                <w:rFonts w:hint="eastAsia" w:ascii="宋体" w:hAnsi="宋体" w:eastAsia="宋体" w:cs="宋体"/>
                <w:color w:val="auto"/>
                <w:highlight w:val="none"/>
              </w:rPr>
            </w:pPr>
          </w:p>
        </w:tc>
        <w:tc>
          <w:tcPr>
            <w:tcW w:w="1403" w:type="dxa"/>
          </w:tcPr>
          <w:p w14:paraId="368E7860">
            <w:pPr>
              <w:jc w:val="center"/>
              <w:outlineLvl w:val="9"/>
              <w:rPr>
                <w:rFonts w:hint="eastAsia" w:ascii="宋体" w:hAnsi="宋体" w:eastAsia="宋体" w:cs="宋体"/>
                <w:color w:val="auto"/>
                <w:highlight w:val="none"/>
              </w:rPr>
            </w:pPr>
          </w:p>
        </w:tc>
        <w:tc>
          <w:tcPr>
            <w:tcW w:w="2216" w:type="dxa"/>
            <w:gridSpan w:val="2"/>
            <w:tcBorders>
              <w:right w:val="single" w:color="000000" w:sz="2" w:space="0"/>
            </w:tcBorders>
          </w:tcPr>
          <w:p w14:paraId="12ACDC6F">
            <w:pPr>
              <w:jc w:val="center"/>
              <w:outlineLvl w:val="9"/>
              <w:rPr>
                <w:rFonts w:hint="eastAsia" w:ascii="宋体" w:hAnsi="宋体" w:eastAsia="宋体" w:cs="宋体"/>
                <w:color w:val="auto"/>
                <w:highlight w:val="none"/>
              </w:rPr>
            </w:pPr>
          </w:p>
        </w:tc>
      </w:tr>
      <w:tr w14:paraId="47FA8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274" w:type="dxa"/>
            <w:tcBorders>
              <w:left w:val="single" w:color="000000" w:sz="2" w:space="0"/>
            </w:tcBorders>
          </w:tcPr>
          <w:p w14:paraId="3E70464C">
            <w:pPr>
              <w:jc w:val="center"/>
              <w:outlineLvl w:val="9"/>
              <w:rPr>
                <w:rFonts w:hint="eastAsia" w:ascii="宋体" w:hAnsi="宋体" w:eastAsia="宋体" w:cs="宋体"/>
                <w:color w:val="auto"/>
                <w:highlight w:val="none"/>
              </w:rPr>
            </w:pPr>
          </w:p>
        </w:tc>
        <w:tc>
          <w:tcPr>
            <w:tcW w:w="3633" w:type="dxa"/>
            <w:gridSpan w:val="3"/>
          </w:tcPr>
          <w:p w14:paraId="7445A00E">
            <w:pPr>
              <w:jc w:val="center"/>
              <w:outlineLvl w:val="9"/>
              <w:rPr>
                <w:rFonts w:hint="eastAsia" w:ascii="宋体" w:hAnsi="宋体" w:eastAsia="宋体" w:cs="宋体"/>
                <w:color w:val="auto"/>
                <w:highlight w:val="none"/>
              </w:rPr>
            </w:pPr>
          </w:p>
        </w:tc>
        <w:tc>
          <w:tcPr>
            <w:tcW w:w="1403" w:type="dxa"/>
          </w:tcPr>
          <w:p w14:paraId="2E1A401C">
            <w:pPr>
              <w:jc w:val="center"/>
              <w:outlineLvl w:val="9"/>
              <w:rPr>
                <w:rFonts w:hint="eastAsia" w:ascii="宋体" w:hAnsi="宋体" w:eastAsia="宋体" w:cs="宋体"/>
                <w:color w:val="auto"/>
                <w:highlight w:val="none"/>
              </w:rPr>
            </w:pPr>
          </w:p>
        </w:tc>
        <w:tc>
          <w:tcPr>
            <w:tcW w:w="2216" w:type="dxa"/>
            <w:gridSpan w:val="2"/>
            <w:tcBorders>
              <w:right w:val="single" w:color="000000" w:sz="2" w:space="0"/>
            </w:tcBorders>
          </w:tcPr>
          <w:p w14:paraId="401A31F0">
            <w:pPr>
              <w:jc w:val="center"/>
              <w:outlineLvl w:val="9"/>
              <w:rPr>
                <w:rFonts w:hint="eastAsia" w:ascii="宋体" w:hAnsi="宋体" w:eastAsia="宋体" w:cs="宋体"/>
                <w:color w:val="auto"/>
                <w:highlight w:val="none"/>
              </w:rPr>
            </w:pPr>
          </w:p>
        </w:tc>
      </w:tr>
      <w:tr w14:paraId="5D838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274" w:type="dxa"/>
            <w:tcBorders>
              <w:left w:val="single" w:color="000000" w:sz="2" w:space="0"/>
            </w:tcBorders>
          </w:tcPr>
          <w:p w14:paraId="721D8047">
            <w:pPr>
              <w:jc w:val="center"/>
              <w:outlineLvl w:val="9"/>
              <w:rPr>
                <w:rFonts w:hint="eastAsia" w:ascii="宋体" w:hAnsi="宋体" w:eastAsia="宋体" w:cs="宋体"/>
                <w:color w:val="auto"/>
                <w:highlight w:val="none"/>
              </w:rPr>
            </w:pPr>
          </w:p>
        </w:tc>
        <w:tc>
          <w:tcPr>
            <w:tcW w:w="3633" w:type="dxa"/>
            <w:gridSpan w:val="3"/>
          </w:tcPr>
          <w:p w14:paraId="70CF0918">
            <w:pPr>
              <w:jc w:val="center"/>
              <w:outlineLvl w:val="9"/>
              <w:rPr>
                <w:rFonts w:hint="eastAsia" w:ascii="宋体" w:hAnsi="宋体" w:eastAsia="宋体" w:cs="宋体"/>
                <w:color w:val="auto"/>
                <w:highlight w:val="none"/>
              </w:rPr>
            </w:pPr>
          </w:p>
        </w:tc>
        <w:tc>
          <w:tcPr>
            <w:tcW w:w="1403" w:type="dxa"/>
          </w:tcPr>
          <w:p w14:paraId="519CCDBC">
            <w:pPr>
              <w:jc w:val="center"/>
              <w:outlineLvl w:val="9"/>
              <w:rPr>
                <w:rFonts w:hint="eastAsia" w:ascii="宋体" w:hAnsi="宋体" w:eastAsia="宋体" w:cs="宋体"/>
                <w:color w:val="auto"/>
                <w:highlight w:val="none"/>
              </w:rPr>
            </w:pPr>
          </w:p>
        </w:tc>
        <w:tc>
          <w:tcPr>
            <w:tcW w:w="2216" w:type="dxa"/>
            <w:gridSpan w:val="2"/>
            <w:tcBorders>
              <w:right w:val="single" w:color="000000" w:sz="2" w:space="0"/>
            </w:tcBorders>
          </w:tcPr>
          <w:p w14:paraId="078D946B">
            <w:pPr>
              <w:jc w:val="center"/>
              <w:outlineLvl w:val="9"/>
              <w:rPr>
                <w:rFonts w:hint="eastAsia" w:ascii="宋体" w:hAnsi="宋体" w:eastAsia="宋体" w:cs="宋体"/>
                <w:color w:val="auto"/>
                <w:highlight w:val="none"/>
              </w:rPr>
            </w:pPr>
          </w:p>
        </w:tc>
      </w:tr>
      <w:tr w14:paraId="5C250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274" w:type="dxa"/>
            <w:tcBorders>
              <w:left w:val="single" w:color="000000" w:sz="2" w:space="0"/>
            </w:tcBorders>
          </w:tcPr>
          <w:p w14:paraId="1B04AF4E">
            <w:pPr>
              <w:jc w:val="center"/>
              <w:outlineLvl w:val="9"/>
              <w:rPr>
                <w:rFonts w:hint="eastAsia" w:ascii="宋体" w:hAnsi="宋体" w:eastAsia="宋体" w:cs="宋体"/>
                <w:color w:val="auto"/>
                <w:highlight w:val="none"/>
              </w:rPr>
            </w:pPr>
          </w:p>
        </w:tc>
        <w:tc>
          <w:tcPr>
            <w:tcW w:w="3633" w:type="dxa"/>
            <w:gridSpan w:val="3"/>
          </w:tcPr>
          <w:p w14:paraId="1DC608DF">
            <w:pPr>
              <w:jc w:val="center"/>
              <w:outlineLvl w:val="9"/>
              <w:rPr>
                <w:rFonts w:hint="eastAsia" w:ascii="宋体" w:hAnsi="宋体" w:eastAsia="宋体" w:cs="宋体"/>
                <w:color w:val="auto"/>
                <w:highlight w:val="none"/>
              </w:rPr>
            </w:pPr>
          </w:p>
        </w:tc>
        <w:tc>
          <w:tcPr>
            <w:tcW w:w="1403" w:type="dxa"/>
          </w:tcPr>
          <w:p w14:paraId="514F1C11">
            <w:pPr>
              <w:jc w:val="center"/>
              <w:outlineLvl w:val="9"/>
              <w:rPr>
                <w:rFonts w:hint="eastAsia" w:ascii="宋体" w:hAnsi="宋体" w:eastAsia="宋体" w:cs="宋体"/>
                <w:color w:val="auto"/>
                <w:highlight w:val="none"/>
              </w:rPr>
            </w:pPr>
          </w:p>
        </w:tc>
        <w:tc>
          <w:tcPr>
            <w:tcW w:w="2216" w:type="dxa"/>
            <w:gridSpan w:val="2"/>
            <w:tcBorders>
              <w:right w:val="single" w:color="000000" w:sz="2" w:space="0"/>
            </w:tcBorders>
          </w:tcPr>
          <w:p w14:paraId="62F495D6">
            <w:pPr>
              <w:jc w:val="center"/>
              <w:outlineLvl w:val="9"/>
              <w:rPr>
                <w:rFonts w:hint="eastAsia" w:ascii="宋体" w:hAnsi="宋体" w:eastAsia="宋体" w:cs="宋体"/>
                <w:color w:val="auto"/>
                <w:highlight w:val="none"/>
              </w:rPr>
            </w:pPr>
          </w:p>
        </w:tc>
      </w:tr>
      <w:tr w14:paraId="1D8ED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274" w:type="dxa"/>
            <w:tcBorders>
              <w:left w:val="single" w:color="000000" w:sz="2" w:space="0"/>
            </w:tcBorders>
          </w:tcPr>
          <w:p w14:paraId="14AB3E71">
            <w:pPr>
              <w:jc w:val="center"/>
              <w:outlineLvl w:val="9"/>
              <w:rPr>
                <w:rFonts w:hint="eastAsia" w:ascii="宋体" w:hAnsi="宋体" w:eastAsia="宋体" w:cs="宋体"/>
                <w:color w:val="auto"/>
                <w:highlight w:val="none"/>
              </w:rPr>
            </w:pPr>
          </w:p>
        </w:tc>
        <w:tc>
          <w:tcPr>
            <w:tcW w:w="3633" w:type="dxa"/>
            <w:gridSpan w:val="3"/>
          </w:tcPr>
          <w:p w14:paraId="08873006">
            <w:pPr>
              <w:jc w:val="center"/>
              <w:outlineLvl w:val="9"/>
              <w:rPr>
                <w:rFonts w:hint="eastAsia" w:ascii="宋体" w:hAnsi="宋体" w:eastAsia="宋体" w:cs="宋体"/>
                <w:color w:val="auto"/>
                <w:highlight w:val="none"/>
              </w:rPr>
            </w:pPr>
          </w:p>
        </w:tc>
        <w:tc>
          <w:tcPr>
            <w:tcW w:w="1403" w:type="dxa"/>
          </w:tcPr>
          <w:p w14:paraId="454A07C8">
            <w:pPr>
              <w:jc w:val="center"/>
              <w:outlineLvl w:val="9"/>
              <w:rPr>
                <w:rFonts w:hint="eastAsia" w:ascii="宋体" w:hAnsi="宋体" w:eastAsia="宋体" w:cs="宋体"/>
                <w:color w:val="auto"/>
                <w:highlight w:val="none"/>
              </w:rPr>
            </w:pPr>
          </w:p>
        </w:tc>
        <w:tc>
          <w:tcPr>
            <w:tcW w:w="2216" w:type="dxa"/>
            <w:gridSpan w:val="2"/>
            <w:tcBorders>
              <w:right w:val="single" w:color="000000" w:sz="2" w:space="0"/>
            </w:tcBorders>
          </w:tcPr>
          <w:p w14:paraId="441966F0">
            <w:pPr>
              <w:jc w:val="center"/>
              <w:outlineLvl w:val="9"/>
              <w:rPr>
                <w:rFonts w:hint="eastAsia" w:ascii="宋体" w:hAnsi="宋体" w:eastAsia="宋体" w:cs="宋体"/>
                <w:color w:val="auto"/>
                <w:highlight w:val="none"/>
              </w:rPr>
            </w:pPr>
          </w:p>
        </w:tc>
      </w:tr>
      <w:tr w14:paraId="4975E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274" w:type="dxa"/>
            <w:tcBorders>
              <w:left w:val="single" w:color="000000" w:sz="2" w:space="0"/>
            </w:tcBorders>
          </w:tcPr>
          <w:p w14:paraId="0B2ED6D1">
            <w:pPr>
              <w:outlineLvl w:val="9"/>
              <w:rPr>
                <w:rFonts w:hint="eastAsia" w:ascii="宋体" w:hAnsi="宋体" w:eastAsia="宋体" w:cs="宋体"/>
                <w:color w:val="auto"/>
                <w:highlight w:val="none"/>
              </w:rPr>
            </w:pPr>
          </w:p>
        </w:tc>
        <w:tc>
          <w:tcPr>
            <w:tcW w:w="3633" w:type="dxa"/>
            <w:gridSpan w:val="3"/>
          </w:tcPr>
          <w:p w14:paraId="1EF3C0A2">
            <w:pPr>
              <w:outlineLvl w:val="9"/>
              <w:rPr>
                <w:rFonts w:hint="eastAsia" w:ascii="宋体" w:hAnsi="宋体" w:eastAsia="宋体" w:cs="宋体"/>
                <w:color w:val="auto"/>
                <w:highlight w:val="none"/>
              </w:rPr>
            </w:pPr>
          </w:p>
        </w:tc>
        <w:tc>
          <w:tcPr>
            <w:tcW w:w="1403" w:type="dxa"/>
          </w:tcPr>
          <w:p w14:paraId="0831BCE1">
            <w:pPr>
              <w:outlineLvl w:val="9"/>
              <w:rPr>
                <w:rFonts w:hint="eastAsia" w:ascii="宋体" w:hAnsi="宋体" w:eastAsia="宋体" w:cs="宋体"/>
                <w:color w:val="auto"/>
                <w:highlight w:val="none"/>
              </w:rPr>
            </w:pPr>
          </w:p>
        </w:tc>
        <w:tc>
          <w:tcPr>
            <w:tcW w:w="2216" w:type="dxa"/>
            <w:gridSpan w:val="2"/>
            <w:tcBorders>
              <w:right w:val="single" w:color="000000" w:sz="2" w:space="0"/>
            </w:tcBorders>
          </w:tcPr>
          <w:p w14:paraId="7727B5CA">
            <w:pPr>
              <w:outlineLvl w:val="9"/>
              <w:rPr>
                <w:rFonts w:hint="eastAsia" w:ascii="宋体" w:hAnsi="宋体" w:eastAsia="宋体" w:cs="宋体"/>
                <w:color w:val="auto"/>
                <w:highlight w:val="none"/>
              </w:rPr>
            </w:pPr>
          </w:p>
        </w:tc>
      </w:tr>
      <w:tr w14:paraId="7B3A3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274" w:type="dxa"/>
            <w:tcBorders>
              <w:left w:val="single" w:color="000000" w:sz="2" w:space="0"/>
            </w:tcBorders>
          </w:tcPr>
          <w:p w14:paraId="4C162636">
            <w:pPr>
              <w:outlineLvl w:val="9"/>
              <w:rPr>
                <w:rFonts w:hint="eastAsia" w:ascii="宋体" w:hAnsi="宋体" w:eastAsia="宋体" w:cs="宋体"/>
                <w:color w:val="auto"/>
                <w:highlight w:val="none"/>
              </w:rPr>
            </w:pPr>
          </w:p>
        </w:tc>
        <w:tc>
          <w:tcPr>
            <w:tcW w:w="3633" w:type="dxa"/>
            <w:gridSpan w:val="3"/>
          </w:tcPr>
          <w:p w14:paraId="08C4B3B2">
            <w:pPr>
              <w:outlineLvl w:val="9"/>
              <w:rPr>
                <w:rFonts w:hint="eastAsia" w:ascii="宋体" w:hAnsi="宋体" w:eastAsia="宋体" w:cs="宋体"/>
                <w:color w:val="auto"/>
                <w:highlight w:val="none"/>
              </w:rPr>
            </w:pPr>
          </w:p>
        </w:tc>
        <w:tc>
          <w:tcPr>
            <w:tcW w:w="1403" w:type="dxa"/>
          </w:tcPr>
          <w:p w14:paraId="7D2E717A">
            <w:pPr>
              <w:outlineLvl w:val="9"/>
              <w:rPr>
                <w:rFonts w:hint="eastAsia" w:ascii="宋体" w:hAnsi="宋体" w:eastAsia="宋体" w:cs="宋体"/>
                <w:color w:val="auto"/>
                <w:highlight w:val="none"/>
              </w:rPr>
            </w:pPr>
          </w:p>
        </w:tc>
        <w:tc>
          <w:tcPr>
            <w:tcW w:w="2216" w:type="dxa"/>
            <w:gridSpan w:val="2"/>
            <w:tcBorders>
              <w:right w:val="single" w:color="000000" w:sz="2" w:space="0"/>
            </w:tcBorders>
          </w:tcPr>
          <w:p w14:paraId="79C44FE6">
            <w:pPr>
              <w:outlineLvl w:val="9"/>
              <w:rPr>
                <w:rFonts w:hint="eastAsia" w:ascii="宋体" w:hAnsi="宋体" w:eastAsia="宋体" w:cs="宋体"/>
                <w:color w:val="auto"/>
                <w:highlight w:val="none"/>
              </w:rPr>
            </w:pPr>
          </w:p>
        </w:tc>
      </w:tr>
      <w:tr w14:paraId="4A659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274" w:type="dxa"/>
            <w:tcBorders>
              <w:left w:val="single" w:color="000000" w:sz="2" w:space="0"/>
            </w:tcBorders>
          </w:tcPr>
          <w:p w14:paraId="02789B5D">
            <w:pPr>
              <w:outlineLvl w:val="9"/>
              <w:rPr>
                <w:rFonts w:hint="eastAsia" w:ascii="宋体" w:hAnsi="宋体" w:eastAsia="宋体" w:cs="宋体"/>
                <w:color w:val="auto"/>
                <w:highlight w:val="none"/>
              </w:rPr>
            </w:pPr>
          </w:p>
        </w:tc>
        <w:tc>
          <w:tcPr>
            <w:tcW w:w="3633" w:type="dxa"/>
            <w:gridSpan w:val="3"/>
          </w:tcPr>
          <w:p w14:paraId="67ECF7F4">
            <w:pPr>
              <w:outlineLvl w:val="9"/>
              <w:rPr>
                <w:rFonts w:hint="eastAsia" w:ascii="宋体" w:hAnsi="宋体" w:eastAsia="宋体" w:cs="宋体"/>
                <w:color w:val="auto"/>
                <w:highlight w:val="none"/>
              </w:rPr>
            </w:pPr>
          </w:p>
        </w:tc>
        <w:tc>
          <w:tcPr>
            <w:tcW w:w="1403" w:type="dxa"/>
          </w:tcPr>
          <w:p w14:paraId="08F13C30">
            <w:pPr>
              <w:outlineLvl w:val="9"/>
              <w:rPr>
                <w:rFonts w:hint="eastAsia" w:ascii="宋体" w:hAnsi="宋体" w:eastAsia="宋体" w:cs="宋体"/>
                <w:color w:val="auto"/>
                <w:highlight w:val="none"/>
              </w:rPr>
            </w:pPr>
          </w:p>
        </w:tc>
        <w:tc>
          <w:tcPr>
            <w:tcW w:w="2216" w:type="dxa"/>
            <w:gridSpan w:val="2"/>
            <w:tcBorders>
              <w:right w:val="single" w:color="000000" w:sz="2" w:space="0"/>
            </w:tcBorders>
          </w:tcPr>
          <w:p w14:paraId="299EC12D">
            <w:pPr>
              <w:outlineLvl w:val="9"/>
              <w:rPr>
                <w:rFonts w:hint="eastAsia" w:ascii="宋体" w:hAnsi="宋体" w:eastAsia="宋体" w:cs="宋体"/>
                <w:color w:val="auto"/>
                <w:highlight w:val="none"/>
              </w:rPr>
            </w:pPr>
          </w:p>
        </w:tc>
      </w:tr>
      <w:tr w14:paraId="62395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1274" w:type="dxa"/>
            <w:tcBorders>
              <w:left w:val="single" w:color="000000" w:sz="2" w:space="0"/>
              <w:bottom w:val="single" w:color="000000" w:sz="2" w:space="0"/>
            </w:tcBorders>
          </w:tcPr>
          <w:p w14:paraId="364FF8E0">
            <w:pPr>
              <w:outlineLvl w:val="9"/>
              <w:rPr>
                <w:rFonts w:hint="eastAsia" w:ascii="宋体" w:hAnsi="宋体" w:eastAsia="宋体" w:cs="宋体"/>
                <w:color w:val="auto"/>
                <w:highlight w:val="none"/>
              </w:rPr>
            </w:pPr>
          </w:p>
        </w:tc>
        <w:tc>
          <w:tcPr>
            <w:tcW w:w="3633" w:type="dxa"/>
            <w:gridSpan w:val="3"/>
            <w:tcBorders>
              <w:bottom w:val="single" w:color="000000" w:sz="2" w:space="0"/>
            </w:tcBorders>
          </w:tcPr>
          <w:p w14:paraId="350B7C2C">
            <w:pPr>
              <w:outlineLvl w:val="9"/>
              <w:rPr>
                <w:rFonts w:hint="eastAsia" w:ascii="宋体" w:hAnsi="宋体" w:eastAsia="宋体" w:cs="宋体"/>
                <w:color w:val="auto"/>
                <w:highlight w:val="none"/>
              </w:rPr>
            </w:pPr>
          </w:p>
        </w:tc>
        <w:tc>
          <w:tcPr>
            <w:tcW w:w="1403" w:type="dxa"/>
            <w:tcBorders>
              <w:bottom w:val="single" w:color="000000" w:sz="2" w:space="0"/>
            </w:tcBorders>
          </w:tcPr>
          <w:p w14:paraId="14A772D0">
            <w:pPr>
              <w:outlineLvl w:val="9"/>
              <w:rPr>
                <w:rFonts w:hint="eastAsia" w:ascii="宋体" w:hAnsi="宋体" w:eastAsia="宋体" w:cs="宋体"/>
                <w:color w:val="auto"/>
                <w:highlight w:val="none"/>
              </w:rPr>
            </w:pPr>
          </w:p>
        </w:tc>
        <w:tc>
          <w:tcPr>
            <w:tcW w:w="2216" w:type="dxa"/>
            <w:gridSpan w:val="2"/>
            <w:tcBorders>
              <w:bottom w:val="single" w:color="000000" w:sz="2" w:space="0"/>
              <w:right w:val="single" w:color="000000" w:sz="2" w:space="0"/>
            </w:tcBorders>
          </w:tcPr>
          <w:p w14:paraId="76EC4C55">
            <w:pPr>
              <w:outlineLvl w:val="9"/>
              <w:rPr>
                <w:rFonts w:hint="eastAsia" w:ascii="宋体" w:hAnsi="宋体" w:eastAsia="宋体" w:cs="宋体"/>
                <w:color w:val="auto"/>
                <w:highlight w:val="none"/>
              </w:rPr>
            </w:pPr>
          </w:p>
        </w:tc>
      </w:tr>
    </w:tbl>
    <w:p w14:paraId="4BD67B10">
      <w:pPr>
        <w:spacing w:before="119" w:line="227" w:lineRule="auto"/>
        <w:ind w:left="25" w:firstLine="432"/>
        <w:outlineLvl w:val="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说明：主要人员证书、类似项目证明资料等按第二章第</w:t>
      </w:r>
      <w:r>
        <w:rPr>
          <w:rFonts w:hint="eastAsia" w:ascii="宋体" w:hAnsi="宋体" w:eastAsia="宋体" w:cs="宋体"/>
          <w:color w:val="auto"/>
          <w:spacing w:val="-25"/>
          <w:sz w:val="20"/>
          <w:szCs w:val="20"/>
          <w:highlight w:val="none"/>
        </w:rPr>
        <w:t xml:space="preserve"> </w:t>
      </w:r>
      <w:r>
        <w:rPr>
          <w:rFonts w:hint="eastAsia" w:ascii="宋体" w:hAnsi="宋体" w:eastAsia="宋体" w:cs="宋体"/>
          <w:color w:val="auto"/>
          <w:spacing w:val="8"/>
          <w:sz w:val="20"/>
          <w:szCs w:val="20"/>
          <w:highlight w:val="none"/>
        </w:rPr>
        <w:t>42.1</w:t>
      </w:r>
      <w:r>
        <w:rPr>
          <w:rFonts w:hint="eastAsia" w:ascii="宋体" w:hAnsi="宋体" w:eastAsia="宋体" w:cs="宋体"/>
          <w:color w:val="auto"/>
          <w:spacing w:val="-37"/>
          <w:sz w:val="20"/>
          <w:szCs w:val="20"/>
          <w:highlight w:val="none"/>
        </w:rPr>
        <w:t xml:space="preserve"> </w:t>
      </w:r>
      <w:r>
        <w:rPr>
          <w:rFonts w:hint="eastAsia" w:ascii="宋体" w:hAnsi="宋体" w:eastAsia="宋体" w:cs="宋体"/>
          <w:color w:val="auto"/>
          <w:spacing w:val="8"/>
          <w:sz w:val="20"/>
          <w:szCs w:val="20"/>
          <w:highlight w:val="none"/>
        </w:rPr>
        <w:t>款或第四章要求提供。</w:t>
      </w:r>
    </w:p>
    <w:p w14:paraId="7E3C0174">
      <w:pPr>
        <w:pStyle w:val="12"/>
        <w:spacing w:line="339" w:lineRule="auto"/>
        <w:outlineLvl w:val="9"/>
        <w:rPr>
          <w:rFonts w:hint="eastAsia" w:ascii="宋体" w:hAnsi="宋体" w:eastAsia="宋体" w:cs="宋体"/>
          <w:color w:val="auto"/>
          <w:highlight w:val="none"/>
        </w:rPr>
      </w:pPr>
    </w:p>
    <w:p w14:paraId="5F10CDE1">
      <w:pPr>
        <w:pStyle w:val="12"/>
        <w:spacing w:line="339" w:lineRule="auto"/>
        <w:outlineLvl w:val="9"/>
        <w:rPr>
          <w:rFonts w:hint="eastAsia" w:ascii="宋体" w:hAnsi="宋体" w:eastAsia="宋体" w:cs="宋体"/>
          <w:color w:val="auto"/>
          <w:highlight w:val="none"/>
        </w:rPr>
      </w:pPr>
    </w:p>
    <w:p w14:paraId="22B70BA1">
      <w:pPr>
        <w:spacing w:before="65" w:line="227" w:lineRule="auto"/>
        <w:ind w:left="22" w:firstLine="424"/>
        <w:outlineLvl w:val="9"/>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供应商名称：</w:t>
      </w:r>
    </w:p>
    <w:p w14:paraId="6345DFA0">
      <w:pPr>
        <w:spacing w:before="162" w:line="221" w:lineRule="auto"/>
        <w:ind w:left="23" w:firstLine="428"/>
        <w:outlineLvl w:val="9"/>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法定代表人或其委托代理人(签字)：</w:t>
      </w:r>
      <w:r>
        <w:rPr>
          <w:rFonts w:hint="eastAsia" w:ascii="宋体" w:hAnsi="宋体" w:eastAsia="宋体" w:cs="宋体"/>
          <w:color w:val="auto"/>
          <w:spacing w:val="7"/>
          <w:sz w:val="20"/>
          <w:szCs w:val="20"/>
          <w:highlight w:val="none"/>
          <w:u w:val="single"/>
        </w:rPr>
        <w:t xml:space="preserve">              </w:t>
      </w:r>
      <w:r>
        <w:rPr>
          <w:rFonts w:hint="eastAsia" w:ascii="宋体" w:hAnsi="宋体" w:eastAsia="宋体" w:cs="宋体"/>
          <w:color w:val="auto"/>
          <w:spacing w:val="7"/>
          <w:sz w:val="20"/>
          <w:szCs w:val="20"/>
          <w:highlight w:val="none"/>
        </w:rPr>
        <w:t>_</w:t>
      </w:r>
    </w:p>
    <w:p w14:paraId="0AA0E98D">
      <w:pPr>
        <w:spacing w:before="245" w:line="228" w:lineRule="auto"/>
        <w:ind w:left="58" w:firstLine="384"/>
        <w:outlineLvl w:val="9"/>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日期：</w:t>
      </w:r>
      <w:r>
        <w:rPr>
          <w:rFonts w:hint="eastAsia" w:ascii="宋体" w:hAnsi="宋体" w:eastAsia="宋体" w:cs="宋体"/>
          <w:color w:val="auto"/>
          <w:spacing w:val="17"/>
          <w:sz w:val="20"/>
          <w:szCs w:val="20"/>
          <w:highlight w:val="none"/>
        </w:rPr>
        <w:t xml:space="preserve"> </w:t>
      </w:r>
      <w:r>
        <w:rPr>
          <w:rFonts w:hint="eastAsia" w:ascii="宋体" w:hAnsi="宋体" w:eastAsia="宋体" w:cs="宋体"/>
          <w:color w:val="auto"/>
          <w:spacing w:val="5"/>
          <w:sz w:val="20"/>
          <w:szCs w:val="20"/>
          <w:highlight w:val="none"/>
          <w:u w:val="single"/>
        </w:rPr>
        <w:t xml:space="preserve">     </w:t>
      </w:r>
      <w:r>
        <w:rPr>
          <w:rFonts w:hint="eastAsia" w:ascii="宋体" w:hAnsi="宋体" w:eastAsia="宋体" w:cs="宋体"/>
          <w:color w:val="auto"/>
          <w:spacing w:val="16"/>
          <w:sz w:val="20"/>
          <w:szCs w:val="20"/>
          <w:highlight w:val="none"/>
        </w:rPr>
        <w:t xml:space="preserve"> </w:t>
      </w:r>
      <w:r>
        <w:rPr>
          <w:rFonts w:hint="eastAsia" w:ascii="宋体" w:hAnsi="宋体" w:eastAsia="宋体" w:cs="宋体"/>
          <w:color w:val="auto"/>
          <w:spacing w:val="-4"/>
          <w:sz w:val="20"/>
          <w:szCs w:val="20"/>
          <w:highlight w:val="none"/>
        </w:rPr>
        <w:t xml:space="preserve">年 </w:t>
      </w:r>
      <w:r>
        <w:rPr>
          <w:rFonts w:hint="eastAsia" w:ascii="宋体" w:hAnsi="宋体" w:eastAsia="宋体" w:cs="宋体"/>
          <w:color w:val="auto"/>
          <w:spacing w:val="5"/>
          <w:sz w:val="20"/>
          <w:szCs w:val="20"/>
          <w:highlight w:val="none"/>
          <w:u w:val="single"/>
        </w:rPr>
        <w:t xml:space="preserve">    </w:t>
      </w:r>
      <w:r>
        <w:rPr>
          <w:rFonts w:hint="eastAsia" w:ascii="宋体" w:hAnsi="宋体" w:eastAsia="宋体" w:cs="宋体"/>
          <w:color w:val="auto"/>
          <w:spacing w:val="19"/>
          <w:sz w:val="20"/>
          <w:szCs w:val="20"/>
          <w:highlight w:val="none"/>
        </w:rPr>
        <w:t xml:space="preserve"> </w:t>
      </w:r>
      <w:r>
        <w:rPr>
          <w:rFonts w:hint="eastAsia" w:ascii="宋体" w:hAnsi="宋体" w:eastAsia="宋体" w:cs="宋体"/>
          <w:color w:val="auto"/>
          <w:spacing w:val="-4"/>
          <w:sz w:val="20"/>
          <w:szCs w:val="20"/>
          <w:highlight w:val="none"/>
        </w:rPr>
        <w:t>月</w:t>
      </w:r>
      <w:r>
        <w:rPr>
          <w:rFonts w:hint="eastAsia" w:ascii="宋体" w:hAnsi="宋体" w:eastAsia="宋体" w:cs="宋体"/>
          <w:color w:val="auto"/>
          <w:spacing w:val="5"/>
          <w:sz w:val="20"/>
          <w:szCs w:val="20"/>
          <w:highlight w:val="none"/>
        </w:rPr>
        <w:t xml:space="preserve"> </w:t>
      </w:r>
      <w:r>
        <w:rPr>
          <w:rFonts w:hint="eastAsia" w:ascii="宋体" w:hAnsi="宋体" w:eastAsia="宋体" w:cs="宋体"/>
          <w:color w:val="auto"/>
          <w:spacing w:val="4"/>
          <w:sz w:val="20"/>
          <w:szCs w:val="20"/>
          <w:highlight w:val="none"/>
          <w:u w:val="single"/>
        </w:rPr>
        <w:t xml:space="preserve">   </w:t>
      </w:r>
      <w:r>
        <w:rPr>
          <w:rFonts w:hint="eastAsia" w:ascii="宋体" w:hAnsi="宋体" w:eastAsia="宋体" w:cs="宋体"/>
          <w:color w:val="auto"/>
          <w:spacing w:val="53"/>
          <w:sz w:val="20"/>
          <w:szCs w:val="20"/>
          <w:highlight w:val="none"/>
        </w:rPr>
        <w:t xml:space="preserve"> </w:t>
      </w:r>
      <w:r>
        <w:rPr>
          <w:rFonts w:hint="eastAsia" w:ascii="宋体" w:hAnsi="宋体" w:eastAsia="宋体" w:cs="宋体"/>
          <w:color w:val="auto"/>
          <w:spacing w:val="-4"/>
          <w:sz w:val="20"/>
          <w:szCs w:val="20"/>
          <w:highlight w:val="none"/>
        </w:rPr>
        <w:t>日</w:t>
      </w:r>
    </w:p>
    <w:p w14:paraId="5A2C7354">
      <w:pPr>
        <w:spacing w:before="63" w:line="224" w:lineRule="auto"/>
        <w:ind w:left="2617" w:firstLine="630"/>
        <w:outlineLvl w:val="9"/>
        <w:rPr>
          <w:rFonts w:hint="eastAsia" w:ascii="宋体" w:hAnsi="宋体" w:eastAsia="宋体" w:cs="宋体"/>
          <w:b/>
          <w:bCs/>
          <w:color w:val="auto"/>
          <w:spacing w:val="7"/>
          <w:sz w:val="30"/>
          <w:szCs w:val="30"/>
          <w:highlight w:val="none"/>
        </w:rPr>
        <w:sectPr>
          <w:footerReference r:id="rId14" w:type="default"/>
          <w:pgSz w:w="11906" w:h="16839"/>
          <w:pgMar w:top="1440" w:right="1800" w:bottom="1440" w:left="1800" w:header="0" w:footer="994" w:gutter="0"/>
          <w:pgNumType w:fmt="decimal"/>
          <w:cols w:space="720" w:num="1"/>
        </w:sectPr>
      </w:pPr>
    </w:p>
    <w:p w14:paraId="765144B0">
      <w:pPr>
        <w:spacing w:before="63" w:line="224" w:lineRule="auto"/>
        <w:jc w:val="center"/>
        <w:outlineLvl w:val="9"/>
        <w:rPr>
          <w:rFonts w:hint="eastAsia" w:ascii="宋体" w:hAnsi="宋体" w:eastAsia="宋体" w:cs="宋体"/>
          <w:b/>
          <w:bCs/>
          <w:color w:val="auto"/>
          <w:spacing w:val="7"/>
          <w:sz w:val="30"/>
          <w:szCs w:val="30"/>
          <w:highlight w:val="none"/>
        </w:rPr>
      </w:pPr>
      <w:r>
        <w:rPr>
          <w:rFonts w:hint="eastAsia" w:ascii="宋体" w:hAnsi="宋体" w:eastAsia="宋体" w:cs="宋体"/>
          <w:b/>
          <w:bCs/>
          <w:color w:val="auto"/>
          <w:spacing w:val="7"/>
          <w:sz w:val="30"/>
          <w:szCs w:val="30"/>
          <w:highlight w:val="none"/>
        </w:rPr>
        <w:t>五、技术/商务响应与偏离表</w:t>
      </w:r>
    </w:p>
    <w:p w14:paraId="26C518B6">
      <w:pPr>
        <w:adjustRightInd w:val="0"/>
        <w:snapToGrid w:val="0"/>
        <w:spacing w:before="120" w:beforeLines="50" w:line="360" w:lineRule="auto"/>
        <w:ind w:firstLine="532"/>
        <w:outlineLvl w:val="9"/>
        <w:rPr>
          <w:rFonts w:hint="eastAsia" w:ascii="宋体" w:hAnsi="宋体" w:eastAsia="宋体" w:cs="宋体"/>
          <w:color w:val="auto"/>
          <w:szCs w:val="21"/>
          <w:highlight w:val="none"/>
          <w:u w:val="single"/>
        </w:rPr>
      </w:pPr>
      <w:r>
        <w:rPr>
          <w:rFonts w:hint="eastAsia" w:ascii="宋体" w:hAnsi="宋体" w:eastAsia="宋体" w:cs="宋体"/>
          <w:color w:val="auto"/>
          <w:spacing w:val="28"/>
          <w:szCs w:val="21"/>
          <w:highlight w:val="none"/>
        </w:rPr>
        <w:t>采购代理编号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项目名称：</w:t>
      </w:r>
      <w:r>
        <w:rPr>
          <w:rFonts w:hint="eastAsia" w:ascii="宋体" w:hAnsi="宋体" w:eastAsia="宋体" w:cs="宋体"/>
          <w:color w:val="auto"/>
          <w:szCs w:val="21"/>
          <w:highlight w:val="none"/>
          <w:u w:val="single"/>
        </w:rPr>
        <w:t xml:space="preserve">                     </w:t>
      </w:r>
    </w:p>
    <w:p w14:paraId="7251D2DC">
      <w:pPr>
        <w:adjustRightInd w:val="0"/>
        <w:snapToGrid w:val="0"/>
        <w:spacing w:before="120" w:beforeLines="50" w:line="360" w:lineRule="auto"/>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包           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包名称：</w:t>
      </w:r>
      <w:r>
        <w:rPr>
          <w:rFonts w:hint="eastAsia" w:ascii="宋体" w:hAnsi="宋体" w:eastAsia="宋体" w:cs="宋体"/>
          <w:color w:val="auto"/>
          <w:szCs w:val="21"/>
          <w:highlight w:val="none"/>
          <w:u w:val="single"/>
        </w:rPr>
        <w:t xml:space="preserve">                      </w:t>
      </w:r>
    </w:p>
    <w:tbl>
      <w:tblPr>
        <w:tblStyle w:val="30"/>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1F4FD3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48132C78">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序</w:t>
            </w:r>
            <w:r>
              <w:rPr>
                <w:rFonts w:hint="eastAsia" w:ascii="宋体" w:hAnsi="宋体" w:eastAsia="宋体" w:cs="宋体"/>
                <w:color w:val="auto"/>
                <w:szCs w:val="21"/>
                <w:highlight w:val="none"/>
              </w:rPr>
              <w:t>号</w:t>
            </w:r>
          </w:p>
        </w:tc>
        <w:tc>
          <w:tcPr>
            <w:tcW w:w="2410" w:type="dxa"/>
            <w:vAlign w:val="center"/>
          </w:tcPr>
          <w:p w14:paraId="229DDCD3">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磋商文件章节</w:t>
            </w:r>
            <w:r>
              <w:rPr>
                <w:rFonts w:hint="eastAsia" w:ascii="宋体" w:hAnsi="宋体" w:eastAsia="宋体" w:cs="宋体"/>
                <w:bCs/>
                <w:color w:val="auto"/>
                <w:szCs w:val="21"/>
                <w:highlight w:val="none"/>
              </w:rPr>
              <w:t>条</w:t>
            </w:r>
            <w:r>
              <w:rPr>
                <w:rFonts w:hint="eastAsia" w:ascii="宋体" w:hAnsi="宋体" w:eastAsia="宋体" w:cs="宋体"/>
                <w:color w:val="auto"/>
                <w:szCs w:val="21"/>
                <w:highlight w:val="none"/>
              </w:rPr>
              <w:t>款号</w:t>
            </w:r>
          </w:p>
        </w:tc>
        <w:tc>
          <w:tcPr>
            <w:tcW w:w="1985" w:type="dxa"/>
            <w:tcBorders>
              <w:right w:val="single" w:color="auto" w:sz="4" w:space="0"/>
            </w:tcBorders>
          </w:tcPr>
          <w:p w14:paraId="1D2D4D57">
            <w:pPr>
              <w:adjustRightInd w:val="0"/>
              <w:snapToGrid w:val="0"/>
              <w:spacing w:before="50"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磋商</w:t>
            </w:r>
            <w:r>
              <w:rPr>
                <w:rFonts w:hint="eastAsia" w:ascii="宋体" w:hAnsi="宋体" w:eastAsia="宋体" w:cs="宋体"/>
                <w:color w:val="auto"/>
                <w:highlight w:val="none"/>
              </w:rPr>
              <w:t>文件要求</w:t>
            </w:r>
          </w:p>
        </w:tc>
        <w:tc>
          <w:tcPr>
            <w:tcW w:w="2126" w:type="dxa"/>
            <w:tcBorders>
              <w:left w:val="single" w:color="auto" w:sz="4" w:space="0"/>
            </w:tcBorders>
          </w:tcPr>
          <w:p w14:paraId="6DFCCF68">
            <w:pPr>
              <w:adjustRightInd w:val="0"/>
              <w:snapToGrid w:val="0"/>
              <w:spacing w:before="50"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响应</w:t>
            </w:r>
            <w:r>
              <w:rPr>
                <w:rFonts w:hint="eastAsia" w:ascii="宋体" w:hAnsi="宋体" w:eastAsia="宋体" w:cs="宋体"/>
                <w:color w:val="auto"/>
                <w:highlight w:val="none"/>
              </w:rPr>
              <w:t>文件应答</w:t>
            </w:r>
          </w:p>
        </w:tc>
        <w:tc>
          <w:tcPr>
            <w:tcW w:w="1756" w:type="dxa"/>
            <w:vAlign w:val="center"/>
          </w:tcPr>
          <w:p w14:paraId="16ADA997">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569247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46E168B">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2410" w:type="dxa"/>
            <w:vAlign w:val="center"/>
          </w:tcPr>
          <w:p w14:paraId="1E63C391">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1985" w:type="dxa"/>
            <w:tcBorders>
              <w:right w:val="single" w:color="auto" w:sz="4" w:space="0"/>
            </w:tcBorders>
            <w:vAlign w:val="center"/>
          </w:tcPr>
          <w:p w14:paraId="745248D2">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2126" w:type="dxa"/>
            <w:tcBorders>
              <w:left w:val="single" w:color="auto" w:sz="4" w:space="0"/>
            </w:tcBorders>
            <w:vAlign w:val="center"/>
          </w:tcPr>
          <w:p w14:paraId="13C09482">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1756" w:type="dxa"/>
            <w:vAlign w:val="center"/>
          </w:tcPr>
          <w:p w14:paraId="5E0DE836">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r>
      <w:tr w14:paraId="006DD0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4C11782">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2410" w:type="dxa"/>
            <w:vAlign w:val="center"/>
          </w:tcPr>
          <w:p w14:paraId="3EAFBCBB">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1985" w:type="dxa"/>
            <w:tcBorders>
              <w:right w:val="single" w:color="auto" w:sz="4" w:space="0"/>
            </w:tcBorders>
            <w:vAlign w:val="center"/>
          </w:tcPr>
          <w:p w14:paraId="76E817FD">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2126" w:type="dxa"/>
            <w:tcBorders>
              <w:left w:val="single" w:color="auto" w:sz="4" w:space="0"/>
            </w:tcBorders>
            <w:vAlign w:val="center"/>
          </w:tcPr>
          <w:p w14:paraId="40ED3EBE">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1756" w:type="dxa"/>
            <w:vAlign w:val="center"/>
          </w:tcPr>
          <w:p w14:paraId="688CE659">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r>
      <w:tr w14:paraId="70550C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FEB6FB7">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2410" w:type="dxa"/>
            <w:vAlign w:val="center"/>
          </w:tcPr>
          <w:p w14:paraId="5629846A">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1985" w:type="dxa"/>
            <w:tcBorders>
              <w:right w:val="single" w:color="auto" w:sz="4" w:space="0"/>
            </w:tcBorders>
            <w:vAlign w:val="center"/>
          </w:tcPr>
          <w:p w14:paraId="11C9C00C">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2126" w:type="dxa"/>
            <w:tcBorders>
              <w:left w:val="single" w:color="auto" w:sz="4" w:space="0"/>
            </w:tcBorders>
            <w:vAlign w:val="center"/>
          </w:tcPr>
          <w:p w14:paraId="03D94CF4">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1756" w:type="dxa"/>
            <w:vAlign w:val="center"/>
          </w:tcPr>
          <w:p w14:paraId="4269CFC8">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r>
      <w:tr w14:paraId="711067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9D77E45">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2410" w:type="dxa"/>
            <w:vAlign w:val="center"/>
          </w:tcPr>
          <w:p w14:paraId="2B13C00F">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1985" w:type="dxa"/>
            <w:tcBorders>
              <w:right w:val="single" w:color="auto" w:sz="4" w:space="0"/>
            </w:tcBorders>
            <w:vAlign w:val="center"/>
          </w:tcPr>
          <w:p w14:paraId="2FBBD29F">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2126" w:type="dxa"/>
            <w:tcBorders>
              <w:left w:val="single" w:color="auto" w:sz="4" w:space="0"/>
            </w:tcBorders>
            <w:vAlign w:val="center"/>
          </w:tcPr>
          <w:p w14:paraId="538BE910">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1756" w:type="dxa"/>
            <w:vAlign w:val="center"/>
          </w:tcPr>
          <w:p w14:paraId="3978F9B5">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r>
      <w:tr w14:paraId="6360F6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D729A46">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2410" w:type="dxa"/>
            <w:vAlign w:val="center"/>
          </w:tcPr>
          <w:p w14:paraId="509533FD">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1985" w:type="dxa"/>
            <w:tcBorders>
              <w:right w:val="single" w:color="auto" w:sz="4" w:space="0"/>
            </w:tcBorders>
            <w:vAlign w:val="center"/>
          </w:tcPr>
          <w:p w14:paraId="06F85278">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2126" w:type="dxa"/>
            <w:tcBorders>
              <w:left w:val="single" w:color="auto" w:sz="4" w:space="0"/>
            </w:tcBorders>
            <w:vAlign w:val="center"/>
          </w:tcPr>
          <w:p w14:paraId="7F808C19">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1756" w:type="dxa"/>
            <w:vAlign w:val="center"/>
          </w:tcPr>
          <w:p w14:paraId="018B985E">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r>
      <w:tr w14:paraId="52002B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9D33C75">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2410" w:type="dxa"/>
            <w:vAlign w:val="center"/>
          </w:tcPr>
          <w:p w14:paraId="57C31F95">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1985" w:type="dxa"/>
            <w:tcBorders>
              <w:right w:val="single" w:color="auto" w:sz="4" w:space="0"/>
            </w:tcBorders>
            <w:vAlign w:val="center"/>
          </w:tcPr>
          <w:p w14:paraId="739F711D">
            <w:pPr>
              <w:adjustRightInd w:val="0"/>
              <w:snapToGrid w:val="0"/>
              <w:spacing w:before="50" w:line="360" w:lineRule="auto"/>
              <w:ind w:left="-88" w:leftChars="-42"/>
              <w:jc w:val="center"/>
              <w:outlineLvl w:val="9"/>
              <w:rPr>
                <w:rFonts w:hint="eastAsia" w:ascii="宋体" w:hAnsi="宋体" w:eastAsia="宋体" w:cs="宋体"/>
                <w:color w:val="auto"/>
                <w:szCs w:val="21"/>
                <w:highlight w:val="none"/>
              </w:rPr>
            </w:pPr>
          </w:p>
        </w:tc>
        <w:tc>
          <w:tcPr>
            <w:tcW w:w="3882" w:type="dxa"/>
            <w:gridSpan w:val="2"/>
            <w:tcBorders>
              <w:left w:val="single" w:color="auto" w:sz="4" w:space="0"/>
            </w:tcBorders>
            <w:vAlign w:val="center"/>
          </w:tcPr>
          <w:p w14:paraId="46C36B82">
            <w:pPr>
              <w:adjustRightInd w:val="0"/>
              <w:snapToGrid w:val="0"/>
              <w:spacing w:before="50" w:line="360" w:lineRule="auto"/>
              <w:ind w:firstLine="422" w:firstLineChars="200"/>
              <w:outlineLvl w:val="9"/>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供应商保证：除本技术/商务响应与偏离表列出的偏离外，我单位对磋商文件技术和商务所以条款完全响应，无偏离。</w:t>
            </w:r>
          </w:p>
        </w:tc>
      </w:tr>
    </w:tbl>
    <w:p w14:paraId="6B8CD0D9">
      <w:pPr>
        <w:adjustRightInd w:val="0"/>
        <w:snapToGrid w:val="0"/>
        <w:spacing w:before="50" w:line="360" w:lineRule="auto"/>
        <w:ind w:left="-88" w:leftChars="-42" w:firstLine="422"/>
        <w:outlineLvl w:val="9"/>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备注</w:t>
      </w:r>
      <w:r>
        <w:rPr>
          <w:rFonts w:hint="eastAsia" w:ascii="宋体" w:hAnsi="宋体" w:eastAsia="宋体" w:cs="宋体"/>
          <w:color w:val="auto"/>
          <w:szCs w:val="21"/>
          <w:highlight w:val="none"/>
        </w:rPr>
        <w:t>：（1）供应商应根据磋商文件技术和商务填写本表；</w:t>
      </w:r>
    </w:p>
    <w:p w14:paraId="1434FFE8">
      <w:pPr>
        <w:adjustRightInd w:val="0"/>
        <w:snapToGrid w:val="0"/>
        <w:spacing w:before="50" w:line="360" w:lineRule="auto"/>
        <w:ind w:left="-88" w:leftChars="-42" w:firstLine="630" w:firstLineChars="300"/>
        <w:outlineLvl w:val="9"/>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b/>
          <w:color w:val="auto"/>
          <w:szCs w:val="21"/>
          <w:highlight w:val="none"/>
        </w:rPr>
        <w:t>供应商如果对磋商文件技术和商务条款响应有偏离，应将偏离条款逐条如实应答，并作出说明；</w:t>
      </w:r>
    </w:p>
    <w:p w14:paraId="504A307C">
      <w:pPr>
        <w:adjustRightInd w:val="0"/>
        <w:snapToGrid w:val="0"/>
        <w:spacing w:before="50" w:line="360" w:lineRule="auto"/>
        <w:ind w:left="-88" w:leftChars="-42" w:firstLine="630" w:firstLineChars="3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（3）如不提供此表，则视为供应商不满足</w:t>
      </w:r>
      <w:r>
        <w:rPr>
          <w:rFonts w:hint="eastAsia" w:ascii="宋体" w:hAnsi="宋体" w:eastAsia="宋体" w:cs="宋体"/>
          <w:b/>
          <w:color w:val="auto"/>
          <w:szCs w:val="21"/>
          <w:highlight w:val="none"/>
        </w:rPr>
        <w:t>磋商文件技术和商务</w:t>
      </w:r>
      <w:r>
        <w:rPr>
          <w:rFonts w:hint="eastAsia" w:ascii="宋体" w:hAnsi="宋体" w:eastAsia="宋体" w:cs="宋体"/>
          <w:color w:val="auto"/>
          <w:szCs w:val="21"/>
          <w:highlight w:val="none"/>
        </w:rPr>
        <w:t>所有条款要求，其</w:t>
      </w:r>
      <w:r>
        <w:rPr>
          <w:rFonts w:hint="eastAsia" w:ascii="宋体" w:hAnsi="宋体" w:eastAsia="宋体" w:cs="宋体"/>
          <w:b/>
          <w:color w:val="auto"/>
          <w:szCs w:val="21"/>
          <w:highlight w:val="none"/>
        </w:rPr>
        <w:t>响应无效</w:t>
      </w:r>
    </w:p>
    <w:p w14:paraId="4932F0A5">
      <w:pPr>
        <w:adjustRightInd w:val="0"/>
        <w:snapToGrid w:val="0"/>
        <w:spacing w:before="50" w:line="360" w:lineRule="auto"/>
        <w:outlineLvl w:val="9"/>
        <w:rPr>
          <w:rFonts w:hint="eastAsia" w:ascii="宋体" w:hAnsi="宋体" w:eastAsia="宋体" w:cs="宋体"/>
          <w:color w:val="auto"/>
          <w:szCs w:val="21"/>
          <w:highlight w:val="none"/>
        </w:rPr>
      </w:pPr>
    </w:p>
    <w:p w14:paraId="4246BD7D">
      <w:pPr>
        <w:adjustRightInd w:val="0"/>
        <w:snapToGrid w:val="0"/>
        <w:spacing w:before="50" w:line="360" w:lineRule="auto"/>
        <w:outlineLvl w:val="9"/>
        <w:rPr>
          <w:rFonts w:hint="eastAsia" w:ascii="宋体" w:hAnsi="宋体" w:eastAsia="宋体" w:cs="宋体"/>
          <w:color w:val="auto"/>
          <w:szCs w:val="21"/>
          <w:highlight w:val="none"/>
        </w:rPr>
      </w:pPr>
    </w:p>
    <w:p w14:paraId="2EE02C31">
      <w:pPr>
        <w:adjustRightInd w:val="0"/>
        <w:snapToGrid w:val="0"/>
        <w:spacing w:before="50"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供应商名称（盖单位公章）：</w:t>
      </w:r>
    </w:p>
    <w:p w14:paraId="690C2E16">
      <w:pPr>
        <w:adjustRightInd w:val="0"/>
        <w:snapToGrid w:val="0"/>
        <w:spacing w:before="50" w:line="360" w:lineRule="auto"/>
        <w:ind w:firstLine="412"/>
        <w:outlineLvl w:val="9"/>
        <w:rPr>
          <w:rFonts w:hint="eastAsia" w:ascii="宋体" w:hAnsi="宋体" w:eastAsia="宋体" w:cs="宋体"/>
          <w:color w:val="auto"/>
          <w:szCs w:val="21"/>
          <w:highlight w:val="none"/>
        </w:rPr>
      </w:pPr>
      <w:r>
        <w:rPr>
          <w:rFonts w:hint="eastAsia" w:ascii="宋体" w:hAnsi="宋体" w:eastAsia="宋体" w:cs="宋体"/>
          <w:color w:val="auto"/>
          <w:spacing w:val="-2"/>
          <w:kern w:val="0"/>
          <w:szCs w:val="21"/>
          <w:highlight w:val="none"/>
        </w:rPr>
        <w:t>法</w:t>
      </w:r>
      <w:r>
        <w:rPr>
          <w:rFonts w:hint="eastAsia" w:ascii="宋体" w:hAnsi="宋体" w:eastAsia="宋体" w:cs="宋体"/>
          <w:color w:val="auto"/>
          <w:kern w:val="0"/>
          <w:szCs w:val="21"/>
          <w:highlight w:val="none"/>
        </w:rPr>
        <w:t>定</w:t>
      </w:r>
      <w:r>
        <w:rPr>
          <w:rFonts w:hint="eastAsia" w:ascii="宋体" w:hAnsi="宋体" w:eastAsia="宋体" w:cs="宋体"/>
          <w:color w:val="auto"/>
          <w:spacing w:val="-2"/>
          <w:kern w:val="0"/>
          <w:szCs w:val="21"/>
          <w:highlight w:val="none"/>
        </w:rPr>
        <w:t>代</w:t>
      </w:r>
      <w:r>
        <w:rPr>
          <w:rFonts w:hint="eastAsia" w:ascii="宋体" w:hAnsi="宋体" w:eastAsia="宋体" w:cs="宋体"/>
          <w:color w:val="auto"/>
          <w:kern w:val="0"/>
          <w:szCs w:val="21"/>
          <w:highlight w:val="none"/>
        </w:rPr>
        <w:t>表</w:t>
      </w:r>
      <w:r>
        <w:rPr>
          <w:rFonts w:hint="eastAsia" w:ascii="宋体" w:hAnsi="宋体" w:eastAsia="宋体" w:cs="宋体"/>
          <w:color w:val="auto"/>
          <w:spacing w:val="-2"/>
          <w:kern w:val="0"/>
          <w:szCs w:val="21"/>
          <w:highlight w:val="none"/>
        </w:rPr>
        <w:t>人</w:t>
      </w:r>
      <w:r>
        <w:rPr>
          <w:rFonts w:hint="eastAsia" w:ascii="宋体" w:hAnsi="宋体" w:eastAsia="宋体" w:cs="宋体"/>
          <w:color w:val="auto"/>
          <w:kern w:val="0"/>
          <w:szCs w:val="21"/>
          <w:highlight w:val="none"/>
        </w:rPr>
        <w:t>（</w:t>
      </w:r>
      <w:r>
        <w:rPr>
          <w:rFonts w:hint="eastAsia" w:ascii="宋体" w:hAnsi="宋体" w:eastAsia="宋体" w:cs="宋体"/>
          <w:color w:val="auto"/>
          <w:spacing w:val="-2"/>
          <w:kern w:val="0"/>
          <w:szCs w:val="21"/>
          <w:highlight w:val="none"/>
        </w:rPr>
        <w:t>单</w:t>
      </w:r>
      <w:r>
        <w:rPr>
          <w:rFonts w:hint="eastAsia" w:ascii="宋体" w:hAnsi="宋体" w:eastAsia="宋体" w:cs="宋体"/>
          <w:color w:val="auto"/>
          <w:kern w:val="0"/>
          <w:szCs w:val="21"/>
          <w:highlight w:val="none"/>
        </w:rPr>
        <w:t>位</w:t>
      </w:r>
      <w:r>
        <w:rPr>
          <w:rFonts w:hint="eastAsia" w:ascii="宋体" w:hAnsi="宋体" w:eastAsia="宋体" w:cs="宋体"/>
          <w:color w:val="auto"/>
          <w:spacing w:val="-2"/>
          <w:kern w:val="0"/>
          <w:szCs w:val="21"/>
          <w:highlight w:val="none"/>
        </w:rPr>
        <w:t>负</w:t>
      </w:r>
      <w:r>
        <w:rPr>
          <w:rFonts w:hint="eastAsia" w:ascii="宋体" w:hAnsi="宋体" w:eastAsia="宋体" w:cs="宋体"/>
          <w:color w:val="auto"/>
          <w:kern w:val="0"/>
          <w:szCs w:val="21"/>
          <w:highlight w:val="none"/>
        </w:rPr>
        <w:t>责人</w:t>
      </w:r>
      <w:r>
        <w:rPr>
          <w:rFonts w:hint="eastAsia" w:ascii="宋体" w:hAnsi="宋体" w:eastAsia="宋体" w:cs="宋体"/>
          <w:color w:val="auto"/>
          <w:spacing w:val="-2"/>
          <w:kern w:val="0"/>
          <w:szCs w:val="21"/>
          <w:highlight w:val="none"/>
        </w:rPr>
        <w:t>）</w:t>
      </w:r>
      <w:r>
        <w:rPr>
          <w:rFonts w:hint="eastAsia" w:ascii="宋体" w:hAnsi="宋体" w:eastAsia="宋体" w:cs="宋体"/>
          <w:color w:val="auto"/>
          <w:szCs w:val="21"/>
          <w:highlight w:val="none"/>
        </w:rPr>
        <w:t>或其授权的代理人（签字或印章）：</w:t>
      </w:r>
      <w:r>
        <w:rPr>
          <w:rFonts w:hint="eastAsia" w:ascii="宋体" w:hAnsi="宋体" w:eastAsia="宋体" w:cs="宋体"/>
          <w:color w:val="auto"/>
          <w:szCs w:val="21"/>
          <w:highlight w:val="none"/>
          <w:u w:val="single"/>
        </w:rPr>
        <w:t xml:space="preserve">                </w:t>
      </w:r>
    </w:p>
    <w:p w14:paraId="1350FD7A">
      <w:pPr>
        <w:adjustRightInd w:val="0"/>
        <w:snapToGrid w:val="0"/>
        <w:spacing w:before="50"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2518F1FC">
      <w:pPr>
        <w:spacing w:before="63" w:line="224" w:lineRule="auto"/>
        <w:ind w:left="1051" w:firstLine="660"/>
        <w:outlineLvl w:val="9"/>
        <w:rPr>
          <w:rFonts w:hint="eastAsia" w:ascii="宋体" w:hAnsi="宋体" w:eastAsia="宋体" w:cs="宋体"/>
          <w:color w:val="auto"/>
          <w:spacing w:val="10"/>
          <w:sz w:val="31"/>
          <w:szCs w:val="31"/>
          <w:highlight w:val="none"/>
        </w:rPr>
        <w:sectPr>
          <w:pgSz w:w="11906" w:h="16839"/>
          <w:pgMar w:top="1440" w:right="1800" w:bottom="1440" w:left="1800" w:header="0" w:footer="994" w:gutter="0"/>
          <w:pgNumType w:fmt="decimal"/>
          <w:cols w:space="720" w:num="1"/>
        </w:sectPr>
      </w:pPr>
    </w:p>
    <w:p w14:paraId="49082105">
      <w:pPr>
        <w:spacing w:before="63" w:line="224" w:lineRule="auto"/>
        <w:ind w:firstLine="630"/>
        <w:jc w:val="center"/>
        <w:outlineLvl w:val="9"/>
        <w:rPr>
          <w:rFonts w:hint="eastAsia" w:ascii="宋体" w:hAnsi="宋体" w:eastAsia="宋体" w:cs="宋体"/>
          <w:b/>
          <w:bCs/>
          <w:color w:val="auto"/>
          <w:spacing w:val="7"/>
          <w:sz w:val="30"/>
          <w:szCs w:val="30"/>
          <w:highlight w:val="none"/>
        </w:rPr>
      </w:pPr>
      <w:r>
        <w:rPr>
          <w:rFonts w:hint="eastAsia" w:ascii="宋体" w:hAnsi="宋体" w:eastAsia="宋体" w:cs="宋体"/>
          <w:b/>
          <w:bCs/>
          <w:color w:val="auto"/>
          <w:spacing w:val="7"/>
          <w:sz w:val="30"/>
          <w:szCs w:val="30"/>
          <w:highlight w:val="none"/>
        </w:rPr>
        <w:t>六、提供享受政府采购政策的证明材料和清单表</w:t>
      </w:r>
    </w:p>
    <w:p w14:paraId="57E799CD">
      <w:pPr>
        <w:pStyle w:val="12"/>
        <w:spacing w:line="336" w:lineRule="auto"/>
        <w:jc w:val="center"/>
        <w:outlineLvl w:val="9"/>
        <w:rPr>
          <w:rFonts w:hint="eastAsia" w:ascii="宋体" w:hAnsi="宋体" w:eastAsia="宋体" w:cs="宋体"/>
          <w:color w:val="auto"/>
          <w:highlight w:val="none"/>
        </w:rPr>
      </w:pPr>
    </w:p>
    <w:p w14:paraId="6B043745">
      <w:pPr>
        <w:pStyle w:val="12"/>
        <w:spacing w:line="337" w:lineRule="auto"/>
        <w:outlineLvl w:val="9"/>
        <w:rPr>
          <w:rFonts w:hint="eastAsia" w:ascii="宋体" w:hAnsi="宋体" w:eastAsia="宋体" w:cs="宋体"/>
          <w:color w:val="auto"/>
          <w:highlight w:val="none"/>
        </w:rPr>
      </w:pPr>
    </w:p>
    <w:p w14:paraId="1BC93E31">
      <w:pPr>
        <w:spacing w:before="97" w:line="219" w:lineRule="auto"/>
        <w:ind w:left="26" w:firstLine="576"/>
        <w:outlineLvl w:val="9"/>
        <w:rPr>
          <w:rFonts w:hint="eastAsia" w:ascii="宋体" w:hAnsi="宋体" w:eastAsia="宋体" w:cs="宋体"/>
          <w:color w:val="auto"/>
          <w:spacing w:val="-6"/>
          <w:sz w:val="30"/>
          <w:szCs w:val="30"/>
          <w:highlight w:val="none"/>
        </w:rPr>
      </w:pPr>
      <w:r>
        <w:rPr>
          <w:rFonts w:hint="eastAsia" w:ascii="宋体" w:hAnsi="宋体" w:eastAsia="宋体" w:cs="宋体"/>
          <w:color w:val="auto"/>
          <w:spacing w:val="-6"/>
          <w:sz w:val="30"/>
          <w:szCs w:val="30"/>
          <w:highlight w:val="none"/>
        </w:rPr>
        <w:t>附件</w:t>
      </w:r>
      <w:r>
        <w:rPr>
          <w:rFonts w:hint="eastAsia" w:ascii="宋体" w:hAnsi="宋体" w:eastAsia="宋体" w:cs="宋体"/>
          <w:color w:val="auto"/>
          <w:spacing w:val="-41"/>
          <w:sz w:val="30"/>
          <w:szCs w:val="30"/>
          <w:highlight w:val="none"/>
        </w:rPr>
        <w:t xml:space="preserve"> </w:t>
      </w:r>
      <w:r>
        <w:rPr>
          <w:rFonts w:hint="eastAsia" w:ascii="宋体" w:hAnsi="宋体" w:eastAsia="宋体" w:cs="宋体"/>
          <w:color w:val="auto"/>
          <w:spacing w:val="-6"/>
          <w:sz w:val="30"/>
          <w:szCs w:val="30"/>
          <w:highlight w:val="none"/>
        </w:rPr>
        <w:t>9</w:t>
      </w:r>
    </w:p>
    <w:p w14:paraId="53051498">
      <w:pPr>
        <w:tabs>
          <w:tab w:val="left" w:pos="3600"/>
        </w:tabs>
        <w:adjustRightInd w:val="0"/>
        <w:snapToGrid w:val="0"/>
        <w:ind w:right="23" w:rightChars="11"/>
        <w:jc w:val="center"/>
        <w:outlineLvl w:val="9"/>
        <w:rPr>
          <w:rFonts w:ascii="黑体" w:hAnsi="华文中宋" w:eastAsia="黑体" w:cs="宋体"/>
          <w:b/>
          <w:color w:val="auto"/>
          <w:kern w:val="0"/>
          <w:sz w:val="28"/>
          <w:szCs w:val="28"/>
        </w:rPr>
      </w:pPr>
      <w:r>
        <w:rPr>
          <w:rFonts w:hint="eastAsia" w:ascii="黑体" w:hAnsi="华文中宋" w:eastAsia="黑体" w:cs="宋体"/>
          <w:b/>
          <w:bCs/>
          <w:color w:val="auto"/>
          <w:spacing w:val="6"/>
          <w:kern w:val="0"/>
          <w:sz w:val="28"/>
          <w:szCs w:val="28"/>
        </w:rPr>
        <w:t>中小企业声明函（工程)</w:t>
      </w:r>
    </w:p>
    <w:p w14:paraId="1D313F8F">
      <w:pPr>
        <w:widowControl/>
        <w:adjustRightInd w:val="0"/>
        <w:snapToGrid w:val="0"/>
        <w:spacing w:beforeLines="50" w:line="360" w:lineRule="auto"/>
        <w:ind w:right="23" w:rightChars="11" w:firstLine="444" w:firstLineChars="200"/>
        <w:jc w:val="left"/>
        <w:outlineLvl w:val="9"/>
        <w:rPr>
          <w:rFonts w:ascii="宋体" w:hAnsi="宋体" w:cs="宋体"/>
          <w:color w:val="auto"/>
          <w:spacing w:val="6"/>
          <w:kern w:val="0"/>
          <w:szCs w:val="21"/>
        </w:rPr>
      </w:pPr>
    </w:p>
    <w:p w14:paraId="20F29315">
      <w:pPr>
        <w:spacing w:line="360" w:lineRule="auto"/>
        <w:ind w:right="23" w:rightChars="11" w:firstLine="420" w:firstLineChars="200"/>
        <w:outlineLvl w:val="9"/>
        <w:rPr>
          <w:rFonts w:ascii="宋体" w:hAnsi="宋体" w:cs="宋体"/>
          <w:color w:val="auto"/>
          <w:szCs w:val="21"/>
          <w:lang w:bidi="zh-CN"/>
        </w:rPr>
      </w:pPr>
      <w:r>
        <w:rPr>
          <w:rFonts w:ascii="宋体" w:hAnsi="宋体" w:cs="宋体"/>
          <w:color w:val="auto"/>
          <w:szCs w:val="21"/>
          <w:lang w:bidi="zh-CN"/>
        </w:rPr>
        <w:t>本公司（联合体）郑重声明，根据《政府采购促进中小企业发展管理办法》（财库</w:t>
      </w:r>
      <w:r>
        <w:rPr>
          <w:rFonts w:hint="eastAsia" w:ascii="宋体" w:hAnsi="宋体" w:cs="宋体"/>
          <w:color w:val="auto"/>
          <w:szCs w:val="21"/>
          <w:lang w:bidi="zh-CN"/>
        </w:rPr>
        <w:t>﹝</w:t>
      </w:r>
      <w:r>
        <w:rPr>
          <w:rFonts w:ascii="宋体" w:hAnsi="宋体" w:cs="宋体"/>
          <w:color w:val="auto"/>
          <w:szCs w:val="21"/>
          <w:lang w:bidi="zh-CN"/>
        </w:rPr>
        <w:t>2020</w:t>
      </w:r>
      <w:r>
        <w:rPr>
          <w:rFonts w:hint="eastAsia" w:ascii="宋体" w:hAnsi="宋体" w:cs="宋体"/>
          <w:color w:val="auto"/>
          <w:szCs w:val="21"/>
          <w:lang w:bidi="zh-CN"/>
        </w:rPr>
        <w:t>﹞</w:t>
      </w:r>
      <w:r>
        <w:rPr>
          <w:rFonts w:ascii="宋体" w:hAnsi="宋体" w:cs="宋体"/>
          <w:color w:val="auto"/>
          <w:szCs w:val="21"/>
          <w:lang w:bidi="zh-CN"/>
        </w:rPr>
        <w:t>46号）的规定，本公司（联合体）参加</w:t>
      </w:r>
      <w:r>
        <w:rPr>
          <w:rFonts w:ascii="宋体" w:hAnsi="宋体" w:cs="宋体"/>
          <w:color w:val="auto"/>
          <w:szCs w:val="21"/>
          <w:u w:val="single"/>
          <w:lang w:bidi="zh-CN"/>
        </w:rPr>
        <w:t>（单位名称）</w:t>
      </w:r>
      <w:r>
        <w:rPr>
          <w:rFonts w:ascii="宋体" w:hAnsi="宋体" w:cs="宋体"/>
          <w:color w:val="auto"/>
          <w:szCs w:val="21"/>
          <w:lang w:bidi="zh-CN"/>
        </w:rPr>
        <w:t>的</w:t>
      </w:r>
      <w:r>
        <w:rPr>
          <w:rFonts w:ascii="宋体" w:hAnsi="宋体" w:cs="宋体"/>
          <w:color w:val="auto"/>
          <w:szCs w:val="21"/>
          <w:u w:val="single"/>
          <w:lang w:bidi="zh-CN"/>
        </w:rPr>
        <w:t>（项目名称）</w:t>
      </w:r>
      <w:r>
        <w:rPr>
          <w:rFonts w:ascii="宋体" w:hAnsi="宋体" w:cs="宋体"/>
          <w:color w:val="auto"/>
          <w:szCs w:val="21"/>
          <w:lang w:bidi="zh-CN"/>
        </w:rPr>
        <w:t>采购活动，工程的施工单位全部为符合政策要求的中小企业。相关企业（含联合体中的中小企业、签订分包意向协议的中小企业）的具体情况如下：</w:t>
      </w:r>
    </w:p>
    <w:p w14:paraId="6B1FE4B7">
      <w:pPr>
        <w:spacing w:line="360" w:lineRule="auto"/>
        <w:ind w:right="23" w:rightChars="11" w:firstLine="420" w:firstLineChars="200"/>
        <w:outlineLvl w:val="9"/>
        <w:rPr>
          <w:rFonts w:ascii="宋体" w:hAnsi="宋体" w:cs="宋体"/>
          <w:color w:val="auto"/>
          <w:szCs w:val="21"/>
          <w:lang w:bidi="zh-CN"/>
        </w:rPr>
      </w:pPr>
      <w:r>
        <w:rPr>
          <w:rFonts w:hint="eastAsia" w:ascii="宋体" w:hAnsi="宋体" w:cs="宋体"/>
          <w:color w:val="auto"/>
          <w:szCs w:val="21"/>
        </w:rPr>
        <w:t>1.</w:t>
      </w:r>
      <w:r>
        <w:rPr>
          <w:rFonts w:ascii="宋体" w:hAnsi="宋体" w:cs="宋体"/>
          <w:color w:val="auto"/>
          <w:szCs w:val="21"/>
          <w:u w:val="single"/>
          <w:lang w:bidi="zh-CN"/>
        </w:rPr>
        <w:t>（标的名称）</w:t>
      </w:r>
      <w:r>
        <w:rPr>
          <w:rFonts w:ascii="宋体" w:hAnsi="宋体" w:cs="宋体"/>
          <w:color w:val="auto"/>
          <w:szCs w:val="21"/>
          <w:lang w:bidi="zh-CN"/>
        </w:rPr>
        <w:t>，属于</w:t>
      </w:r>
      <w:r>
        <w:rPr>
          <w:rFonts w:ascii="宋体" w:hAnsi="宋体" w:cs="宋体"/>
          <w:color w:val="auto"/>
          <w:szCs w:val="21"/>
          <w:u w:val="single"/>
          <w:lang w:bidi="zh-CN"/>
        </w:rPr>
        <w:t>（采购文件中明确的所属行业）</w:t>
      </w:r>
      <w:r>
        <w:rPr>
          <w:rFonts w:ascii="宋体" w:hAnsi="宋体" w:cs="宋体"/>
          <w:color w:val="auto"/>
          <w:szCs w:val="21"/>
          <w:lang w:bidi="zh-CN"/>
        </w:rPr>
        <w:t>；承建企业为</w:t>
      </w:r>
      <w:r>
        <w:rPr>
          <w:rFonts w:ascii="宋体" w:hAnsi="宋体" w:cs="宋体"/>
          <w:color w:val="auto"/>
          <w:szCs w:val="21"/>
          <w:u w:val="single"/>
          <w:lang w:bidi="zh-CN"/>
        </w:rPr>
        <w:t>（企业名称）</w:t>
      </w:r>
      <w:r>
        <w:rPr>
          <w:rFonts w:ascii="宋体" w:hAnsi="宋体" w:cs="宋体"/>
          <w:color w:val="auto"/>
          <w:szCs w:val="21"/>
          <w:lang w:bidi="zh-CN"/>
        </w:rPr>
        <w:t>，从业人员</w:t>
      </w:r>
      <w:r>
        <w:rPr>
          <w:rFonts w:ascii="宋体" w:hAnsi="宋体" w:cs="宋体"/>
          <w:color w:val="auto"/>
          <w:szCs w:val="21"/>
          <w:u w:val="single"/>
          <w:lang w:bidi="zh-CN"/>
        </w:rPr>
        <w:tab/>
      </w:r>
      <w:r>
        <w:rPr>
          <w:rFonts w:ascii="宋体" w:hAnsi="宋体" w:cs="宋体"/>
          <w:color w:val="auto"/>
          <w:szCs w:val="21"/>
          <w:lang w:bidi="zh-CN"/>
        </w:rPr>
        <w:t>人，营业收入为</w:t>
      </w:r>
      <w:r>
        <w:rPr>
          <w:rFonts w:ascii="宋体" w:hAnsi="宋体" w:cs="宋体"/>
          <w:color w:val="auto"/>
          <w:szCs w:val="21"/>
          <w:u w:val="single"/>
          <w:lang w:bidi="zh-CN"/>
        </w:rPr>
        <w:tab/>
      </w:r>
      <w:r>
        <w:rPr>
          <w:rFonts w:ascii="宋体" w:hAnsi="宋体" w:cs="宋体"/>
          <w:color w:val="auto"/>
          <w:szCs w:val="21"/>
          <w:lang w:bidi="zh-CN"/>
        </w:rPr>
        <w:t>万元，资产总额为</w:t>
      </w:r>
      <w:r>
        <w:rPr>
          <w:rFonts w:ascii="宋体" w:hAnsi="宋体" w:cs="宋体"/>
          <w:color w:val="auto"/>
          <w:szCs w:val="21"/>
          <w:u w:val="single"/>
          <w:lang w:bidi="zh-CN"/>
        </w:rPr>
        <w:tab/>
      </w:r>
      <w:r>
        <w:rPr>
          <w:rFonts w:ascii="宋体" w:hAnsi="宋体" w:cs="宋体"/>
          <w:color w:val="auto"/>
          <w:szCs w:val="21"/>
          <w:lang w:bidi="zh-CN"/>
        </w:rPr>
        <w:t>万元，属于</w:t>
      </w:r>
      <w:r>
        <w:rPr>
          <w:rFonts w:ascii="宋体" w:hAnsi="宋体" w:cs="宋体"/>
          <w:color w:val="auto"/>
          <w:szCs w:val="21"/>
          <w:u w:val="single"/>
          <w:lang w:bidi="zh-CN"/>
        </w:rPr>
        <w:t>（中型企业、小型企业、微型企业）</w:t>
      </w:r>
      <w:r>
        <w:rPr>
          <w:rFonts w:ascii="宋体" w:hAnsi="宋体" w:cs="宋体"/>
          <w:color w:val="auto"/>
          <w:szCs w:val="21"/>
          <w:lang w:bidi="zh-CN"/>
        </w:rPr>
        <w:t>；</w:t>
      </w:r>
    </w:p>
    <w:p w14:paraId="0FB963AA">
      <w:pPr>
        <w:spacing w:line="360" w:lineRule="auto"/>
        <w:ind w:right="23" w:rightChars="11" w:firstLine="420" w:firstLineChars="200"/>
        <w:outlineLvl w:val="9"/>
        <w:rPr>
          <w:rFonts w:ascii="宋体" w:hAnsi="宋体" w:cs="宋体"/>
          <w:color w:val="auto"/>
          <w:szCs w:val="21"/>
          <w:u w:val="single"/>
          <w:lang w:bidi="zh-CN"/>
        </w:rPr>
      </w:pPr>
      <w:r>
        <w:rPr>
          <w:rFonts w:hint="eastAsia" w:ascii="宋体" w:hAnsi="宋体" w:cs="宋体"/>
          <w:color w:val="auto"/>
          <w:szCs w:val="21"/>
        </w:rPr>
        <w:t>2.</w:t>
      </w:r>
      <w:r>
        <w:rPr>
          <w:rFonts w:ascii="宋体" w:hAnsi="宋体" w:cs="宋体"/>
          <w:color w:val="auto"/>
          <w:szCs w:val="21"/>
          <w:u w:val="single"/>
          <w:lang w:bidi="zh-CN"/>
        </w:rPr>
        <w:t>（标的名称）</w:t>
      </w:r>
      <w:r>
        <w:rPr>
          <w:rFonts w:ascii="宋体" w:hAnsi="宋体" w:cs="宋体"/>
          <w:color w:val="auto"/>
          <w:szCs w:val="21"/>
          <w:lang w:bidi="zh-CN"/>
        </w:rPr>
        <w:t>，属于</w:t>
      </w:r>
      <w:r>
        <w:rPr>
          <w:rFonts w:ascii="宋体" w:hAnsi="宋体" w:cs="宋体"/>
          <w:color w:val="auto"/>
          <w:szCs w:val="21"/>
          <w:u w:val="single"/>
          <w:lang w:bidi="zh-CN"/>
        </w:rPr>
        <w:t>（采购文件中明确的所属行业）</w:t>
      </w:r>
      <w:r>
        <w:rPr>
          <w:rFonts w:ascii="宋体" w:hAnsi="宋体" w:cs="宋体"/>
          <w:color w:val="auto"/>
          <w:szCs w:val="21"/>
          <w:lang w:bidi="zh-CN"/>
        </w:rPr>
        <w:t>；承建企业为</w:t>
      </w:r>
      <w:r>
        <w:rPr>
          <w:rFonts w:ascii="宋体" w:hAnsi="宋体" w:cs="宋体"/>
          <w:color w:val="auto"/>
          <w:szCs w:val="21"/>
          <w:u w:val="single"/>
          <w:lang w:bidi="zh-CN"/>
        </w:rPr>
        <w:t>（企业名称）</w:t>
      </w:r>
      <w:r>
        <w:rPr>
          <w:rFonts w:ascii="宋体" w:hAnsi="宋体" w:cs="宋体"/>
          <w:color w:val="auto"/>
          <w:szCs w:val="21"/>
          <w:lang w:bidi="zh-CN"/>
        </w:rPr>
        <w:t>，从业人员</w:t>
      </w:r>
      <w:r>
        <w:rPr>
          <w:rFonts w:ascii="宋体" w:hAnsi="宋体" w:cs="宋体"/>
          <w:color w:val="auto"/>
          <w:szCs w:val="21"/>
          <w:u w:val="single"/>
          <w:lang w:bidi="zh-CN"/>
        </w:rPr>
        <w:tab/>
      </w:r>
      <w:r>
        <w:rPr>
          <w:rFonts w:ascii="宋体" w:hAnsi="宋体" w:cs="宋体"/>
          <w:color w:val="auto"/>
          <w:szCs w:val="21"/>
          <w:lang w:bidi="zh-CN"/>
        </w:rPr>
        <w:t xml:space="preserve">人，营业收入为 </w:t>
      </w:r>
      <w:r>
        <w:rPr>
          <w:rFonts w:ascii="宋体" w:hAnsi="宋体" w:cs="宋体"/>
          <w:color w:val="auto"/>
          <w:szCs w:val="21"/>
          <w:u w:val="single"/>
          <w:lang w:bidi="zh-CN"/>
        </w:rPr>
        <w:tab/>
      </w:r>
      <w:r>
        <w:rPr>
          <w:rFonts w:ascii="宋体" w:hAnsi="宋体" w:cs="宋体"/>
          <w:color w:val="auto"/>
          <w:szCs w:val="21"/>
          <w:lang w:bidi="zh-CN"/>
        </w:rPr>
        <w:t>万元，资产总额为</w:t>
      </w:r>
      <w:r>
        <w:rPr>
          <w:rFonts w:ascii="宋体" w:hAnsi="宋体" w:cs="宋体"/>
          <w:color w:val="auto"/>
          <w:szCs w:val="21"/>
          <w:u w:val="single"/>
          <w:lang w:bidi="zh-CN"/>
        </w:rPr>
        <w:tab/>
      </w:r>
      <w:r>
        <w:rPr>
          <w:rFonts w:ascii="宋体" w:hAnsi="宋体" w:cs="宋体"/>
          <w:color w:val="auto"/>
          <w:szCs w:val="21"/>
          <w:lang w:bidi="zh-CN"/>
        </w:rPr>
        <w:t>万元，属于</w:t>
      </w:r>
      <w:r>
        <w:rPr>
          <w:rFonts w:ascii="宋体" w:hAnsi="宋体" w:cs="宋体"/>
          <w:color w:val="auto"/>
          <w:szCs w:val="21"/>
          <w:u w:val="single"/>
          <w:lang w:bidi="zh-CN"/>
        </w:rPr>
        <w:t>（中型企业、小型企业、微型企业）；</w:t>
      </w:r>
    </w:p>
    <w:p w14:paraId="019D5D7D">
      <w:pPr>
        <w:spacing w:line="360" w:lineRule="auto"/>
        <w:ind w:right="23" w:rightChars="11" w:firstLine="420" w:firstLineChars="200"/>
        <w:outlineLvl w:val="9"/>
        <w:rPr>
          <w:rFonts w:ascii="宋体" w:hAnsi="宋体" w:cs="宋体"/>
          <w:color w:val="auto"/>
          <w:szCs w:val="21"/>
          <w:lang w:bidi="zh-CN"/>
        </w:rPr>
      </w:pPr>
      <w:r>
        <w:rPr>
          <w:rFonts w:ascii="宋体" w:hAnsi="宋体" w:cs="宋体"/>
          <w:color w:val="auto"/>
          <w:szCs w:val="21"/>
          <w:lang w:bidi="zh-CN"/>
        </w:rPr>
        <w:t>……</w:t>
      </w:r>
    </w:p>
    <w:p w14:paraId="4ACE4610">
      <w:pPr>
        <w:spacing w:line="360" w:lineRule="auto"/>
        <w:ind w:right="23" w:rightChars="11" w:firstLine="420" w:firstLineChars="200"/>
        <w:outlineLvl w:val="9"/>
        <w:rPr>
          <w:rFonts w:ascii="宋体" w:hAnsi="宋体" w:cs="宋体"/>
          <w:color w:val="auto"/>
          <w:szCs w:val="21"/>
          <w:lang w:bidi="zh-CN"/>
        </w:rPr>
      </w:pPr>
      <w:r>
        <w:rPr>
          <w:rFonts w:ascii="宋体" w:hAnsi="宋体" w:cs="宋体"/>
          <w:color w:val="auto"/>
          <w:szCs w:val="21"/>
          <w:lang w:bidi="zh-CN"/>
        </w:rPr>
        <w:t>以上企业，不属于大企业的分支机构，不存在控股股东为大企业的情形，也不存在与大企业的负责人为同一人的情形。</w:t>
      </w:r>
    </w:p>
    <w:p w14:paraId="0465652C">
      <w:pPr>
        <w:spacing w:line="360" w:lineRule="auto"/>
        <w:ind w:right="23" w:rightChars="11" w:firstLine="420" w:firstLineChars="200"/>
        <w:outlineLvl w:val="9"/>
        <w:rPr>
          <w:rFonts w:ascii="宋体" w:hAnsi="宋体"/>
          <w:color w:val="auto"/>
          <w:szCs w:val="21"/>
        </w:rPr>
      </w:pPr>
      <w:r>
        <w:rPr>
          <w:rFonts w:ascii="宋体" w:hAnsi="宋体" w:cs="宋体"/>
          <w:color w:val="auto"/>
          <w:szCs w:val="21"/>
          <w:lang w:bidi="zh-CN"/>
        </w:rPr>
        <w:t>本企业对上述声明内容的真实性负责。如有虚假，将依法承担相应责任。</w:t>
      </w:r>
    </w:p>
    <w:p w14:paraId="62E4B9B9">
      <w:pPr>
        <w:spacing w:line="360" w:lineRule="auto"/>
        <w:ind w:right="23" w:rightChars="11" w:firstLine="420" w:firstLineChars="200"/>
        <w:jc w:val="center"/>
        <w:outlineLvl w:val="9"/>
        <w:rPr>
          <w:rFonts w:ascii="宋体" w:hAnsi="宋体"/>
          <w:color w:val="auto"/>
          <w:szCs w:val="21"/>
        </w:rPr>
      </w:pPr>
    </w:p>
    <w:p w14:paraId="56374FA3">
      <w:pPr>
        <w:spacing w:line="360" w:lineRule="auto"/>
        <w:ind w:right="23" w:rightChars="11"/>
        <w:jc w:val="center"/>
        <w:outlineLvl w:val="9"/>
        <w:rPr>
          <w:rFonts w:ascii="宋体" w:hAnsi="宋体"/>
          <w:color w:val="auto"/>
          <w:szCs w:val="21"/>
        </w:rPr>
      </w:pPr>
      <w:r>
        <w:rPr>
          <w:rFonts w:hint="eastAsia" w:ascii="宋体" w:hAnsi="宋体"/>
          <w:color w:val="auto"/>
          <w:szCs w:val="21"/>
        </w:rPr>
        <w:t xml:space="preserve">                          企业名称（盖章）：</w:t>
      </w:r>
    </w:p>
    <w:p w14:paraId="2287F123">
      <w:pPr>
        <w:spacing w:line="360" w:lineRule="auto"/>
        <w:ind w:right="23" w:rightChars="11"/>
        <w:jc w:val="center"/>
        <w:outlineLvl w:val="9"/>
        <w:rPr>
          <w:rFonts w:ascii="宋体" w:hAnsi="宋体"/>
          <w:bCs/>
          <w:color w:val="auto"/>
          <w:szCs w:val="21"/>
        </w:rPr>
      </w:pPr>
      <w:r>
        <w:rPr>
          <w:rFonts w:hint="eastAsia" w:ascii="宋体" w:hAnsi="宋体"/>
          <w:color w:val="auto"/>
          <w:szCs w:val="21"/>
        </w:rPr>
        <w:t xml:space="preserve">                                      日期：</w:t>
      </w:r>
    </w:p>
    <w:p w14:paraId="02D6B9BC">
      <w:pPr>
        <w:spacing w:line="360" w:lineRule="auto"/>
        <w:ind w:right="23" w:rightChars="11"/>
        <w:outlineLvl w:val="9"/>
        <w:rPr>
          <w:rFonts w:ascii="仿宋_GB2312" w:hAnsi="宋体" w:eastAsia="仿宋_GB2312"/>
          <w:color w:val="auto"/>
          <w:szCs w:val="21"/>
        </w:rPr>
      </w:pPr>
    </w:p>
    <w:p w14:paraId="5EABB730">
      <w:pPr>
        <w:spacing w:line="360" w:lineRule="auto"/>
        <w:ind w:right="23" w:rightChars="11"/>
        <w:outlineLvl w:val="9"/>
        <w:rPr>
          <w:rFonts w:ascii="仿宋_GB2312" w:hAnsi="宋体" w:eastAsia="仿宋_GB2312"/>
          <w:color w:val="auto"/>
          <w:szCs w:val="21"/>
        </w:rPr>
      </w:pPr>
    </w:p>
    <w:p w14:paraId="3027500B">
      <w:pPr>
        <w:spacing w:line="360" w:lineRule="auto"/>
        <w:ind w:right="23" w:rightChars="11"/>
        <w:outlineLvl w:val="9"/>
        <w:rPr>
          <w:rFonts w:ascii="仿宋_GB2312" w:hAnsi="宋体" w:eastAsia="仿宋_GB2312"/>
          <w:color w:val="auto"/>
          <w:szCs w:val="21"/>
          <w:lang w:bidi="zh-CN"/>
        </w:rPr>
      </w:pPr>
      <w:r>
        <w:rPr>
          <w:rFonts w:hint="eastAsia" w:ascii="仿宋_GB2312" w:hAnsi="宋体" w:eastAsia="仿宋_GB2312"/>
          <w:color w:val="auto"/>
          <w:szCs w:val="21"/>
        </w:rPr>
        <w:t>说明：</w:t>
      </w:r>
    </w:p>
    <w:p w14:paraId="2D46DD91">
      <w:pPr>
        <w:spacing w:line="360" w:lineRule="auto"/>
        <w:ind w:right="23" w:rightChars="11"/>
        <w:outlineLvl w:val="9"/>
        <w:rPr>
          <w:rFonts w:ascii="仿宋_GB2312" w:hAnsi="宋体" w:eastAsia="仿宋_GB2312"/>
          <w:color w:val="auto"/>
          <w:szCs w:val="21"/>
          <w:lang w:bidi="zh-CN"/>
        </w:rPr>
      </w:pPr>
      <w:r>
        <w:rPr>
          <w:rFonts w:hint="eastAsia" w:ascii="仿宋_GB2312" w:hAnsi="宋体" w:eastAsia="仿宋_GB2312"/>
          <w:color w:val="auto"/>
          <w:szCs w:val="21"/>
          <w:lang w:bidi="zh-CN"/>
        </w:rPr>
        <w:t>1、从业人员、营业收入、资产总额填报上一年度数据，无上一年度数据的新成立企业可不填报；</w:t>
      </w:r>
    </w:p>
    <w:p w14:paraId="1823C854">
      <w:pPr>
        <w:spacing w:line="360" w:lineRule="auto"/>
        <w:ind w:right="23" w:rightChars="11"/>
        <w:outlineLvl w:val="9"/>
        <w:rPr>
          <w:rFonts w:ascii="仿宋_GB2312" w:hAnsi="宋体" w:eastAsia="仿宋_GB2312"/>
          <w:color w:val="auto"/>
          <w:szCs w:val="21"/>
          <w:lang w:bidi="zh-CN"/>
        </w:rPr>
      </w:pPr>
      <w:r>
        <w:rPr>
          <w:rFonts w:hint="eastAsia" w:ascii="仿宋_GB2312" w:hAnsi="宋体" w:eastAsia="仿宋_GB2312"/>
          <w:color w:val="auto"/>
          <w:szCs w:val="21"/>
          <w:lang w:bidi="zh-CN"/>
        </w:rPr>
        <w:t>2、根据</w:t>
      </w:r>
      <w:r>
        <w:rPr>
          <w:rFonts w:hint="eastAsia" w:ascii="仿宋_GB2312" w:hAnsi="宋体" w:eastAsia="仿宋_GB2312"/>
          <w:bCs/>
          <w:color w:val="auto"/>
          <w:szCs w:val="21"/>
        </w:rPr>
        <w:t>关于印发中小企业划型标准规定的通知(工信部联企业〔2011〕300号)规定，</w:t>
      </w:r>
      <w:r>
        <w:rPr>
          <w:rFonts w:hint="eastAsia" w:ascii="仿宋_GB2312" w:hAnsi="宋体" w:eastAsia="仿宋_GB2312"/>
          <w:color w:val="auto"/>
          <w:szCs w:val="21"/>
          <w:lang w:bidi="zh-CN"/>
        </w:rPr>
        <w:t>本项目所属行业为</w:t>
      </w:r>
      <w:r>
        <w:rPr>
          <w:rFonts w:hint="eastAsia" w:ascii="仿宋_GB2312" w:hAnsi="宋体" w:eastAsia="仿宋_GB2312"/>
          <w:color w:val="auto"/>
          <w:szCs w:val="21"/>
        </w:rPr>
        <w:t>建筑业</w:t>
      </w:r>
      <w:r>
        <w:rPr>
          <w:rFonts w:hint="eastAsia" w:ascii="仿宋_GB2312" w:hAnsi="宋体" w:eastAsia="仿宋_GB2312"/>
          <w:color w:val="auto"/>
          <w:szCs w:val="21"/>
          <w:lang w:bidi="zh-CN"/>
        </w:rPr>
        <w:t>。</w:t>
      </w:r>
    </w:p>
    <w:p w14:paraId="24DA3453">
      <w:pPr>
        <w:pStyle w:val="12"/>
        <w:spacing w:line="341" w:lineRule="auto"/>
        <w:ind w:firstLine="638"/>
        <w:jc w:val="center"/>
        <w:outlineLvl w:val="9"/>
        <w:rPr>
          <w:rFonts w:hint="eastAsia" w:ascii="宋体" w:hAnsi="宋体" w:eastAsia="宋体" w:cs="宋体"/>
          <w:b/>
          <w:bCs/>
          <w:color w:val="auto"/>
          <w:spacing w:val="9"/>
          <w:sz w:val="30"/>
          <w:szCs w:val="30"/>
          <w:highlight w:val="none"/>
        </w:rPr>
        <w:sectPr>
          <w:footerReference r:id="rId15" w:type="default"/>
          <w:pgSz w:w="11906" w:h="16839"/>
          <w:pgMar w:top="1440" w:right="1800" w:bottom="1440" w:left="1800" w:header="0" w:footer="994" w:gutter="0"/>
          <w:pgNumType w:fmt="decimal"/>
          <w:cols w:space="720" w:num="1"/>
        </w:sectPr>
      </w:pPr>
    </w:p>
    <w:p w14:paraId="1A239ECE">
      <w:pPr>
        <w:adjustRightInd w:val="0"/>
        <w:snapToGrid w:val="0"/>
        <w:spacing w:line="500" w:lineRule="exact"/>
        <w:ind w:right="420"/>
        <w:outlineLvl w:val="9"/>
        <w:rPr>
          <w:rFonts w:hint="default" w:ascii="宋体" w:hAnsi="宋体" w:eastAsia="宋体" w:cs="宋体"/>
          <w:b/>
          <w:sz w:val="28"/>
          <w:szCs w:val="28"/>
          <w:lang w:val="en-US"/>
        </w:rPr>
      </w:pPr>
      <w:r>
        <w:rPr>
          <w:rFonts w:hint="eastAsia" w:ascii="宋体" w:hAnsi="宋体" w:eastAsia="宋体" w:cs="宋体"/>
          <w:b/>
          <w:sz w:val="28"/>
          <w:szCs w:val="28"/>
        </w:rPr>
        <w:t>附件</w:t>
      </w:r>
      <w:r>
        <w:rPr>
          <w:rFonts w:hint="eastAsia" w:ascii="宋体" w:hAnsi="宋体" w:eastAsia="宋体" w:cs="宋体"/>
          <w:b/>
          <w:sz w:val="28"/>
          <w:szCs w:val="28"/>
          <w:lang w:val="en-US" w:eastAsia="zh-CN"/>
        </w:rPr>
        <w:t>10</w:t>
      </w:r>
    </w:p>
    <w:p w14:paraId="4A4AF746">
      <w:pPr>
        <w:pStyle w:val="106"/>
        <w:jc w:val="center"/>
        <w:outlineLvl w:val="9"/>
        <w:rPr>
          <w:rFonts w:ascii="黑体" w:hAnsi="黑体" w:eastAsia="黑体" w:cs="Times New Roman"/>
          <w:kern w:val="2"/>
          <w:sz w:val="28"/>
          <w:szCs w:val="28"/>
        </w:rPr>
      </w:pPr>
      <w:r>
        <w:rPr>
          <w:rFonts w:hint="eastAsia" w:ascii="黑体" w:hAnsi="黑体" w:eastAsia="黑体" w:cs="Times New Roman"/>
          <w:kern w:val="2"/>
          <w:sz w:val="28"/>
          <w:szCs w:val="28"/>
        </w:rPr>
        <w:t>监狱企业、残疾人福利性单位证明材料</w:t>
      </w:r>
    </w:p>
    <w:p w14:paraId="5309680C">
      <w:pPr>
        <w:pStyle w:val="107"/>
        <w:spacing w:line="500" w:lineRule="exact"/>
        <w:outlineLvl w:val="9"/>
        <w:rPr>
          <w:rFonts w:ascii="Times New Roman" w:hAnsi="Times New Roman" w:eastAsia="黑体" w:cs="Times New Roman"/>
          <w:b w:val="0"/>
          <w:bCs w:val="0"/>
          <w:sz w:val="21"/>
          <w:szCs w:val="21"/>
        </w:rPr>
      </w:pPr>
      <w:r>
        <w:rPr>
          <w:rFonts w:hint="eastAsia" w:ascii="黑体" w:hAnsi="宋体" w:eastAsia="黑体" w:cs="Times New Roman"/>
          <w:b w:val="0"/>
          <w:bCs w:val="0"/>
          <w:sz w:val="21"/>
          <w:szCs w:val="21"/>
        </w:rPr>
        <w:t>（不属于监狱企业、残疾人福利性单位的无需提供）</w:t>
      </w:r>
    </w:p>
    <w:p w14:paraId="30AAB518">
      <w:pPr>
        <w:widowControl/>
        <w:adjustRightInd w:val="0"/>
        <w:snapToGrid w:val="0"/>
        <w:spacing w:before="156" w:beforeLines="50" w:line="500" w:lineRule="exact"/>
        <w:ind w:firstLine="420" w:firstLineChars="200"/>
        <w:jc w:val="left"/>
        <w:outlineLvl w:val="9"/>
        <w:rPr>
          <w:rFonts w:ascii="宋体" w:hAnsi="宋体" w:eastAsia="宋体" w:cs="Times New Roman"/>
          <w:kern w:val="0"/>
        </w:rPr>
      </w:pPr>
      <w:r>
        <w:rPr>
          <w:rFonts w:hint="eastAsia" w:ascii="宋体" w:hAnsi="宋体" w:eastAsia="宋体" w:cs="Times New Roman"/>
          <w:kern w:val="0"/>
        </w:rPr>
        <w:t>1、监狱企业：按《财政部 司法部关于政府采购支持监狱企业发展有关问题的通知》(财库〔2014〕68号)文件规定提供证明文件（复印件）。</w:t>
      </w:r>
    </w:p>
    <w:p w14:paraId="36DA4118">
      <w:pPr>
        <w:widowControl/>
        <w:adjustRightInd w:val="0"/>
        <w:snapToGrid w:val="0"/>
        <w:spacing w:before="156" w:beforeLines="50" w:line="500" w:lineRule="exact"/>
        <w:ind w:firstLine="420" w:firstLineChars="200"/>
        <w:jc w:val="left"/>
        <w:outlineLvl w:val="9"/>
        <w:rPr>
          <w:rFonts w:ascii="宋体" w:hAnsi="宋体" w:eastAsia="宋体" w:cs="Times New Roman"/>
          <w:kern w:val="0"/>
        </w:rPr>
      </w:pPr>
      <w:r>
        <w:rPr>
          <w:rFonts w:hint="eastAsia" w:ascii="宋体" w:hAnsi="宋体" w:eastAsia="宋体" w:cs="Times New Roman"/>
          <w:kern w:val="0"/>
        </w:rPr>
        <w:t>2、残疾人福利性单位：按《三部门联合发布关于促进残疾人就业政府采购政策的通知》(财库〔2017〕141号)文件规定提供《残疾人福利性单位声明函》。</w:t>
      </w:r>
    </w:p>
    <w:p w14:paraId="75DF67AD">
      <w:pPr>
        <w:adjustRightInd w:val="0"/>
        <w:snapToGrid w:val="0"/>
        <w:spacing w:before="156" w:beforeLines="50" w:after="156" w:afterLines="50" w:line="500" w:lineRule="exact"/>
        <w:jc w:val="center"/>
        <w:outlineLvl w:val="9"/>
        <w:rPr>
          <w:rFonts w:ascii="黑体" w:hAnsi="宋体" w:eastAsia="黑体" w:cs="Times New Roman"/>
          <w:b/>
          <w:bCs/>
          <w:sz w:val="32"/>
        </w:rPr>
      </w:pPr>
    </w:p>
    <w:p w14:paraId="34A6A9F3">
      <w:pPr>
        <w:adjustRightInd w:val="0"/>
        <w:snapToGrid w:val="0"/>
        <w:spacing w:before="156" w:beforeLines="50" w:after="156" w:afterLines="50" w:line="500" w:lineRule="exact"/>
        <w:jc w:val="center"/>
        <w:outlineLvl w:val="9"/>
        <w:rPr>
          <w:rFonts w:ascii="黑体" w:hAnsi="宋体" w:eastAsia="黑体" w:cs="Times New Roman"/>
          <w:b/>
          <w:bCs/>
          <w:sz w:val="32"/>
        </w:rPr>
      </w:pPr>
    </w:p>
    <w:p w14:paraId="15FC8488">
      <w:pPr>
        <w:pStyle w:val="106"/>
        <w:jc w:val="center"/>
        <w:outlineLvl w:val="9"/>
        <w:rPr>
          <w:rFonts w:ascii="黑体" w:hAnsi="黑体" w:eastAsia="黑体" w:cs="Times New Roman"/>
          <w:kern w:val="2"/>
          <w:sz w:val="28"/>
          <w:szCs w:val="28"/>
        </w:rPr>
      </w:pPr>
      <w:r>
        <w:rPr>
          <w:rFonts w:hint="eastAsia" w:ascii="黑体" w:hAnsi="黑体" w:eastAsia="黑体" w:cs="Times New Roman"/>
          <w:kern w:val="2"/>
          <w:sz w:val="28"/>
          <w:szCs w:val="28"/>
        </w:rPr>
        <w:t>残疾人福利性单位声明函</w:t>
      </w:r>
    </w:p>
    <w:p w14:paraId="0ADFD56F">
      <w:pPr>
        <w:widowControl/>
        <w:adjustRightInd w:val="0"/>
        <w:snapToGrid w:val="0"/>
        <w:spacing w:before="156" w:beforeLines="50" w:line="500" w:lineRule="exact"/>
        <w:ind w:firstLine="420" w:firstLineChars="200"/>
        <w:jc w:val="left"/>
        <w:outlineLvl w:val="9"/>
        <w:rPr>
          <w:rFonts w:ascii="宋体" w:hAnsi="宋体" w:eastAsia="宋体" w:cs="Times New Roman"/>
          <w:kern w:val="0"/>
        </w:rPr>
      </w:pPr>
      <w:r>
        <w:rPr>
          <w:rFonts w:hint="eastAsia" w:ascii="宋体" w:hAnsi="宋体" w:eastAsia="宋体" w:cs="Times New Roman"/>
          <w:kern w:val="0"/>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cs="Times New Roman"/>
          <w:kern w:val="0"/>
          <w:u w:val="single"/>
        </w:rPr>
        <w:t xml:space="preserve">            </w:t>
      </w:r>
      <w:r>
        <w:rPr>
          <w:rFonts w:hint="eastAsia" w:ascii="宋体" w:hAnsi="宋体" w:eastAsia="宋体" w:cs="Times New Roman"/>
          <w:kern w:val="0"/>
        </w:rPr>
        <w:t>单位的</w:t>
      </w:r>
      <w:r>
        <w:rPr>
          <w:rFonts w:hint="eastAsia" w:ascii="宋体" w:hAnsi="宋体" w:eastAsia="宋体" w:cs="Times New Roman"/>
          <w:kern w:val="0"/>
          <w:u w:val="single"/>
        </w:rPr>
        <w:t xml:space="preserve">             </w:t>
      </w:r>
      <w:r>
        <w:rPr>
          <w:rFonts w:hint="eastAsia" w:ascii="宋体" w:hAnsi="宋体" w:eastAsia="宋体" w:cs="Times New Roman"/>
          <w:kern w:val="0"/>
        </w:rPr>
        <w:t>项目采购活动提供本单位制造的货物（由本单位承担工程/提供服务），或者提供其他残疾人福利性单位制造的货物（不包括使用非残疾人福利性单位注册商标的货物）。</w:t>
      </w:r>
    </w:p>
    <w:p w14:paraId="38236520">
      <w:pPr>
        <w:widowControl/>
        <w:adjustRightInd w:val="0"/>
        <w:snapToGrid w:val="0"/>
        <w:spacing w:before="156" w:beforeLines="50" w:line="500" w:lineRule="exact"/>
        <w:ind w:firstLine="420" w:firstLineChars="200"/>
        <w:jc w:val="left"/>
        <w:outlineLvl w:val="9"/>
        <w:rPr>
          <w:rFonts w:ascii="宋体" w:hAnsi="宋体" w:eastAsia="宋体" w:cs="Times New Roman"/>
          <w:kern w:val="0"/>
        </w:rPr>
      </w:pPr>
      <w:r>
        <w:rPr>
          <w:rFonts w:hint="eastAsia" w:ascii="宋体" w:hAnsi="宋体" w:eastAsia="宋体" w:cs="Times New Roman"/>
          <w:kern w:val="0"/>
        </w:rPr>
        <w:t>本单位对上述声明的真实性负责。如有虚假，将依法承担相应责任。</w:t>
      </w:r>
    </w:p>
    <w:p w14:paraId="28605007">
      <w:pPr>
        <w:spacing w:line="500" w:lineRule="exact"/>
        <w:ind w:firstLine="504" w:firstLineChars="200"/>
        <w:outlineLvl w:val="9"/>
        <w:rPr>
          <w:rFonts w:ascii="宋体" w:hAnsi="宋体" w:eastAsia="宋体" w:cs="Times New Roman"/>
          <w:spacing w:val="6"/>
          <w:sz w:val="24"/>
        </w:rPr>
      </w:pPr>
      <w:r>
        <w:rPr>
          <w:rFonts w:hint="eastAsia" w:ascii="宋体" w:hAnsi="宋体" w:eastAsia="宋体" w:cs="Times New Roman"/>
          <w:spacing w:val="6"/>
          <w:sz w:val="24"/>
        </w:rPr>
        <w:t xml:space="preserve"> </w:t>
      </w:r>
    </w:p>
    <w:p w14:paraId="111CC6D1">
      <w:pPr>
        <w:spacing w:line="500" w:lineRule="exact"/>
        <w:ind w:firstLine="504" w:firstLineChars="200"/>
        <w:outlineLvl w:val="9"/>
        <w:rPr>
          <w:rFonts w:ascii="宋体" w:hAnsi="宋体" w:eastAsia="宋体" w:cs="Times New Roman"/>
          <w:spacing w:val="6"/>
          <w:sz w:val="24"/>
        </w:rPr>
      </w:pPr>
      <w:r>
        <w:rPr>
          <w:rFonts w:hint="eastAsia" w:ascii="宋体" w:hAnsi="宋体" w:eastAsia="宋体" w:cs="Times New Roman"/>
          <w:spacing w:val="6"/>
          <w:sz w:val="24"/>
        </w:rPr>
        <w:t xml:space="preserve"> </w:t>
      </w:r>
    </w:p>
    <w:p w14:paraId="2768C09C">
      <w:pPr>
        <w:spacing w:line="500" w:lineRule="exact"/>
        <w:ind w:right="1560"/>
        <w:outlineLvl w:val="9"/>
        <w:rPr>
          <w:rFonts w:ascii="宋体" w:hAnsi="宋体" w:eastAsia="宋体" w:cs="Times New Roman"/>
          <w:spacing w:val="6"/>
          <w:szCs w:val="21"/>
        </w:rPr>
      </w:pPr>
      <w:r>
        <w:rPr>
          <w:rFonts w:hint="eastAsia" w:ascii="宋体" w:hAnsi="宋体" w:eastAsia="宋体" w:cs="Times New Roman"/>
          <w:spacing w:val="6"/>
          <w:szCs w:val="21"/>
        </w:rPr>
        <w:t>供应商（盖单位章）：</w:t>
      </w:r>
      <w:r>
        <w:rPr>
          <w:rFonts w:hint="eastAsia" w:ascii="宋体" w:hAnsi="宋体" w:eastAsia="宋体" w:cs="Times New Roman"/>
          <w:szCs w:val="21"/>
          <w:u w:val="single"/>
        </w:rPr>
        <w:t xml:space="preserve">                              </w:t>
      </w:r>
    </w:p>
    <w:p w14:paraId="76E3BED2">
      <w:pPr>
        <w:spacing w:line="500" w:lineRule="exact"/>
        <w:outlineLvl w:val="9"/>
        <w:rPr>
          <w:rFonts w:ascii="Times New Roman" w:hAnsi="Times New Roman" w:eastAsia="宋体" w:cs="Times New Roman"/>
          <w:szCs w:val="21"/>
        </w:rPr>
      </w:pPr>
      <w:r>
        <w:rPr>
          <w:rFonts w:hint="eastAsia" w:ascii="宋体" w:hAnsi="宋体" w:eastAsia="宋体" w:cs="Times New Roman"/>
          <w:spacing w:val="6"/>
          <w:szCs w:val="21"/>
        </w:rPr>
        <w:t>日  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658F1F6C">
      <w:pPr>
        <w:pStyle w:val="12"/>
        <w:spacing w:line="341" w:lineRule="auto"/>
        <w:ind w:firstLine="638"/>
        <w:jc w:val="center"/>
        <w:outlineLvl w:val="9"/>
        <w:rPr>
          <w:rFonts w:hint="eastAsia" w:ascii="宋体" w:hAnsi="宋体" w:eastAsia="宋体" w:cs="宋体"/>
          <w:b/>
          <w:bCs/>
          <w:color w:val="auto"/>
          <w:spacing w:val="9"/>
          <w:sz w:val="30"/>
          <w:szCs w:val="30"/>
          <w:highlight w:val="none"/>
        </w:rPr>
        <w:sectPr>
          <w:pgSz w:w="11906" w:h="16839"/>
          <w:pgMar w:top="1440" w:right="1800" w:bottom="1440" w:left="1800" w:header="0" w:footer="994" w:gutter="0"/>
          <w:pgNumType w:fmt="decimal"/>
          <w:cols w:space="720" w:num="1"/>
        </w:sectPr>
      </w:pPr>
    </w:p>
    <w:p w14:paraId="5CD11FEE">
      <w:pPr>
        <w:pStyle w:val="12"/>
        <w:spacing w:line="341" w:lineRule="auto"/>
        <w:ind w:firstLine="638"/>
        <w:jc w:val="center"/>
        <w:outlineLvl w:val="9"/>
        <w:rPr>
          <w:rFonts w:hint="eastAsia" w:ascii="宋体" w:hAnsi="宋体" w:eastAsia="宋体" w:cs="宋体"/>
          <w:b/>
          <w:bCs/>
          <w:color w:val="auto"/>
          <w:sz w:val="30"/>
          <w:szCs w:val="30"/>
          <w:highlight w:val="none"/>
        </w:rPr>
      </w:pPr>
      <w:r>
        <w:rPr>
          <w:rFonts w:hint="eastAsia" w:ascii="宋体" w:hAnsi="宋体" w:eastAsia="宋体" w:cs="宋体"/>
          <w:b/>
          <w:bCs/>
          <w:color w:val="auto"/>
          <w:spacing w:val="9"/>
          <w:sz w:val="30"/>
          <w:szCs w:val="30"/>
          <w:highlight w:val="none"/>
        </w:rPr>
        <w:t>七、报价一览表</w:t>
      </w:r>
    </w:p>
    <w:p w14:paraId="5DC2CD25">
      <w:pPr>
        <w:spacing w:before="140" w:line="219" w:lineRule="auto"/>
        <w:ind w:left="26" w:firstLine="532"/>
        <w:outlineLvl w:val="9"/>
        <w:rPr>
          <w:rFonts w:hint="eastAsia" w:ascii="宋体" w:hAnsi="宋体" w:eastAsia="宋体" w:cs="宋体"/>
          <w:color w:val="auto"/>
          <w:highlight w:val="none"/>
          <w:lang w:eastAsia="zh-CN"/>
        </w:rPr>
      </w:pPr>
      <w:r>
        <w:rPr>
          <w:rFonts w:hint="eastAsia" w:ascii="宋体" w:hAnsi="宋体" w:eastAsia="宋体" w:cs="宋体"/>
          <w:color w:val="auto"/>
          <w:spacing w:val="-17"/>
          <w:sz w:val="30"/>
          <w:szCs w:val="30"/>
          <w:highlight w:val="none"/>
        </w:rPr>
        <w:t>附件</w:t>
      </w:r>
      <w:r>
        <w:rPr>
          <w:rFonts w:hint="eastAsia" w:ascii="宋体" w:hAnsi="宋体" w:eastAsia="宋体" w:cs="宋体"/>
          <w:color w:val="auto"/>
          <w:spacing w:val="-42"/>
          <w:sz w:val="30"/>
          <w:szCs w:val="30"/>
          <w:highlight w:val="none"/>
        </w:rPr>
        <w:t xml:space="preserve"> </w:t>
      </w:r>
      <w:r>
        <w:rPr>
          <w:rFonts w:hint="eastAsia" w:ascii="宋体" w:hAnsi="宋体" w:eastAsia="宋体" w:cs="宋体"/>
          <w:color w:val="auto"/>
          <w:spacing w:val="-17"/>
          <w:sz w:val="30"/>
          <w:szCs w:val="30"/>
          <w:highlight w:val="none"/>
        </w:rPr>
        <w:t>1</w:t>
      </w:r>
      <w:r>
        <w:rPr>
          <w:rFonts w:hint="eastAsia" w:ascii="宋体" w:hAnsi="宋体" w:eastAsia="宋体" w:cs="宋体"/>
          <w:color w:val="auto"/>
          <w:spacing w:val="-17"/>
          <w:sz w:val="30"/>
          <w:szCs w:val="30"/>
          <w:highlight w:val="none"/>
          <w:lang w:val="en-US" w:eastAsia="zh-CN"/>
        </w:rPr>
        <w:t>1</w:t>
      </w:r>
    </w:p>
    <w:p w14:paraId="1544DC8F">
      <w:pPr>
        <w:spacing w:before="91" w:line="219" w:lineRule="auto"/>
        <w:ind w:left="2741" w:firstLine="556"/>
        <w:outlineLvl w:val="9"/>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报价一览表（工程类适用）</w:t>
      </w:r>
    </w:p>
    <w:p w14:paraId="0DCE24CE">
      <w:pPr>
        <w:spacing w:before="190"/>
        <w:outlineLvl w:val="9"/>
        <w:rPr>
          <w:rFonts w:hint="eastAsia" w:ascii="宋体" w:hAnsi="宋体" w:eastAsia="宋体" w:cs="宋体"/>
          <w:color w:val="auto"/>
          <w:highlight w:val="none"/>
        </w:rPr>
      </w:pPr>
    </w:p>
    <w:tbl>
      <w:tblPr>
        <w:tblStyle w:val="30"/>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10"/>
        <w:gridCol w:w="3106"/>
        <w:gridCol w:w="1578"/>
        <w:gridCol w:w="1790"/>
      </w:tblGrid>
      <w:tr w14:paraId="00B1F9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2310" w:type="dxa"/>
            <w:vMerge w:val="restart"/>
            <w:tcBorders>
              <w:top w:val="double" w:color="auto" w:sz="4" w:space="0"/>
              <w:bottom w:val="single" w:color="auto" w:sz="6" w:space="0"/>
              <w:right w:val="single" w:color="auto" w:sz="6" w:space="0"/>
            </w:tcBorders>
            <w:vAlign w:val="center"/>
          </w:tcPr>
          <w:p w14:paraId="3866B7EC">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3106" w:type="dxa"/>
            <w:vMerge w:val="restart"/>
            <w:tcBorders>
              <w:top w:val="double" w:color="auto" w:sz="4" w:space="0"/>
              <w:left w:val="single" w:color="auto" w:sz="6" w:space="0"/>
              <w:bottom w:val="single" w:color="auto" w:sz="6" w:space="0"/>
              <w:right w:val="single" w:color="auto" w:sz="6" w:space="0"/>
            </w:tcBorders>
            <w:vAlign w:val="center"/>
          </w:tcPr>
          <w:p w14:paraId="57AA9E57">
            <w:pPr>
              <w:jc w:val="center"/>
              <w:outlineLvl w:val="9"/>
              <w:rPr>
                <w:rFonts w:hint="eastAsia" w:ascii="宋体" w:hAnsi="宋体" w:eastAsia="宋体" w:cs="宋体"/>
                <w:color w:val="auto"/>
                <w:szCs w:val="21"/>
                <w:highlight w:val="none"/>
              </w:rPr>
            </w:pPr>
          </w:p>
        </w:tc>
        <w:tc>
          <w:tcPr>
            <w:tcW w:w="1578" w:type="dxa"/>
            <w:tcBorders>
              <w:top w:val="double" w:color="auto" w:sz="4" w:space="0"/>
              <w:left w:val="single" w:color="auto" w:sz="6" w:space="0"/>
              <w:bottom w:val="single" w:color="auto" w:sz="6" w:space="0"/>
              <w:right w:val="single" w:color="auto" w:sz="6" w:space="0"/>
            </w:tcBorders>
            <w:vAlign w:val="center"/>
          </w:tcPr>
          <w:p w14:paraId="478965FE">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政府采购编号</w:t>
            </w:r>
          </w:p>
        </w:tc>
        <w:tc>
          <w:tcPr>
            <w:tcW w:w="1790" w:type="dxa"/>
            <w:tcBorders>
              <w:top w:val="double" w:color="auto" w:sz="4" w:space="0"/>
              <w:left w:val="single" w:color="auto" w:sz="6" w:space="0"/>
              <w:bottom w:val="single" w:color="auto" w:sz="6" w:space="0"/>
            </w:tcBorders>
            <w:vAlign w:val="center"/>
          </w:tcPr>
          <w:p w14:paraId="7D1A9ACF">
            <w:pPr>
              <w:jc w:val="center"/>
              <w:outlineLvl w:val="9"/>
              <w:rPr>
                <w:rFonts w:hint="eastAsia" w:ascii="宋体" w:hAnsi="宋体" w:eastAsia="宋体" w:cs="宋体"/>
                <w:color w:val="auto"/>
                <w:szCs w:val="21"/>
                <w:highlight w:val="none"/>
              </w:rPr>
            </w:pPr>
          </w:p>
        </w:tc>
      </w:tr>
      <w:tr w14:paraId="3C88B5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2310" w:type="dxa"/>
            <w:vMerge w:val="continue"/>
            <w:tcBorders>
              <w:top w:val="single" w:color="auto" w:sz="6" w:space="0"/>
              <w:bottom w:val="single" w:color="auto" w:sz="6" w:space="0"/>
              <w:right w:val="single" w:color="auto" w:sz="6" w:space="0"/>
            </w:tcBorders>
            <w:vAlign w:val="center"/>
          </w:tcPr>
          <w:p w14:paraId="46C6183B">
            <w:pPr>
              <w:jc w:val="center"/>
              <w:outlineLvl w:val="9"/>
              <w:rPr>
                <w:rFonts w:hint="eastAsia" w:ascii="宋体" w:hAnsi="宋体" w:eastAsia="宋体" w:cs="宋体"/>
                <w:color w:val="auto"/>
                <w:szCs w:val="21"/>
                <w:highlight w:val="none"/>
              </w:rPr>
            </w:pPr>
          </w:p>
        </w:tc>
        <w:tc>
          <w:tcPr>
            <w:tcW w:w="3106" w:type="dxa"/>
            <w:vMerge w:val="continue"/>
            <w:tcBorders>
              <w:top w:val="single" w:color="auto" w:sz="6" w:space="0"/>
              <w:left w:val="single" w:color="auto" w:sz="6" w:space="0"/>
              <w:bottom w:val="single" w:color="auto" w:sz="6" w:space="0"/>
              <w:right w:val="single" w:color="auto" w:sz="6" w:space="0"/>
            </w:tcBorders>
            <w:vAlign w:val="center"/>
          </w:tcPr>
          <w:p w14:paraId="389C6A19">
            <w:pPr>
              <w:jc w:val="center"/>
              <w:outlineLvl w:val="9"/>
              <w:rPr>
                <w:rFonts w:hint="eastAsia" w:ascii="宋体" w:hAnsi="宋体" w:eastAsia="宋体" w:cs="宋体"/>
                <w:color w:val="auto"/>
                <w:szCs w:val="21"/>
                <w:highlight w:val="none"/>
              </w:rPr>
            </w:pPr>
          </w:p>
        </w:tc>
        <w:tc>
          <w:tcPr>
            <w:tcW w:w="1578" w:type="dxa"/>
            <w:tcBorders>
              <w:top w:val="single" w:color="auto" w:sz="6" w:space="0"/>
              <w:left w:val="single" w:color="auto" w:sz="6" w:space="0"/>
              <w:bottom w:val="single" w:color="auto" w:sz="6" w:space="0"/>
              <w:right w:val="single" w:color="auto" w:sz="6" w:space="0"/>
            </w:tcBorders>
            <w:vAlign w:val="center"/>
          </w:tcPr>
          <w:p w14:paraId="639F1E24">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采购代理编号</w:t>
            </w:r>
          </w:p>
        </w:tc>
        <w:tc>
          <w:tcPr>
            <w:tcW w:w="1790" w:type="dxa"/>
            <w:tcBorders>
              <w:top w:val="single" w:color="auto" w:sz="6" w:space="0"/>
              <w:left w:val="single" w:color="auto" w:sz="6" w:space="0"/>
              <w:bottom w:val="single" w:color="auto" w:sz="6" w:space="0"/>
            </w:tcBorders>
            <w:vAlign w:val="center"/>
          </w:tcPr>
          <w:p w14:paraId="6A543BD8">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tc>
      </w:tr>
      <w:tr w14:paraId="51026E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2310" w:type="dxa"/>
            <w:tcBorders>
              <w:top w:val="single" w:color="auto" w:sz="6" w:space="0"/>
              <w:bottom w:val="single" w:color="auto" w:sz="6" w:space="0"/>
            </w:tcBorders>
            <w:vAlign w:val="center"/>
          </w:tcPr>
          <w:p w14:paraId="63A69AED">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品目代码</w:t>
            </w:r>
          </w:p>
        </w:tc>
        <w:tc>
          <w:tcPr>
            <w:tcW w:w="6474" w:type="dxa"/>
            <w:gridSpan w:val="3"/>
            <w:tcBorders>
              <w:top w:val="single" w:color="auto" w:sz="6" w:space="0"/>
              <w:bottom w:val="single" w:color="auto" w:sz="6" w:space="0"/>
            </w:tcBorders>
            <w:vAlign w:val="center"/>
          </w:tcPr>
          <w:p w14:paraId="09926A3D">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r>
      <w:tr w14:paraId="05390C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55" w:hRule="atLeast"/>
          <w:jc w:val="center"/>
        </w:trPr>
        <w:tc>
          <w:tcPr>
            <w:tcW w:w="2310" w:type="dxa"/>
            <w:tcBorders>
              <w:top w:val="single" w:color="auto" w:sz="6" w:space="0"/>
              <w:bottom w:val="single" w:color="auto" w:sz="6" w:space="0"/>
            </w:tcBorders>
            <w:vAlign w:val="center"/>
          </w:tcPr>
          <w:p w14:paraId="6554AFEF">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工程总报价</w:t>
            </w:r>
          </w:p>
        </w:tc>
        <w:tc>
          <w:tcPr>
            <w:tcW w:w="6474" w:type="dxa"/>
            <w:gridSpan w:val="3"/>
            <w:tcBorders>
              <w:top w:val="single" w:color="auto" w:sz="6" w:space="0"/>
              <w:bottom w:val="single" w:color="auto" w:sz="6" w:space="0"/>
            </w:tcBorders>
            <w:vAlign w:val="center"/>
          </w:tcPr>
          <w:p w14:paraId="7CEE4275">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元人民币整</w:t>
            </w:r>
          </w:p>
          <w:p w14:paraId="5B786C27">
            <w:pPr>
              <w:jc w:val="center"/>
              <w:outlineLvl w:val="9"/>
              <w:rPr>
                <w:rFonts w:hint="eastAsia" w:ascii="宋体" w:hAnsi="宋体" w:eastAsia="宋体" w:cs="宋体"/>
                <w:color w:val="auto"/>
                <w:szCs w:val="21"/>
                <w:highlight w:val="none"/>
              </w:rPr>
            </w:pPr>
          </w:p>
          <w:p w14:paraId="35D9F281">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小写：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元人民币整</w:t>
            </w:r>
          </w:p>
        </w:tc>
      </w:tr>
      <w:tr w14:paraId="44F4E6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2310" w:type="dxa"/>
            <w:tcBorders>
              <w:top w:val="single" w:color="auto" w:sz="6" w:space="0"/>
              <w:bottom w:val="single" w:color="auto" w:sz="6" w:space="0"/>
            </w:tcBorders>
            <w:vAlign w:val="center"/>
          </w:tcPr>
          <w:p w14:paraId="78A6B7E1">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工期（日历天）</w:t>
            </w:r>
          </w:p>
        </w:tc>
        <w:tc>
          <w:tcPr>
            <w:tcW w:w="6474" w:type="dxa"/>
            <w:gridSpan w:val="3"/>
            <w:tcBorders>
              <w:top w:val="single" w:color="auto" w:sz="6" w:space="0"/>
              <w:bottom w:val="single" w:color="auto" w:sz="6" w:space="0"/>
            </w:tcBorders>
            <w:vAlign w:val="center"/>
          </w:tcPr>
          <w:p w14:paraId="2EE93DCE">
            <w:pPr>
              <w:jc w:val="center"/>
              <w:outlineLvl w:val="9"/>
              <w:rPr>
                <w:rFonts w:hint="eastAsia" w:ascii="宋体" w:hAnsi="宋体" w:eastAsia="宋体" w:cs="宋体"/>
                <w:color w:val="auto"/>
                <w:szCs w:val="21"/>
                <w:highlight w:val="none"/>
              </w:rPr>
            </w:pPr>
          </w:p>
        </w:tc>
      </w:tr>
      <w:tr w14:paraId="6FEFD8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2310" w:type="dxa"/>
            <w:tcBorders>
              <w:top w:val="single" w:color="auto" w:sz="6" w:space="0"/>
              <w:bottom w:val="single" w:color="auto" w:sz="6" w:space="0"/>
            </w:tcBorders>
            <w:vAlign w:val="center"/>
          </w:tcPr>
          <w:p w14:paraId="023A733F">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质量等级</w:t>
            </w:r>
          </w:p>
        </w:tc>
        <w:tc>
          <w:tcPr>
            <w:tcW w:w="6474" w:type="dxa"/>
            <w:gridSpan w:val="3"/>
            <w:tcBorders>
              <w:top w:val="single" w:color="auto" w:sz="6" w:space="0"/>
              <w:bottom w:val="single" w:color="auto" w:sz="6" w:space="0"/>
            </w:tcBorders>
            <w:vAlign w:val="center"/>
          </w:tcPr>
          <w:p w14:paraId="1763EFB6">
            <w:pPr>
              <w:jc w:val="center"/>
              <w:outlineLvl w:val="9"/>
              <w:rPr>
                <w:rFonts w:hint="eastAsia" w:ascii="宋体" w:hAnsi="宋体" w:eastAsia="宋体" w:cs="宋体"/>
                <w:color w:val="auto"/>
                <w:szCs w:val="21"/>
                <w:highlight w:val="none"/>
              </w:rPr>
            </w:pPr>
          </w:p>
        </w:tc>
      </w:tr>
      <w:tr w14:paraId="7DA168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2310" w:type="dxa"/>
            <w:tcBorders>
              <w:top w:val="single" w:color="auto" w:sz="6" w:space="0"/>
              <w:bottom w:val="single" w:color="auto" w:sz="6" w:space="0"/>
            </w:tcBorders>
            <w:vAlign w:val="center"/>
          </w:tcPr>
          <w:p w14:paraId="5F63168E">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保修承诺</w:t>
            </w:r>
          </w:p>
        </w:tc>
        <w:tc>
          <w:tcPr>
            <w:tcW w:w="6474" w:type="dxa"/>
            <w:gridSpan w:val="3"/>
            <w:tcBorders>
              <w:top w:val="single" w:color="auto" w:sz="6" w:space="0"/>
              <w:bottom w:val="single" w:color="auto" w:sz="6" w:space="0"/>
            </w:tcBorders>
            <w:vAlign w:val="center"/>
          </w:tcPr>
          <w:p w14:paraId="7765209F">
            <w:pPr>
              <w:jc w:val="center"/>
              <w:outlineLvl w:val="9"/>
              <w:rPr>
                <w:rFonts w:hint="eastAsia" w:ascii="宋体" w:hAnsi="宋体" w:eastAsia="宋体" w:cs="宋体"/>
                <w:color w:val="auto"/>
                <w:szCs w:val="21"/>
                <w:highlight w:val="none"/>
              </w:rPr>
            </w:pPr>
          </w:p>
        </w:tc>
      </w:tr>
      <w:tr w14:paraId="6C44FB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2310" w:type="dxa"/>
            <w:tcBorders>
              <w:top w:val="single" w:color="auto" w:sz="6" w:space="0"/>
              <w:bottom w:val="single" w:color="auto" w:sz="6" w:space="0"/>
            </w:tcBorders>
            <w:vAlign w:val="center"/>
          </w:tcPr>
          <w:p w14:paraId="342750DB">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项目负责人</w:t>
            </w:r>
          </w:p>
        </w:tc>
        <w:tc>
          <w:tcPr>
            <w:tcW w:w="6474" w:type="dxa"/>
            <w:gridSpan w:val="3"/>
            <w:tcBorders>
              <w:top w:val="single" w:color="auto" w:sz="6" w:space="0"/>
              <w:bottom w:val="single" w:color="auto" w:sz="6" w:space="0"/>
            </w:tcBorders>
            <w:vAlign w:val="center"/>
          </w:tcPr>
          <w:p w14:paraId="6355C3CA">
            <w:pPr>
              <w:jc w:val="center"/>
              <w:outlineLvl w:val="9"/>
              <w:rPr>
                <w:rFonts w:hint="eastAsia" w:ascii="宋体" w:hAnsi="宋体" w:eastAsia="宋体" w:cs="宋体"/>
                <w:color w:val="auto"/>
                <w:szCs w:val="21"/>
                <w:highlight w:val="none"/>
              </w:rPr>
            </w:pPr>
          </w:p>
        </w:tc>
      </w:tr>
      <w:tr w14:paraId="4DD970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2310" w:type="dxa"/>
            <w:tcBorders>
              <w:top w:val="single" w:color="auto" w:sz="6" w:space="0"/>
              <w:bottom w:val="double" w:color="auto" w:sz="4" w:space="0"/>
            </w:tcBorders>
            <w:vAlign w:val="center"/>
          </w:tcPr>
          <w:p w14:paraId="2D6751B7">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  注</w:t>
            </w:r>
          </w:p>
        </w:tc>
        <w:tc>
          <w:tcPr>
            <w:tcW w:w="6474" w:type="dxa"/>
            <w:gridSpan w:val="3"/>
            <w:tcBorders>
              <w:top w:val="single" w:color="auto" w:sz="6" w:space="0"/>
              <w:bottom w:val="double" w:color="auto" w:sz="4" w:space="0"/>
            </w:tcBorders>
            <w:vAlign w:val="center"/>
          </w:tcPr>
          <w:p w14:paraId="6FB6AB60">
            <w:pPr>
              <w:jc w:val="center"/>
              <w:outlineLvl w:val="9"/>
              <w:rPr>
                <w:rFonts w:hint="eastAsia" w:ascii="宋体" w:hAnsi="宋体" w:eastAsia="宋体" w:cs="宋体"/>
                <w:color w:val="auto"/>
                <w:szCs w:val="21"/>
                <w:highlight w:val="none"/>
              </w:rPr>
            </w:pPr>
          </w:p>
        </w:tc>
      </w:tr>
    </w:tbl>
    <w:p w14:paraId="29B109D9">
      <w:pPr>
        <w:spacing w:before="303" w:line="227" w:lineRule="auto"/>
        <w:ind w:left="2" w:firstLine="424"/>
        <w:outlineLvl w:val="9"/>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说明：</w:t>
      </w:r>
      <w:r>
        <w:rPr>
          <w:rFonts w:hint="eastAsia" w:ascii="宋体" w:hAnsi="宋体" w:eastAsia="宋体" w:cs="宋体"/>
          <w:color w:val="auto"/>
          <w:spacing w:val="-66"/>
          <w:sz w:val="20"/>
          <w:szCs w:val="20"/>
          <w:highlight w:val="none"/>
        </w:rPr>
        <w:t xml:space="preserve"> </w:t>
      </w:r>
      <w:r>
        <w:rPr>
          <w:rFonts w:hint="eastAsia" w:ascii="宋体" w:hAnsi="宋体" w:eastAsia="宋体" w:cs="宋体"/>
          <w:color w:val="auto"/>
          <w:spacing w:val="6"/>
          <w:sz w:val="20"/>
          <w:szCs w:val="20"/>
          <w:highlight w:val="none"/>
        </w:rPr>
        <w:t>“</w:t>
      </w:r>
      <w:r>
        <w:rPr>
          <w:rFonts w:hint="eastAsia" w:ascii="宋体" w:hAnsi="宋体" w:eastAsia="宋体" w:cs="宋体"/>
          <w:color w:val="auto"/>
          <w:spacing w:val="-73"/>
          <w:sz w:val="20"/>
          <w:szCs w:val="20"/>
          <w:highlight w:val="none"/>
        </w:rPr>
        <w:t xml:space="preserve"> </w:t>
      </w:r>
      <w:r>
        <w:rPr>
          <w:rFonts w:hint="eastAsia" w:ascii="宋体" w:hAnsi="宋体" w:eastAsia="宋体" w:cs="宋体"/>
          <w:color w:val="auto"/>
          <w:spacing w:val="6"/>
          <w:sz w:val="20"/>
          <w:szCs w:val="20"/>
          <w:highlight w:val="none"/>
        </w:rPr>
        <w:t>品目代码</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6"/>
          <w:sz w:val="20"/>
          <w:szCs w:val="20"/>
          <w:highlight w:val="none"/>
        </w:rPr>
        <w:t>”栏按《政府采购品目分类目录》规定填写，如</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6"/>
          <w:sz w:val="20"/>
          <w:szCs w:val="20"/>
          <w:highlight w:val="none"/>
        </w:rPr>
        <w:t>B0303</w:t>
      </w:r>
      <w:r>
        <w:rPr>
          <w:rFonts w:hint="eastAsia" w:ascii="宋体" w:hAnsi="宋体" w:eastAsia="宋体" w:cs="宋体"/>
          <w:color w:val="auto"/>
          <w:spacing w:val="-38"/>
          <w:sz w:val="20"/>
          <w:szCs w:val="20"/>
          <w:highlight w:val="none"/>
        </w:rPr>
        <w:t xml:space="preserve"> </w:t>
      </w:r>
      <w:r>
        <w:rPr>
          <w:rFonts w:hint="eastAsia" w:ascii="宋体" w:hAnsi="宋体" w:eastAsia="宋体" w:cs="宋体"/>
          <w:color w:val="auto"/>
          <w:spacing w:val="6"/>
          <w:sz w:val="20"/>
          <w:szCs w:val="20"/>
          <w:highlight w:val="none"/>
        </w:rPr>
        <w:t>拆除工程；</w:t>
      </w:r>
    </w:p>
    <w:p w14:paraId="07D396B6">
      <w:pPr>
        <w:pStyle w:val="12"/>
        <w:spacing w:line="303" w:lineRule="auto"/>
        <w:outlineLvl w:val="9"/>
        <w:rPr>
          <w:rFonts w:hint="eastAsia" w:ascii="宋体" w:hAnsi="宋体" w:eastAsia="宋体" w:cs="宋体"/>
          <w:color w:val="auto"/>
          <w:highlight w:val="none"/>
        </w:rPr>
      </w:pPr>
    </w:p>
    <w:p w14:paraId="5B498587">
      <w:pPr>
        <w:pStyle w:val="12"/>
        <w:spacing w:line="303" w:lineRule="auto"/>
        <w:outlineLvl w:val="9"/>
        <w:rPr>
          <w:rFonts w:hint="eastAsia" w:ascii="宋体" w:hAnsi="宋体" w:eastAsia="宋体" w:cs="宋体"/>
          <w:color w:val="auto"/>
          <w:highlight w:val="none"/>
        </w:rPr>
      </w:pPr>
    </w:p>
    <w:p w14:paraId="2E947BD6">
      <w:pPr>
        <w:pStyle w:val="12"/>
        <w:spacing w:line="303" w:lineRule="auto"/>
        <w:outlineLvl w:val="9"/>
        <w:rPr>
          <w:rFonts w:hint="eastAsia" w:ascii="宋体" w:hAnsi="宋体" w:eastAsia="宋体" w:cs="宋体"/>
          <w:color w:val="auto"/>
          <w:highlight w:val="none"/>
        </w:rPr>
      </w:pPr>
    </w:p>
    <w:p w14:paraId="115F9AE2">
      <w:pPr>
        <w:spacing w:before="65" w:line="227" w:lineRule="auto"/>
        <w:ind w:firstLine="432"/>
        <w:outlineLvl w:val="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供应商（盖单位章</w:t>
      </w:r>
      <w:r>
        <w:rPr>
          <w:rFonts w:hint="eastAsia" w:ascii="宋体" w:hAnsi="宋体" w:eastAsia="宋体" w:cs="宋体"/>
          <w:color w:val="auto"/>
          <w:spacing w:val="2"/>
          <w:sz w:val="20"/>
          <w:szCs w:val="20"/>
          <w:highlight w:val="none"/>
        </w:rPr>
        <w:t>）：</w:t>
      </w:r>
    </w:p>
    <w:p w14:paraId="1BC59749">
      <w:pPr>
        <w:spacing w:before="163" w:line="410" w:lineRule="exact"/>
        <w:ind w:firstLine="432"/>
        <w:outlineLvl w:val="9"/>
        <w:rPr>
          <w:rFonts w:hint="eastAsia" w:ascii="宋体" w:hAnsi="宋体" w:eastAsia="宋体" w:cs="宋体"/>
          <w:color w:val="auto"/>
          <w:sz w:val="20"/>
          <w:szCs w:val="20"/>
          <w:highlight w:val="none"/>
        </w:rPr>
      </w:pPr>
      <w:r>
        <w:rPr>
          <w:rFonts w:hint="eastAsia" w:ascii="宋体" w:hAnsi="宋体" w:eastAsia="宋体" w:cs="宋体"/>
          <w:color w:val="auto"/>
          <w:spacing w:val="8"/>
          <w:position w:val="15"/>
          <w:sz w:val="20"/>
          <w:szCs w:val="20"/>
          <w:highlight w:val="none"/>
        </w:rPr>
        <w:t>法定代表人或其委托代理人签字：</w:t>
      </w:r>
    </w:p>
    <w:p w14:paraId="0649946E">
      <w:pPr>
        <w:spacing w:before="1" w:line="227" w:lineRule="auto"/>
        <w:ind w:left="35" w:firstLine="384"/>
        <w:outlineLvl w:val="9"/>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日期：</w:t>
      </w:r>
      <w:r>
        <w:rPr>
          <w:rFonts w:hint="eastAsia" w:ascii="宋体" w:hAnsi="宋体" w:eastAsia="宋体" w:cs="宋体"/>
          <w:color w:val="auto"/>
          <w:spacing w:val="5"/>
          <w:sz w:val="20"/>
          <w:szCs w:val="20"/>
          <w:highlight w:val="none"/>
          <w:u w:val="single"/>
        </w:rPr>
        <w:t xml:space="preserve">         </w:t>
      </w:r>
      <w:r>
        <w:rPr>
          <w:rFonts w:hint="eastAsia" w:ascii="宋体" w:hAnsi="宋体" w:eastAsia="宋体" w:cs="宋体"/>
          <w:color w:val="auto"/>
          <w:spacing w:val="-87"/>
          <w:sz w:val="20"/>
          <w:szCs w:val="20"/>
          <w:highlight w:val="none"/>
        </w:rPr>
        <w:t xml:space="preserve"> </w:t>
      </w:r>
      <w:r>
        <w:rPr>
          <w:rFonts w:hint="eastAsia" w:ascii="宋体" w:hAnsi="宋体" w:eastAsia="宋体" w:cs="宋体"/>
          <w:color w:val="auto"/>
          <w:spacing w:val="-4"/>
          <w:sz w:val="20"/>
          <w:szCs w:val="20"/>
          <w:highlight w:val="none"/>
        </w:rPr>
        <w:t>年</w:t>
      </w:r>
      <w:r>
        <w:rPr>
          <w:rFonts w:hint="eastAsia" w:ascii="宋体" w:hAnsi="宋体" w:eastAsia="宋体" w:cs="宋体"/>
          <w:color w:val="auto"/>
          <w:spacing w:val="-99"/>
          <w:sz w:val="20"/>
          <w:szCs w:val="20"/>
          <w:highlight w:val="none"/>
        </w:rPr>
        <w:t xml:space="preserve"> </w:t>
      </w:r>
      <w:r>
        <w:rPr>
          <w:rFonts w:hint="eastAsia" w:ascii="宋体" w:hAnsi="宋体" w:eastAsia="宋体" w:cs="宋体"/>
          <w:color w:val="auto"/>
          <w:spacing w:val="5"/>
          <w:sz w:val="20"/>
          <w:szCs w:val="20"/>
          <w:highlight w:val="none"/>
          <w:u w:val="single"/>
        </w:rPr>
        <w:t xml:space="preserve">    </w:t>
      </w:r>
      <w:r>
        <w:rPr>
          <w:rFonts w:hint="eastAsia" w:ascii="宋体" w:hAnsi="宋体" w:eastAsia="宋体" w:cs="宋体"/>
          <w:color w:val="auto"/>
          <w:spacing w:val="-86"/>
          <w:sz w:val="20"/>
          <w:szCs w:val="20"/>
          <w:highlight w:val="none"/>
        </w:rPr>
        <w:t xml:space="preserve"> </w:t>
      </w:r>
      <w:r>
        <w:rPr>
          <w:rFonts w:hint="eastAsia" w:ascii="宋体" w:hAnsi="宋体" w:eastAsia="宋体" w:cs="宋体"/>
          <w:color w:val="auto"/>
          <w:spacing w:val="-4"/>
          <w:sz w:val="20"/>
          <w:szCs w:val="20"/>
          <w:highlight w:val="none"/>
        </w:rPr>
        <w:t>月</w:t>
      </w:r>
      <w:r>
        <w:rPr>
          <w:rFonts w:hint="eastAsia" w:ascii="宋体" w:hAnsi="宋体" w:eastAsia="宋体" w:cs="宋体"/>
          <w:color w:val="auto"/>
          <w:spacing w:val="4"/>
          <w:sz w:val="20"/>
          <w:szCs w:val="20"/>
          <w:highlight w:val="none"/>
          <w:u w:val="single"/>
        </w:rPr>
        <w:t xml:space="preserve">   </w:t>
      </w:r>
      <w:r>
        <w:rPr>
          <w:rFonts w:hint="eastAsia" w:ascii="宋体" w:hAnsi="宋体" w:eastAsia="宋体" w:cs="宋体"/>
          <w:color w:val="auto"/>
          <w:spacing w:val="-54"/>
          <w:sz w:val="20"/>
          <w:szCs w:val="20"/>
          <w:highlight w:val="none"/>
        </w:rPr>
        <w:t xml:space="preserve"> </w:t>
      </w:r>
      <w:r>
        <w:rPr>
          <w:rFonts w:hint="eastAsia" w:ascii="宋体" w:hAnsi="宋体" w:eastAsia="宋体" w:cs="宋体"/>
          <w:color w:val="auto"/>
          <w:spacing w:val="-4"/>
          <w:sz w:val="20"/>
          <w:szCs w:val="20"/>
          <w:highlight w:val="none"/>
        </w:rPr>
        <w:t>日</w:t>
      </w:r>
    </w:p>
    <w:p w14:paraId="4FCFE952">
      <w:pPr>
        <w:spacing w:line="227" w:lineRule="auto"/>
        <w:ind w:firstLine="400"/>
        <w:outlineLvl w:val="9"/>
        <w:rPr>
          <w:rFonts w:hint="eastAsia" w:ascii="宋体" w:hAnsi="宋体" w:eastAsia="宋体" w:cs="宋体"/>
          <w:color w:val="auto"/>
          <w:sz w:val="20"/>
          <w:szCs w:val="20"/>
          <w:highlight w:val="none"/>
        </w:rPr>
        <w:sectPr>
          <w:pgSz w:w="11906" w:h="16839"/>
          <w:pgMar w:top="1440" w:right="1800" w:bottom="1440" w:left="1800" w:header="0" w:footer="994" w:gutter="0"/>
          <w:pgNumType w:fmt="decimal"/>
          <w:cols w:space="720" w:num="1"/>
        </w:sectPr>
      </w:pPr>
    </w:p>
    <w:p w14:paraId="7636D2D1">
      <w:pPr>
        <w:spacing w:before="91" w:line="219" w:lineRule="auto"/>
        <w:ind w:firstLine="556"/>
        <w:jc w:val="center"/>
        <w:outlineLvl w:val="9"/>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分项价格表(工程类适用)</w:t>
      </w:r>
    </w:p>
    <w:p w14:paraId="0D253199">
      <w:pPr>
        <w:spacing w:before="140" w:line="219" w:lineRule="auto"/>
        <w:outlineLvl w:val="9"/>
        <w:rPr>
          <w:rFonts w:hint="default" w:ascii="宋体" w:hAnsi="宋体" w:eastAsia="宋体" w:cs="宋体"/>
          <w:color w:val="auto"/>
          <w:highlight w:val="none"/>
          <w:lang w:val="en-US" w:eastAsia="zh-CN"/>
        </w:rPr>
      </w:pPr>
      <w:r>
        <w:rPr>
          <w:rFonts w:hint="eastAsia" w:ascii="宋体" w:hAnsi="宋体" w:eastAsia="宋体" w:cs="宋体"/>
          <w:color w:val="auto"/>
          <w:spacing w:val="-17"/>
          <w:sz w:val="30"/>
          <w:szCs w:val="30"/>
          <w:highlight w:val="none"/>
        </w:rPr>
        <w:t>附件</w:t>
      </w:r>
      <w:r>
        <w:rPr>
          <w:rFonts w:hint="eastAsia" w:ascii="宋体" w:hAnsi="宋体" w:eastAsia="宋体" w:cs="宋体"/>
          <w:color w:val="auto"/>
          <w:spacing w:val="-42"/>
          <w:sz w:val="30"/>
          <w:szCs w:val="30"/>
          <w:highlight w:val="none"/>
        </w:rPr>
        <w:t xml:space="preserve"> </w:t>
      </w:r>
      <w:r>
        <w:rPr>
          <w:rFonts w:hint="eastAsia" w:ascii="宋体" w:hAnsi="宋体" w:eastAsia="宋体" w:cs="宋体"/>
          <w:color w:val="auto"/>
          <w:spacing w:val="-17"/>
          <w:sz w:val="30"/>
          <w:szCs w:val="30"/>
          <w:highlight w:val="none"/>
        </w:rPr>
        <w:t>1</w:t>
      </w:r>
      <w:r>
        <w:rPr>
          <w:rFonts w:hint="eastAsia" w:ascii="宋体" w:hAnsi="宋体" w:eastAsia="宋体" w:cs="宋体"/>
          <w:color w:val="auto"/>
          <w:spacing w:val="-17"/>
          <w:sz w:val="30"/>
          <w:szCs w:val="30"/>
          <w:highlight w:val="none"/>
          <w:lang w:val="en-US" w:eastAsia="zh-CN"/>
        </w:rPr>
        <w:t>1-1</w:t>
      </w:r>
    </w:p>
    <w:p w14:paraId="2D2674AB">
      <w:pPr>
        <w:pStyle w:val="12"/>
        <w:spacing w:line="314" w:lineRule="auto"/>
        <w:outlineLvl w:val="9"/>
        <w:rPr>
          <w:rFonts w:hint="eastAsia" w:ascii="宋体" w:hAnsi="宋体" w:eastAsia="宋体" w:cs="宋体"/>
          <w:color w:val="auto"/>
          <w:highlight w:val="none"/>
        </w:rPr>
      </w:pPr>
    </w:p>
    <w:p w14:paraId="20E20338">
      <w:pPr>
        <w:adjustRightInd w:val="0"/>
        <w:snapToGrid w:val="0"/>
        <w:spacing w:line="360" w:lineRule="auto"/>
        <w:ind w:right="23" w:rightChars="11" w:firstLine="422" w:firstLineChars="200"/>
        <w:outlineLvl w:val="9"/>
        <w:rPr>
          <w:rFonts w:ascii="宋体" w:hAnsi="宋体" w:cs="宋体"/>
          <w:b/>
          <w:bCs/>
          <w:color w:val="auto"/>
          <w:szCs w:val="21"/>
        </w:rPr>
      </w:pPr>
      <w:r>
        <w:rPr>
          <w:rFonts w:hint="eastAsia" w:ascii="宋体" w:hAnsi="宋体" w:cs="宋体"/>
          <w:b/>
          <w:bCs/>
          <w:color w:val="auto"/>
          <w:szCs w:val="21"/>
          <w:lang w:val="en-US" w:eastAsia="zh-CN"/>
        </w:rPr>
        <w:t>报价文件未</w:t>
      </w:r>
      <w:r>
        <w:rPr>
          <w:rFonts w:hint="eastAsia" w:ascii="宋体" w:hAnsi="宋体" w:cs="宋体"/>
          <w:b/>
          <w:bCs/>
          <w:color w:val="auto"/>
          <w:szCs w:val="21"/>
        </w:rPr>
        <w:t>下列要求</w:t>
      </w:r>
      <w:r>
        <w:rPr>
          <w:rFonts w:hint="eastAsia" w:ascii="宋体" w:hAnsi="宋体" w:cs="宋体"/>
          <w:b/>
          <w:bCs/>
          <w:color w:val="auto"/>
          <w:szCs w:val="21"/>
          <w:lang w:val="en-US" w:eastAsia="zh-CN"/>
        </w:rPr>
        <w:t>提供的，视为</w:t>
      </w:r>
      <w:r>
        <w:rPr>
          <w:rFonts w:hint="eastAsia" w:ascii="宋体" w:hAnsi="宋体" w:cs="宋体"/>
          <w:b/>
          <w:bCs/>
          <w:color w:val="auto"/>
          <w:szCs w:val="21"/>
        </w:rPr>
        <w:t>无效报价，按废标处理。</w:t>
      </w:r>
    </w:p>
    <w:p w14:paraId="4380396F">
      <w:pPr>
        <w:spacing w:line="360" w:lineRule="auto"/>
        <w:ind w:firstLine="420" w:firstLineChars="200"/>
        <w:outlineLvl w:val="9"/>
        <w:rPr>
          <w:rFonts w:hint="eastAsia" w:eastAsia="宋体"/>
          <w:lang w:val="en-US" w:eastAsia="zh-CN"/>
        </w:rPr>
      </w:pPr>
      <w:r>
        <w:rPr>
          <w:rFonts w:hint="eastAsia" w:ascii="宋体" w:hAnsi="宋体"/>
          <w:color w:val="auto"/>
          <w:szCs w:val="21"/>
        </w:rPr>
        <w:t>工程量清单以</w:t>
      </w:r>
      <w:r>
        <w:rPr>
          <w:rFonts w:hint="eastAsia" w:ascii="宋体" w:hAnsi="宋体"/>
          <w:color w:val="auto"/>
          <w:szCs w:val="21"/>
          <w:lang w:val="en-US" w:eastAsia="zh-CN"/>
        </w:rPr>
        <w:t>采购人</w:t>
      </w:r>
      <w:r>
        <w:rPr>
          <w:rFonts w:hint="eastAsia" w:ascii="宋体" w:hAnsi="宋体"/>
          <w:color w:val="auto"/>
          <w:szCs w:val="21"/>
        </w:rPr>
        <w:t>提供的电子版工程量清单为准，请各供应商根据采购人发布的工程量清单进行投标报价，并单独根据采购人发布的工程量清单编制投标报价书，编制投标报价书时不得缺项漏项并完整响应发布的工程量清单内容。</w:t>
      </w:r>
    </w:p>
    <w:p w14:paraId="73A5A07A">
      <w:pPr>
        <w:pStyle w:val="4"/>
        <w:keepNext w:val="0"/>
        <w:keepLines w:val="0"/>
        <w:pageBreakBefore w:val="0"/>
        <w:widowControl/>
        <w:kinsoku/>
        <w:wordWrap/>
        <w:overflowPunct/>
        <w:topLinePunct w:val="0"/>
        <w:autoSpaceDE/>
        <w:autoSpaceDN/>
        <w:bidi w:val="0"/>
        <w:adjustRightInd/>
        <w:snapToGrid/>
        <w:spacing w:line="360" w:lineRule="auto"/>
        <w:ind w:firstLine="420"/>
        <w:textAlignment w:val="auto"/>
        <w:outlineLvl w:val="9"/>
        <w:rPr>
          <w:rFonts w:hint="eastAsia" w:ascii="宋体" w:hAnsi="宋体" w:eastAsiaTheme="minorEastAsia" w:cstheme="minorBidi"/>
          <w:b/>
          <w:bCs/>
          <w:color w:val="FF0000"/>
          <w:kern w:val="2"/>
          <w:sz w:val="21"/>
          <w:szCs w:val="21"/>
          <w:highlight w:val="none"/>
          <w:lang w:val="en-US" w:eastAsia="zh-CN" w:bidi="ar-SA"/>
        </w:rPr>
      </w:pPr>
      <w:r>
        <w:rPr>
          <w:rFonts w:hint="eastAsia" w:ascii="宋体" w:hAnsi="宋体" w:eastAsiaTheme="minorEastAsia" w:cstheme="minorBidi"/>
          <w:b/>
          <w:bCs/>
          <w:color w:val="FF0000"/>
          <w:kern w:val="2"/>
          <w:sz w:val="21"/>
          <w:szCs w:val="21"/>
          <w:highlight w:val="none"/>
          <w:lang w:val="en-US" w:eastAsia="zh-CN" w:bidi="ar-SA"/>
        </w:rPr>
        <w:t>注：投标总价扉页应由注册造价工程师签字并盖其执业专用章，同时将该注册造价工程师证书复印件附在其投标文件中。</w:t>
      </w:r>
    </w:p>
    <w:p w14:paraId="6A1F4A65">
      <w:pPr>
        <w:pStyle w:val="4"/>
        <w:keepNext w:val="0"/>
        <w:keepLines w:val="0"/>
        <w:pageBreakBefore w:val="0"/>
        <w:widowControl/>
        <w:kinsoku/>
        <w:wordWrap/>
        <w:overflowPunct/>
        <w:topLinePunct w:val="0"/>
        <w:autoSpaceDE/>
        <w:autoSpaceDN/>
        <w:bidi w:val="0"/>
        <w:adjustRightInd/>
        <w:snapToGrid/>
        <w:spacing w:line="360" w:lineRule="auto"/>
        <w:ind w:firstLine="420"/>
        <w:textAlignment w:val="auto"/>
        <w:outlineLvl w:val="9"/>
        <w:rPr>
          <w:rFonts w:hint="eastAsia" w:ascii="宋体" w:hAnsi="宋体" w:eastAsiaTheme="minorEastAsia" w:cstheme="minorBidi"/>
          <w:b/>
          <w:bCs/>
          <w:color w:val="FF0000"/>
          <w:kern w:val="2"/>
          <w:sz w:val="21"/>
          <w:szCs w:val="21"/>
          <w:highlight w:val="none"/>
          <w:lang w:val="en-US" w:eastAsia="zh-CN" w:bidi="ar-SA"/>
        </w:rPr>
        <w:sectPr>
          <w:footerReference r:id="rId16" w:type="default"/>
          <w:pgSz w:w="11906" w:h="16839"/>
          <w:pgMar w:top="1440" w:right="1800" w:bottom="1440" w:left="1800" w:header="0" w:footer="994" w:gutter="0"/>
          <w:pgNumType w:fmt="decimal"/>
          <w:cols w:space="720" w:num="1"/>
        </w:sectPr>
      </w:pPr>
      <w:r>
        <w:rPr>
          <w:rFonts w:hint="eastAsia" w:ascii="宋体" w:hAnsi="宋体" w:eastAsiaTheme="minorEastAsia" w:cstheme="minorBidi"/>
          <w:b/>
          <w:bCs/>
          <w:color w:val="FF0000"/>
          <w:kern w:val="2"/>
          <w:sz w:val="21"/>
          <w:szCs w:val="21"/>
          <w:highlight w:val="none"/>
          <w:lang w:val="en-US" w:eastAsia="zh-CN" w:bidi="ar-SA"/>
        </w:rPr>
        <w:t>注册造价工程师属投标人本单位的，其注册单位名称应与供应商名称一致。如委托他人编制投标报价，应委托具备相应资质的工程造价咨询机构编制，并在投标文件中附有造价咨询机构的资质证书和委托合同(协议书)复印件，同时由被委托人的注册造价工程师签字并盖其执业专用章，签字盖章的注册造价工程师的注册单位名称应当与被委托人名称一致。</w:t>
      </w:r>
    </w:p>
    <w:p w14:paraId="0C661F1C">
      <w:pPr>
        <w:spacing w:before="101" w:line="224" w:lineRule="auto"/>
        <w:ind w:firstLine="638"/>
        <w:jc w:val="center"/>
        <w:outlineLvl w:val="9"/>
        <w:rPr>
          <w:rFonts w:hint="eastAsia" w:ascii="宋体" w:hAnsi="宋体" w:eastAsia="宋体" w:cs="宋体"/>
          <w:b/>
          <w:bCs/>
          <w:color w:val="auto"/>
          <w:spacing w:val="9"/>
          <w:sz w:val="30"/>
          <w:szCs w:val="30"/>
          <w:highlight w:val="none"/>
        </w:rPr>
      </w:pPr>
      <w:r>
        <w:rPr>
          <w:rFonts w:hint="eastAsia" w:ascii="宋体" w:hAnsi="宋体" w:eastAsia="宋体" w:cs="宋体"/>
          <w:b/>
          <w:bCs/>
          <w:color w:val="auto"/>
          <w:spacing w:val="9"/>
          <w:sz w:val="30"/>
          <w:szCs w:val="30"/>
          <w:highlight w:val="none"/>
        </w:rPr>
        <w:t>八、供应商认为需要提供的其它资料</w:t>
      </w:r>
    </w:p>
    <w:p w14:paraId="44C419BD">
      <w:pPr>
        <w:adjustRightInd w:val="0"/>
        <w:snapToGrid w:val="0"/>
        <w:spacing w:before="120" w:beforeLines="50" w:line="360" w:lineRule="auto"/>
        <w:outlineLvl w:val="9"/>
        <w:rPr>
          <w:rFonts w:hint="eastAsia" w:ascii="宋体" w:hAnsi="宋体" w:eastAsia="宋体" w:cs="宋体"/>
          <w:color w:val="auto"/>
          <w:highlight w:val="none"/>
        </w:rPr>
      </w:pPr>
    </w:p>
    <w:p w14:paraId="321C33B7">
      <w:pPr>
        <w:adjustRightInd w:val="0"/>
        <w:snapToGrid w:val="0"/>
        <w:spacing w:before="120" w:beforeLines="50" w:line="36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备注：供应商认为需提供的其他资料包括：</w:t>
      </w:r>
    </w:p>
    <w:p w14:paraId="7EF8B4F7">
      <w:pPr>
        <w:adjustRightInd w:val="0"/>
        <w:snapToGrid w:val="0"/>
        <w:spacing w:before="120" w:beforeLines="50" w:line="360" w:lineRule="auto"/>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（1）磋商文件第三章采购需求要求的其他资料；</w:t>
      </w:r>
    </w:p>
    <w:p w14:paraId="26435E7E">
      <w:pPr>
        <w:adjustRightInd w:val="0"/>
        <w:snapToGrid w:val="0"/>
        <w:spacing w:before="120" w:beforeLines="50" w:line="360" w:lineRule="auto"/>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（2）磋商文件第五章评审办法及标准要求的其他相关资料。</w:t>
      </w:r>
    </w:p>
    <w:p w14:paraId="018CDDDF">
      <w:pPr>
        <w:ind w:firstLine="643"/>
        <w:outlineLvl w:val="9"/>
        <w:rPr>
          <w:color w:val="auto"/>
          <w:highlight w:val="none"/>
        </w:rPr>
      </w:pPr>
    </w:p>
    <w:p w14:paraId="14285C2D">
      <w:pPr>
        <w:spacing w:line="224" w:lineRule="auto"/>
        <w:ind w:firstLine="602"/>
        <w:jc w:val="center"/>
        <w:outlineLvl w:val="9"/>
        <w:rPr>
          <w:rFonts w:hint="eastAsia" w:ascii="宋体" w:hAnsi="宋体" w:eastAsia="宋体" w:cs="宋体"/>
          <w:b/>
          <w:bCs/>
          <w:color w:val="auto"/>
          <w:sz w:val="30"/>
          <w:szCs w:val="30"/>
          <w:highlight w:val="none"/>
        </w:rPr>
        <w:sectPr>
          <w:pgSz w:w="11906" w:h="16839"/>
          <w:pgMar w:top="1440" w:right="1800" w:bottom="1440" w:left="1800" w:header="0" w:footer="994" w:gutter="0"/>
          <w:pgNumType w:fmt="decimal"/>
          <w:cols w:space="720" w:num="1"/>
        </w:sectPr>
      </w:pPr>
    </w:p>
    <w:p w14:paraId="6B64EB9C">
      <w:pPr>
        <w:spacing w:before="64" w:line="223" w:lineRule="auto"/>
        <w:ind w:left="2585" w:firstLine="638"/>
        <w:outlineLvl w:val="9"/>
        <w:rPr>
          <w:rFonts w:hint="eastAsia" w:ascii="宋体" w:hAnsi="宋体" w:eastAsia="宋体" w:cs="宋体"/>
          <w:color w:val="auto"/>
          <w:highlight w:val="none"/>
        </w:rPr>
      </w:pPr>
      <w:r>
        <w:rPr>
          <w:rFonts w:hint="eastAsia" w:ascii="宋体" w:hAnsi="宋体" w:eastAsia="宋体" w:cs="宋体"/>
          <w:b/>
          <w:bCs/>
          <w:color w:val="auto"/>
          <w:spacing w:val="9"/>
          <w:sz w:val="30"/>
          <w:szCs w:val="30"/>
          <w:highlight w:val="none"/>
        </w:rPr>
        <w:t>九、最后报价（现场提供）</w:t>
      </w:r>
    </w:p>
    <w:p w14:paraId="151AF14A">
      <w:pPr>
        <w:spacing w:before="161" w:line="378" w:lineRule="auto"/>
        <w:ind w:left="20" w:firstLine="420"/>
        <w:outlineLvl w:val="9"/>
        <w:rPr>
          <w:rFonts w:hint="eastAsia" w:ascii="宋体" w:hAnsi="宋体" w:eastAsia="宋体" w:cs="宋体"/>
          <w:b/>
          <w:bCs/>
          <w:color w:val="FF0000"/>
          <w:spacing w:val="7"/>
          <w:sz w:val="20"/>
          <w:szCs w:val="20"/>
          <w:highlight w:val="none"/>
        </w:rPr>
      </w:pPr>
      <w:r>
        <w:rPr>
          <w:rFonts w:hint="eastAsia" w:ascii="宋体" w:hAnsi="宋体" w:eastAsia="宋体" w:cs="宋体"/>
          <w:b/>
          <w:bCs/>
          <w:color w:val="FF0000"/>
          <w:spacing w:val="7"/>
          <w:sz w:val="20"/>
          <w:szCs w:val="20"/>
          <w:highlight w:val="none"/>
        </w:rPr>
        <w:t>说明:</w:t>
      </w:r>
    </w:p>
    <w:p w14:paraId="68063E5B">
      <w:pPr>
        <w:spacing w:before="161" w:line="378" w:lineRule="auto"/>
        <w:ind w:left="20" w:firstLine="420"/>
        <w:outlineLvl w:val="9"/>
        <w:rPr>
          <w:rFonts w:hint="eastAsia" w:ascii="宋体" w:hAnsi="宋体" w:eastAsia="宋体" w:cs="宋体"/>
          <w:b/>
          <w:bCs/>
          <w:color w:val="FF0000"/>
          <w:spacing w:val="7"/>
          <w:sz w:val="20"/>
          <w:szCs w:val="20"/>
          <w:highlight w:val="none"/>
        </w:rPr>
      </w:pPr>
      <w:r>
        <w:rPr>
          <w:rFonts w:hint="eastAsia" w:ascii="宋体" w:hAnsi="宋体" w:eastAsia="宋体" w:cs="宋体"/>
          <w:b/>
          <w:bCs/>
          <w:color w:val="FF0000"/>
          <w:spacing w:val="7"/>
          <w:sz w:val="20"/>
          <w:szCs w:val="20"/>
          <w:highlight w:val="none"/>
        </w:rPr>
        <w:t>1、供应商最后报价时必须附完整的报价文件，不能只报总价。供应商若现场不能提供完整报价文件，必须提前准备好最后报价完整报价文件。只提供投标总价的最后报价，采购人不予接受。报价文件的组成及格式按本项目提供的“工程量清单”要求。</w:t>
      </w:r>
    </w:p>
    <w:p w14:paraId="47BD1744">
      <w:pPr>
        <w:spacing w:before="161" w:line="378" w:lineRule="auto"/>
        <w:ind w:left="20" w:firstLine="420"/>
        <w:outlineLvl w:val="9"/>
        <w:rPr>
          <w:rFonts w:hint="eastAsia" w:ascii="宋体" w:hAnsi="宋体" w:eastAsia="宋体" w:cs="宋体"/>
          <w:b/>
          <w:bCs/>
          <w:color w:val="FF0000"/>
          <w:spacing w:val="7"/>
          <w:sz w:val="20"/>
          <w:szCs w:val="20"/>
          <w:highlight w:val="none"/>
        </w:rPr>
      </w:pPr>
      <w:r>
        <w:rPr>
          <w:rFonts w:hint="eastAsia" w:ascii="宋体" w:hAnsi="宋体" w:eastAsia="宋体" w:cs="宋体"/>
          <w:b/>
          <w:bCs/>
          <w:color w:val="FF0000"/>
          <w:spacing w:val="7"/>
          <w:sz w:val="20"/>
          <w:szCs w:val="20"/>
          <w:highlight w:val="none"/>
        </w:rPr>
        <w:t>2、最后报价需现场报价，需提供报价一览表和已标价工程量清单，请各供应商自行准备，格式按附件1</w:t>
      </w:r>
      <w:r>
        <w:rPr>
          <w:rFonts w:hint="eastAsia" w:ascii="宋体" w:hAnsi="宋体" w:eastAsia="宋体" w:cs="宋体"/>
          <w:b/>
          <w:bCs/>
          <w:color w:val="FF0000"/>
          <w:spacing w:val="7"/>
          <w:sz w:val="20"/>
          <w:szCs w:val="20"/>
          <w:highlight w:val="none"/>
          <w:lang w:val="en-US" w:eastAsia="zh-CN"/>
        </w:rPr>
        <w:t>1</w:t>
      </w:r>
      <w:r>
        <w:rPr>
          <w:rFonts w:hint="eastAsia" w:ascii="宋体" w:hAnsi="宋体" w:eastAsia="宋体" w:cs="宋体"/>
          <w:b/>
          <w:bCs/>
          <w:color w:val="FF0000"/>
          <w:spacing w:val="7"/>
          <w:sz w:val="20"/>
          <w:szCs w:val="20"/>
          <w:highlight w:val="none"/>
        </w:rPr>
        <w:t>、附件1</w:t>
      </w:r>
      <w:r>
        <w:rPr>
          <w:rFonts w:hint="eastAsia" w:ascii="宋体" w:hAnsi="宋体" w:eastAsia="宋体" w:cs="宋体"/>
          <w:b/>
          <w:bCs/>
          <w:color w:val="FF0000"/>
          <w:spacing w:val="7"/>
          <w:sz w:val="20"/>
          <w:szCs w:val="20"/>
          <w:highlight w:val="none"/>
          <w:lang w:val="en-US" w:eastAsia="zh-CN"/>
        </w:rPr>
        <w:t>1</w:t>
      </w:r>
      <w:r>
        <w:rPr>
          <w:rFonts w:hint="eastAsia" w:ascii="宋体" w:hAnsi="宋体" w:eastAsia="宋体" w:cs="宋体"/>
          <w:b/>
          <w:bCs/>
          <w:color w:val="FF0000"/>
          <w:spacing w:val="7"/>
          <w:sz w:val="20"/>
          <w:szCs w:val="20"/>
          <w:highlight w:val="none"/>
        </w:rPr>
        <w:t>-</w:t>
      </w:r>
      <w:r>
        <w:rPr>
          <w:rFonts w:hint="eastAsia" w:ascii="宋体" w:hAnsi="宋体" w:eastAsia="宋体" w:cs="宋体"/>
          <w:b/>
          <w:bCs/>
          <w:color w:val="FF0000"/>
          <w:spacing w:val="7"/>
          <w:sz w:val="20"/>
          <w:szCs w:val="20"/>
          <w:highlight w:val="none"/>
          <w:lang w:val="en-US" w:eastAsia="zh-CN"/>
        </w:rPr>
        <w:t>1</w:t>
      </w:r>
      <w:r>
        <w:rPr>
          <w:rFonts w:hint="eastAsia" w:ascii="宋体" w:hAnsi="宋体" w:eastAsia="宋体" w:cs="宋体"/>
          <w:b/>
          <w:bCs/>
          <w:color w:val="FF0000"/>
          <w:spacing w:val="7"/>
          <w:sz w:val="20"/>
          <w:szCs w:val="20"/>
          <w:highlight w:val="none"/>
        </w:rPr>
        <w:t>。供应商提交的最后报价不得超过第一轮报价，否则将被视为无效损价，作无效投标处理。</w:t>
      </w:r>
    </w:p>
    <w:p w14:paraId="286803BB">
      <w:pPr>
        <w:spacing w:before="161" w:line="378" w:lineRule="auto"/>
        <w:ind w:left="20" w:firstLine="420"/>
        <w:outlineLvl w:val="9"/>
        <w:rPr>
          <w:rFonts w:hint="eastAsia" w:ascii="宋体" w:hAnsi="宋体" w:eastAsia="宋体" w:cs="宋体"/>
          <w:b/>
          <w:bCs/>
          <w:color w:val="FF0000"/>
          <w:spacing w:val="7"/>
          <w:sz w:val="20"/>
          <w:szCs w:val="20"/>
          <w:highlight w:val="none"/>
          <w:lang w:eastAsia="zh-CN"/>
        </w:rPr>
      </w:pPr>
      <w:r>
        <w:rPr>
          <w:rFonts w:hint="eastAsia" w:ascii="宋体" w:hAnsi="宋体" w:eastAsia="宋体" w:cs="宋体"/>
          <w:b/>
          <w:bCs/>
          <w:color w:val="FF0000"/>
          <w:spacing w:val="7"/>
          <w:sz w:val="20"/>
          <w:szCs w:val="20"/>
          <w:highlight w:val="none"/>
          <w:lang w:val="en-US" w:eastAsia="zh-CN"/>
        </w:rPr>
        <w:t>3、</w:t>
      </w:r>
      <w:r>
        <w:rPr>
          <w:rFonts w:hint="eastAsia" w:ascii="宋体" w:hAnsi="宋体" w:eastAsia="宋体" w:cs="宋体"/>
          <w:b/>
          <w:bCs/>
          <w:color w:val="FF0000"/>
          <w:spacing w:val="7"/>
          <w:sz w:val="20"/>
          <w:szCs w:val="20"/>
          <w:highlight w:val="none"/>
        </w:rPr>
        <w:t>最后报价相关资料不得装订在响应文件中，供应商需单独准备，磋商现场进行最后报价。</w:t>
      </w:r>
      <w:r>
        <w:rPr>
          <w:rFonts w:hint="eastAsia" w:ascii="宋体" w:hAnsi="宋体" w:eastAsia="宋体" w:cs="宋体"/>
          <w:b/>
          <w:bCs/>
          <w:color w:val="FF0000"/>
          <w:spacing w:val="7"/>
          <w:sz w:val="20"/>
          <w:szCs w:val="20"/>
          <w:highlight w:val="none"/>
          <w:lang w:eastAsia="zh-CN"/>
        </w:rPr>
        <w:t>否则视为无效。</w:t>
      </w:r>
    </w:p>
    <w:p w14:paraId="03CD64EE">
      <w:pPr>
        <w:spacing w:before="161" w:line="378" w:lineRule="auto"/>
        <w:ind w:left="20" w:firstLine="420"/>
        <w:outlineLvl w:val="9"/>
        <w:rPr>
          <w:color w:val="FF0000"/>
          <w:highlight w:val="none"/>
        </w:rPr>
      </w:pPr>
    </w:p>
    <w:sectPr>
      <w:headerReference r:id="rId17" w:type="default"/>
      <w:footerReference r:id="rId18"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Arial Unicode MS">
    <w:altName w:val="宋体"/>
    <w:panose1 w:val="020B0604020202020204"/>
    <w:charset w:val="86"/>
    <w:family w:val="roman"/>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仿宋体">
    <w:altName w:val="宋体"/>
    <w:panose1 w:val="00000000000000000000"/>
    <w:charset w:val="86"/>
    <w:family w:val="roman"/>
    <w:pitch w:val="default"/>
    <w:sig w:usb0="00000000" w:usb1="00000000" w:usb2="0000001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MS Mincho">
    <w:panose1 w:val="02020609040205080304"/>
    <w:charset w:val="80"/>
    <w:family w:val="modern"/>
    <w:pitch w:val="default"/>
    <w:sig w:usb0="E00002FF" w:usb1="6AC7FDFB" w:usb2="00000012" w:usb3="00000000" w:csb0="4002009F" w:csb1="DFD70000"/>
  </w:font>
  <w:font w:name="华文中宋">
    <w:altName w:val="宋体"/>
    <w:panose1 w:val="02010600040101010101"/>
    <w:charset w:val="86"/>
    <w:family w:val="auto"/>
    <w:pitch w:val="default"/>
    <w:sig w:usb0="00000000" w:usb1="00000000" w:usb2="00000000" w:usb3="00000000" w:csb0="0004009F" w:csb1="DFD70000"/>
  </w:font>
  <w:font w:name="Kingsoft UE">
    <w:panose1 w:val="02000100010000000000"/>
    <w:charset w:val="00"/>
    <w:family w:val="auto"/>
    <w:pitch w:val="default"/>
    <w:sig w:usb0="00000001" w:usb1="00004000" w:usb2="00000000" w:usb3="00000000" w:csb0="00000001" w:csb1="00000000"/>
  </w:font>
  <w:font w:name="Tahoma">
    <w:panose1 w:val="020B0604030504040204"/>
    <w:charset w:val="00"/>
    <w:family w:val="auto"/>
    <w:pitch w:val="default"/>
    <w:sig w:usb0="E1002EFF" w:usb1="C000605B" w:usb2="00000029" w:usb3="00000000" w:csb0="200101FF" w:csb1="20280000"/>
  </w:font>
  <w:font w:name="时尚中黑简体">
    <w:panose1 w:val="01010104010101010101"/>
    <w:charset w:val="86"/>
    <w:family w:val="auto"/>
    <w:pitch w:val="default"/>
    <w:sig w:usb0="800002BF" w:usb1="184F6CF8"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18537">
    <w:pPr>
      <w:spacing w:line="227" w:lineRule="exact"/>
      <w:ind w:firstLine="8570"/>
      <w:rPr>
        <w:rFonts w:hint="eastAsia" w:ascii="仿宋" w:hAnsi="仿宋" w:eastAsia="仿宋" w:cs="仿宋"/>
        <w:sz w:val="33"/>
        <w:szCs w:val="33"/>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22C00">
    <w:pPr>
      <w:spacing w:line="176" w:lineRule="auto"/>
      <w:ind w:left="43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B398F0">
                          <w:pPr>
                            <w:pStyle w:val="18"/>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55B398F0">
                    <w:pPr>
                      <w:pStyle w:val="18"/>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B7A5A">
    <w:pPr>
      <w:spacing w:line="176" w:lineRule="auto"/>
      <w:ind w:left="42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07137A">
                          <w:pPr>
                            <w:pStyle w:val="18"/>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2207137A">
                    <w:pPr>
                      <w:pStyle w:val="18"/>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B0A6D">
    <w:pPr>
      <w:spacing w:line="176" w:lineRule="auto"/>
      <w:ind w:left="43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71AF3E">
                          <w:pPr>
                            <w:pStyle w:val="18"/>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5771AF3E">
                    <w:pPr>
                      <w:pStyle w:val="18"/>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B525F">
    <w:pPr>
      <w:spacing w:line="176" w:lineRule="auto"/>
      <w:ind w:left="43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C68D79">
                          <w:pPr>
                            <w:pStyle w:val="18"/>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48C68D79">
                    <w:pPr>
                      <w:pStyle w:val="18"/>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772FB">
    <w:pPr>
      <w:spacing w:line="176" w:lineRule="auto"/>
      <w:ind w:left="40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CE39B7">
                          <w:pPr>
                            <w:pStyle w:val="18"/>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46CE39B7">
                    <w:pPr>
                      <w:pStyle w:val="18"/>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D1CE1">
    <w:pPr>
      <w:pStyle w:val="18"/>
      <w:ind w:firstLine="360"/>
      <w:jc w:val="center"/>
      <w:rPr>
        <w:rFonts w:eastAsia="宋体"/>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F66D20">
                          <w:pPr>
                            <w:pStyle w:val="18"/>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78F66D20">
                    <w:pPr>
                      <w:pStyle w:val="18"/>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AB7BA">
    <w:pPr>
      <w:spacing w:line="227" w:lineRule="exact"/>
      <w:ind w:firstLine="8570"/>
      <w:rPr>
        <w:rFonts w:hint="eastAsia" w:ascii="仿宋" w:hAnsi="仿宋" w:eastAsia="仿宋" w:cs="仿宋"/>
        <w:sz w:val="33"/>
        <w:szCs w:val="33"/>
      </w:rPr>
    </w:pPr>
    <w:r>
      <w:rPr>
        <w:sz w:val="33"/>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806DAD">
                          <w:pPr>
                            <w:pStyle w:val="1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0806DAD">
                    <w:pPr>
                      <w:pStyle w:val="1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DDC7F">
    <w:pPr>
      <w:pStyle w:val="12"/>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F4BC6F">
                          <w:pPr>
                            <w:pStyle w:val="18"/>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0F4BC6F">
                    <w:pPr>
                      <w:pStyle w:val="18"/>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EE6BE">
    <w:pPr>
      <w:spacing w:line="176" w:lineRule="auto"/>
      <w:ind w:left="432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C4F37D">
                          <w:pPr>
                            <w:pStyle w:val="18"/>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1C4F37D">
                    <w:pPr>
                      <w:pStyle w:val="18"/>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EF867">
    <w:pPr>
      <w:spacing w:line="176" w:lineRule="auto"/>
      <w:ind w:left="43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C68270">
                          <w:pPr>
                            <w:pStyle w:val="18"/>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EC68270">
                    <w:pPr>
                      <w:pStyle w:val="18"/>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4073A">
    <w:pPr>
      <w:spacing w:line="176" w:lineRule="auto"/>
      <w:ind w:left="43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D5BA4D">
                          <w:pPr>
                            <w:pStyle w:val="18"/>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7DD5BA4D">
                    <w:pPr>
                      <w:pStyle w:val="18"/>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28911">
    <w:pPr>
      <w:spacing w:line="176" w:lineRule="auto"/>
      <w:ind w:left="43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6A7425">
                          <w:pPr>
                            <w:pStyle w:val="18"/>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46A7425">
                    <w:pPr>
                      <w:pStyle w:val="18"/>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7CD47">
    <w:pPr>
      <w:spacing w:line="176" w:lineRule="auto"/>
      <w:ind w:left="435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387B0C">
                          <w:pPr>
                            <w:pStyle w:val="18"/>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5387B0C">
                    <w:pPr>
                      <w:pStyle w:val="18"/>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B8A5F">
    <w:pPr>
      <w:spacing w:line="176" w:lineRule="auto"/>
      <w:ind w:left="432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8F99EC">
                          <w:pPr>
                            <w:pStyle w:val="18"/>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278F99EC">
                    <w:pPr>
                      <w:pStyle w:val="18"/>
                    </w:pPr>
                    <w:r>
                      <w:fldChar w:fldCharType="begin"/>
                    </w:r>
                    <w:r>
                      <w:instrText xml:space="preserve"> PAGE  \* MERGEFORMAT </w:instrText>
                    </w:r>
                    <w:r>
                      <w:fldChar w:fldCharType="separate"/>
                    </w:r>
                    <w:r>
                      <w:t>52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BED18">
    <w:pPr>
      <w:pStyle w:val="1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0MGU5MmY2YTkxOTc5MGU4ZGQ5ODIyNDBmZmQ1YWQifQ=="/>
  </w:docVars>
  <w:rsids>
    <w:rsidRoot w:val="5B7F4C1A"/>
    <w:rsid w:val="00001FBA"/>
    <w:rsid w:val="00010165"/>
    <w:rsid w:val="00010C90"/>
    <w:rsid w:val="00017625"/>
    <w:rsid w:val="00040653"/>
    <w:rsid w:val="00046016"/>
    <w:rsid w:val="00065908"/>
    <w:rsid w:val="00065CB0"/>
    <w:rsid w:val="0006683D"/>
    <w:rsid w:val="00084CBC"/>
    <w:rsid w:val="00084F13"/>
    <w:rsid w:val="000928A8"/>
    <w:rsid w:val="00092BB2"/>
    <w:rsid w:val="00095C23"/>
    <w:rsid w:val="000A2E2F"/>
    <w:rsid w:val="000A504D"/>
    <w:rsid w:val="000A72C2"/>
    <w:rsid w:val="000D2480"/>
    <w:rsid w:val="000D2B1A"/>
    <w:rsid w:val="000E27FF"/>
    <w:rsid w:val="000E7193"/>
    <w:rsid w:val="000E730C"/>
    <w:rsid w:val="000E741C"/>
    <w:rsid w:val="000F13C3"/>
    <w:rsid w:val="000F57C6"/>
    <w:rsid w:val="000F7DEB"/>
    <w:rsid w:val="00101289"/>
    <w:rsid w:val="00104983"/>
    <w:rsid w:val="001107D2"/>
    <w:rsid w:val="00113F2C"/>
    <w:rsid w:val="00114971"/>
    <w:rsid w:val="00120EA5"/>
    <w:rsid w:val="001247DC"/>
    <w:rsid w:val="00124E16"/>
    <w:rsid w:val="00125F21"/>
    <w:rsid w:val="001310CB"/>
    <w:rsid w:val="00132D0C"/>
    <w:rsid w:val="001348F9"/>
    <w:rsid w:val="00152BF0"/>
    <w:rsid w:val="0015421C"/>
    <w:rsid w:val="00155984"/>
    <w:rsid w:val="00155DB0"/>
    <w:rsid w:val="00157398"/>
    <w:rsid w:val="00162FB2"/>
    <w:rsid w:val="001719C5"/>
    <w:rsid w:val="00173DBF"/>
    <w:rsid w:val="00173FC2"/>
    <w:rsid w:val="0017475C"/>
    <w:rsid w:val="001774C2"/>
    <w:rsid w:val="001904D1"/>
    <w:rsid w:val="00195920"/>
    <w:rsid w:val="001A0975"/>
    <w:rsid w:val="001A47C2"/>
    <w:rsid w:val="001A65BE"/>
    <w:rsid w:val="001A7070"/>
    <w:rsid w:val="001B1C05"/>
    <w:rsid w:val="001B4B8B"/>
    <w:rsid w:val="001B6A9F"/>
    <w:rsid w:val="001C363E"/>
    <w:rsid w:val="001C7862"/>
    <w:rsid w:val="001C7F59"/>
    <w:rsid w:val="001D2CD2"/>
    <w:rsid w:val="001D42C9"/>
    <w:rsid w:val="001D6FD0"/>
    <w:rsid w:val="001E1117"/>
    <w:rsid w:val="001E38A1"/>
    <w:rsid w:val="001F59B2"/>
    <w:rsid w:val="001F78F5"/>
    <w:rsid w:val="0022540E"/>
    <w:rsid w:val="00225AC2"/>
    <w:rsid w:val="00233BA8"/>
    <w:rsid w:val="0023526E"/>
    <w:rsid w:val="00240D27"/>
    <w:rsid w:val="002425F7"/>
    <w:rsid w:val="0024367B"/>
    <w:rsid w:val="00244D49"/>
    <w:rsid w:val="00251F4B"/>
    <w:rsid w:val="00252E5E"/>
    <w:rsid w:val="00260451"/>
    <w:rsid w:val="00264339"/>
    <w:rsid w:val="00266662"/>
    <w:rsid w:val="002728EA"/>
    <w:rsid w:val="00274D5C"/>
    <w:rsid w:val="002755EC"/>
    <w:rsid w:val="00277FED"/>
    <w:rsid w:val="0028112D"/>
    <w:rsid w:val="00282E76"/>
    <w:rsid w:val="00284D22"/>
    <w:rsid w:val="002912B1"/>
    <w:rsid w:val="00293F66"/>
    <w:rsid w:val="002A1E37"/>
    <w:rsid w:val="002A3922"/>
    <w:rsid w:val="002A58F9"/>
    <w:rsid w:val="002A5BCE"/>
    <w:rsid w:val="002A75AC"/>
    <w:rsid w:val="002C195F"/>
    <w:rsid w:val="002C2749"/>
    <w:rsid w:val="002C3D87"/>
    <w:rsid w:val="002D4F7B"/>
    <w:rsid w:val="002D54CB"/>
    <w:rsid w:val="002E020B"/>
    <w:rsid w:val="002F262B"/>
    <w:rsid w:val="002F42D1"/>
    <w:rsid w:val="00310AA5"/>
    <w:rsid w:val="00314980"/>
    <w:rsid w:val="00315F6E"/>
    <w:rsid w:val="0032247B"/>
    <w:rsid w:val="0032288F"/>
    <w:rsid w:val="00330674"/>
    <w:rsid w:val="00331E89"/>
    <w:rsid w:val="00335CE5"/>
    <w:rsid w:val="003400E0"/>
    <w:rsid w:val="00342B80"/>
    <w:rsid w:val="0034370E"/>
    <w:rsid w:val="00343D19"/>
    <w:rsid w:val="00344539"/>
    <w:rsid w:val="00347F7A"/>
    <w:rsid w:val="00351D2E"/>
    <w:rsid w:val="00352570"/>
    <w:rsid w:val="00365DFB"/>
    <w:rsid w:val="0037082B"/>
    <w:rsid w:val="00375D26"/>
    <w:rsid w:val="00390D37"/>
    <w:rsid w:val="00392FAB"/>
    <w:rsid w:val="0039339F"/>
    <w:rsid w:val="003B0871"/>
    <w:rsid w:val="003B6A6F"/>
    <w:rsid w:val="003B6CFF"/>
    <w:rsid w:val="003C0510"/>
    <w:rsid w:val="003C07DC"/>
    <w:rsid w:val="003C0CD2"/>
    <w:rsid w:val="003C1031"/>
    <w:rsid w:val="003C262F"/>
    <w:rsid w:val="003C2829"/>
    <w:rsid w:val="003C7852"/>
    <w:rsid w:val="003D611C"/>
    <w:rsid w:val="003E55B5"/>
    <w:rsid w:val="003E775C"/>
    <w:rsid w:val="003F0D67"/>
    <w:rsid w:val="003F3E13"/>
    <w:rsid w:val="00402380"/>
    <w:rsid w:val="0040544C"/>
    <w:rsid w:val="00405C3C"/>
    <w:rsid w:val="0041479E"/>
    <w:rsid w:val="00422A22"/>
    <w:rsid w:val="00424D2E"/>
    <w:rsid w:val="0043233C"/>
    <w:rsid w:val="00435A39"/>
    <w:rsid w:val="00441B33"/>
    <w:rsid w:val="004530B0"/>
    <w:rsid w:val="00460B2F"/>
    <w:rsid w:val="0046689A"/>
    <w:rsid w:val="00466D9B"/>
    <w:rsid w:val="004676C8"/>
    <w:rsid w:val="00467C72"/>
    <w:rsid w:val="0047077F"/>
    <w:rsid w:val="004728AC"/>
    <w:rsid w:val="0047758E"/>
    <w:rsid w:val="004823D0"/>
    <w:rsid w:val="00482942"/>
    <w:rsid w:val="00484CB7"/>
    <w:rsid w:val="00491541"/>
    <w:rsid w:val="004949EC"/>
    <w:rsid w:val="00497643"/>
    <w:rsid w:val="00497872"/>
    <w:rsid w:val="004A07CE"/>
    <w:rsid w:val="004A6C0B"/>
    <w:rsid w:val="004B3081"/>
    <w:rsid w:val="004B32D6"/>
    <w:rsid w:val="004B47E3"/>
    <w:rsid w:val="004B4A4B"/>
    <w:rsid w:val="004B660F"/>
    <w:rsid w:val="004B6847"/>
    <w:rsid w:val="004B7AEB"/>
    <w:rsid w:val="004C4417"/>
    <w:rsid w:val="004D7EC2"/>
    <w:rsid w:val="004E1DB0"/>
    <w:rsid w:val="004E516B"/>
    <w:rsid w:val="004E6BF0"/>
    <w:rsid w:val="004F1BAF"/>
    <w:rsid w:val="004F3434"/>
    <w:rsid w:val="004F5965"/>
    <w:rsid w:val="004F5C97"/>
    <w:rsid w:val="00511444"/>
    <w:rsid w:val="00511E03"/>
    <w:rsid w:val="005121A6"/>
    <w:rsid w:val="00512921"/>
    <w:rsid w:val="00520308"/>
    <w:rsid w:val="00520A30"/>
    <w:rsid w:val="0053562A"/>
    <w:rsid w:val="00542B9F"/>
    <w:rsid w:val="00546210"/>
    <w:rsid w:val="00547E06"/>
    <w:rsid w:val="0055141E"/>
    <w:rsid w:val="00553E00"/>
    <w:rsid w:val="00554D02"/>
    <w:rsid w:val="00555C3B"/>
    <w:rsid w:val="00556510"/>
    <w:rsid w:val="00570694"/>
    <w:rsid w:val="00575FF0"/>
    <w:rsid w:val="00577CDC"/>
    <w:rsid w:val="0058093B"/>
    <w:rsid w:val="00581DF1"/>
    <w:rsid w:val="00590F26"/>
    <w:rsid w:val="005913E2"/>
    <w:rsid w:val="005947F3"/>
    <w:rsid w:val="005957A2"/>
    <w:rsid w:val="00595973"/>
    <w:rsid w:val="005A6A06"/>
    <w:rsid w:val="005B3D5D"/>
    <w:rsid w:val="005C4F65"/>
    <w:rsid w:val="005C7ECA"/>
    <w:rsid w:val="005D26B5"/>
    <w:rsid w:val="005D7481"/>
    <w:rsid w:val="005F6B15"/>
    <w:rsid w:val="00601979"/>
    <w:rsid w:val="006061FC"/>
    <w:rsid w:val="00613AF2"/>
    <w:rsid w:val="00617FCE"/>
    <w:rsid w:val="00622357"/>
    <w:rsid w:val="00625291"/>
    <w:rsid w:val="00626D83"/>
    <w:rsid w:val="00627DC0"/>
    <w:rsid w:val="0064272D"/>
    <w:rsid w:val="006462AB"/>
    <w:rsid w:val="00650CE1"/>
    <w:rsid w:val="0065172C"/>
    <w:rsid w:val="006546E6"/>
    <w:rsid w:val="00657462"/>
    <w:rsid w:val="00660787"/>
    <w:rsid w:val="00663418"/>
    <w:rsid w:val="00663621"/>
    <w:rsid w:val="006649C5"/>
    <w:rsid w:val="00674906"/>
    <w:rsid w:val="006813F0"/>
    <w:rsid w:val="0068571F"/>
    <w:rsid w:val="00685EB0"/>
    <w:rsid w:val="00686BBB"/>
    <w:rsid w:val="00690CEC"/>
    <w:rsid w:val="006911CA"/>
    <w:rsid w:val="006943DF"/>
    <w:rsid w:val="00695417"/>
    <w:rsid w:val="006A1DAF"/>
    <w:rsid w:val="006A29DC"/>
    <w:rsid w:val="006A4126"/>
    <w:rsid w:val="006A5881"/>
    <w:rsid w:val="006B4C21"/>
    <w:rsid w:val="006B77FA"/>
    <w:rsid w:val="006C0CF4"/>
    <w:rsid w:val="006C4D81"/>
    <w:rsid w:val="006C70EF"/>
    <w:rsid w:val="006C768B"/>
    <w:rsid w:val="006D28C2"/>
    <w:rsid w:val="006D699C"/>
    <w:rsid w:val="006E6AE8"/>
    <w:rsid w:val="006E6D7D"/>
    <w:rsid w:val="006F4D8B"/>
    <w:rsid w:val="00703BB1"/>
    <w:rsid w:val="007127F2"/>
    <w:rsid w:val="0071541E"/>
    <w:rsid w:val="00720951"/>
    <w:rsid w:val="00722D8B"/>
    <w:rsid w:val="00724FC6"/>
    <w:rsid w:val="007261E3"/>
    <w:rsid w:val="00746FA2"/>
    <w:rsid w:val="00747C0A"/>
    <w:rsid w:val="00751152"/>
    <w:rsid w:val="00772101"/>
    <w:rsid w:val="00774886"/>
    <w:rsid w:val="0078207A"/>
    <w:rsid w:val="00782660"/>
    <w:rsid w:val="00785723"/>
    <w:rsid w:val="00785E01"/>
    <w:rsid w:val="00794291"/>
    <w:rsid w:val="007B01B4"/>
    <w:rsid w:val="007B184E"/>
    <w:rsid w:val="007B6A6C"/>
    <w:rsid w:val="007B737B"/>
    <w:rsid w:val="007C6151"/>
    <w:rsid w:val="007D241A"/>
    <w:rsid w:val="007D2A0E"/>
    <w:rsid w:val="007E30ED"/>
    <w:rsid w:val="007E4C53"/>
    <w:rsid w:val="007E6D8C"/>
    <w:rsid w:val="007E7EBC"/>
    <w:rsid w:val="007F5D3B"/>
    <w:rsid w:val="008012FB"/>
    <w:rsid w:val="00807543"/>
    <w:rsid w:val="008119A0"/>
    <w:rsid w:val="00813CA8"/>
    <w:rsid w:val="00821AAF"/>
    <w:rsid w:val="008222FD"/>
    <w:rsid w:val="00825D02"/>
    <w:rsid w:val="008264BB"/>
    <w:rsid w:val="00827EFE"/>
    <w:rsid w:val="00837CB7"/>
    <w:rsid w:val="0085025C"/>
    <w:rsid w:val="0085469C"/>
    <w:rsid w:val="008566AD"/>
    <w:rsid w:val="00870B39"/>
    <w:rsid w:val="008726C1"/>
    <w:rsid w:val="00883345"/>
    <w:rsid w:val="0088361D"/>
    <w:rsid w:val="008844E2"/>
    <w:rsid w:val="00891DBF"/>
    <w:rsid w:val="00892198"/>
    <w:rsid w:val="0089400A"/>
    <w:rsid w:val="008957E8"/>
    <w:rsid w:val="008976D5"/>
    <w:rsid w:val="008A2F61"/>
    <w:rsid w:val="008A6106"/>
    <w:rsid w:val="008B30D3"/>
    <w:rsid w:val="008B31FD"/>
    <w:rsid w:val="008C2610"/>
    <w:rsid w:val="008F5D36"/>
    <w:rsid w:val="009006A0"/>
    <w:rsid w:val="00911AC3"/>
    <w:rsid w:val="009170CA"/>
    <w:rsid w:val="00920C81"/>
    <w:rsid w:val="00923090"/>
    <w:rsid w:val="0092469F"/>
    <w:rsid w:val="0093142A"/>
    <w:rsid w:val="00932E5E"/>
    <w:rsid w:val="00933C1B"/>
    <w:rsid w:val="009411EA"/>
    <w:rsid w:val="009430CA"/>
    <w:rsid w:val="00947BD5"/>
    <w:rsid w:val="009540C9"/>
    <w:rsid w:val="00956C57"/>
    <w:rsid w:val="009639D2"/>
    <w:rsid w:val="00965991"/>
    <w:rsid w:val="00965B2D"/>
    <w:rsid w:val="009711FF"/>
    <w:rsid w:val="0097233C"/>
    <w:rsid w:val="00975D2D"/>
    <w:rsid w:val="009769CE"/>
    <w:rsid w:val="00983FB8"/>
    <w:rsid w:val="0099176D"/>
    <w:rsid w:val="00992F84"/>
    <w:rsid w:val="009A6BE2"/>
    <w:rsid w:val="009B4E5A"/>
    <w:rsid w:val="009C0E95"/>
    <w:rsid w:val="009C2CD8"/>
    <w:rsid w:val="009E01EF"/>
    <w:rsid w:val="009E2BCF"/>
    <w:rsid w:val="009E4F52"/>
    <w:rsid w:val="009E682B"/>
    <w:rsid w:val="009E7808"/>
    <w:rsid w:val="009F06C3"/>
    <w:rsid w:val="009F4900"/>
    <w:rsid w:val="00A0330A"/>
    <w:rsid w:val="00A0353E"/>
    <w:rsid w:val="00A051F4"/>
    <w:rsid w:val="00A0546C"/>
    <w:rsid w:val="00A07A46"/>
    <w:rsid w:val="00A10314"/>
    <w:rsid w:val="00A22E90"/>
    <w:rsid w:val="00A275A1"/>
    <w:rsid w:val="00A2770D"/>
    <w:rsid w:val="00A3500A"/>
    <w:rsid w:val="00A44746"/>
    <w:rsid w:val="00A466C5"/>
    <w:rsid w:val="00A52768"/>
    <w:rsid w:val="00A544BE"/>
    <w:rsid w:val="00A6118D"/>
    <w:rsid w:val="00A6534B"/>
    <w:rsid w:val="00A82790"/>
    <w:rsid w:val="00A9215C"/>
    <w:rsid w:val="00A923CE"/>
    <w:rsid w:val="00A964FD"/>
    <w:rsid w:val="00AA1FCA"/>
    <w:rsid w:val="00AA2ABB"/>
    <w:rsid w:val="00AC08D1"/>
    <w:rsid w:val="00AC1CF2"/>
    <w:rsid w:val="00AC24F1"/>
    <w:rsid w:val="00AC445F"/>
    <w:rsid w:val="00AC50B6"/>
    <w:rsid w:val="00AD0657"/>
    <w:rsid w:val="00AD37CF"/>
    <w:rsid w:val="00AE0438"/>
    <w:rsid w:val="00AE71BF"/>
    <w:rsid w:val="00AF5FFA"/>
    <w:rsid w:val="00B001B5"/>
    <w:rsid w:val="00B113F1"/>
    <w:rsid w:val="00B213BF"/>
    <w:rsid w:val="00B2321A"/>
    <w:rsid w:val="00B27594"/>
    <w:rsid w:val="00B329D4"/>
    <w:rsid w:val="00B367B8"/>
    <w:rsid w:val="00B36950"/>
    <w:rsid w:val="00B41FB1"/>
    <w:rsid w:val="00B454DD"/>
    <w:rsid w:val="00B52AD7"/>
    <w:rsid w:val="00B54A65"/>
    <w:rsid w:val="00B5523D"/>
    <w:rsid w:val="00B6093A"/>
    <w:rsid w:val="00B628EA"/>
    <w:rsid w:val="00B669D0"/>
    <w:rsid w:val="00B729D7"/>
    <w:rsid w:val="00B86120"/>
    <w:rsid w:val="00B94EC1"/>
    <w:rsid w:val="00B9651A"/>
    <w:rsid w:val="00BA1E72"/>
    <w:rsid w:val="00BB780D"/>
    <w:rsid w:val="00BD0C11"/>
    <w:rsid w:val="00BD3EDC"/>
    <w:rsid w:val="00BD6763"/>
    <w:rsid w:val="00BE6423"/>
    <w:rsid w:val="00BF47E9"/>
    <w:rsid w:val="00BF604D"/>
    <w:rsid w:val="00C0552A"/>
    <w:rsid w:val="00C06A90"/>
    <w:rsid w:val="00C16000"/>
    <w:rsid w:val="00C2120A"/>
    <w:rsid w:val="00C36300"/>
    <w:rsid w:val="00C36976"/>
    <w:rsid w:val="00C37B7C"/>
    <w:rsid w:val="00C408E7"/>
    <w:rsid w:val="00C4315A"/>
    <w:rsid w:val="00C54B9A"/>
    <w:rsid w:val="00C5794D"/>
    <w:rsid w:val="00C57C88"/>
    <w:rsid w:val="00C62D52"/>
    <w:rsid w:val="00C63467"/>
    <w:rsid w:val="00C649E9"/>
    <w:rsid w:val="00C75FD5"/>
    <w:rsid w:val="00C77C1C"/>
    <w:rsid w:val="00C826FD"/>
    <w:rsid w:val="00C84EC0"/>
    <w:rsid w:val="00C8714D"/>
    <w:rsid w:val="00C95D5A"/>
    <w:rsid w:val="00CA0B3B"/>
    <w:rsid w:val="00CA5779"/>
    <w:rsid w:val="00CA58CB"/>
    <w:rsid w:val="00CB265C"/>
    <w:rsid w:val="00CC17C7"/>
    <w:rsid w:val="00CC1AB9"/>
    <w:rsid w:val="00CF3DCD"/>
    <w:rsid w:val="00D27D01"/>
    <w:rsid w:val="00D31F6C"/>
    <w:rsid w:val="00D4524D"/>
    <w:rsid w:val="00D5228F"/>
    <w:rsid w:val="00D561D0"/>
    <w:rsid w:val="00D64EA2"/>
    <w:rsid w:val="00D74B69"/>
    <w:rsid w:val="00D7731F"/>
    <w:rsid w:val="00D85F68"/>
    <w:rsid w:val="00D92BAE"/>
    <w:rsid w:val="00D95BAF"/>
    <w:rsid w:val="00DB2B25"/>
    <w:rsid w:val="00DB5D94"/>
    <w:rsid w:val="00DB723A"/>
    <w:rsid w:val="00DC05CA"/>
    <w:rsid w:val="00DC365F"/>
    <w:rsid w:val="00DD014D"/>
    <w:rsid w:val="00DE2865"/>
    <w:rsid w:val="00DE2F82"/>
    <w:rsid w:val="00DE6945"/>
    <w:rsid w:val="00DF376E"/>
    <w:rsid w:val="00E0123D"/>
    <w:rsid w:val="00E01CCC"/>
    <w:rsid w:val="00E078FD"/>
    <w:rsid w:val="00E1582E"/>
    <w:rsid w:val="00E21404"/>
    <w:rsid w:val="00E22BDE"/>
    <w:rsid w:val="00E246D6"/>
    <w:rsid w:val="00E26DA4"/>
    <w:rsid w:val="00E34F11"/>
    <w:rsid w:val="00E35E72"/>
    <w:rsid w:val="00E417D6"/>
    <w:rsid w:val="00E44940"/>
    <w:rsid w:val="00E47094"/>
    <w:rsid w:val="00E60FE3"/>
    <w:rsid w:val="00E64613"/>
    <w:rsid w:val="00E70724"/>
    <w:rsid w:val="00E73029"/>
    <w:rsid w:val="00E7435A"/>
    <w:rsid w:val="00E945A4"/>
    <w:rsid w:val="00E95BE9"/>
    <w:rsid w:val="00EA191D"/>
    <w:rsid w:val="00EA54EC"/>
    <w:rsid w:val="00EA6A5B"/>
    <w:rsid w:val="00EA7981"/>
    <w:rsid w:val="00EB0189"/>
    <w:rsid w:val="00EB15BE"/>
    <w:rsid w:val="00EB2492"/>
    <w:rsid w:val="00EB3CB7"/>
    <w:rsid w:val="00EB4E01"/>
    <w:rsid w:val="00EC1F41"/>
    <w:rsid w:val="00EC2E87"/>
    <w:rsid w:val="00EC374F"/>
    <w:rsid w:val="00ED5A6A"/>
    <w:rsid w:val="00ED6D86"/>
    <w:rsid w:val="00EE19A7"/>
    <w:rsid w:val="00EE1E3F"/>
    <w:rsid w:val="00EE3F83"/>
    <w:rsid w:val="00EE3F94"/>
    <w:rsid w:val="00EE6B03"/>
    <w:rsid w:val="00EF4A0D"/>
    <w:rsid w:val="00EF6099"/>
    <w:rsid w:val="00F012E1"/>
    <w:rsid w:val="00F02653"/>
    <w:rsid w:val="00F06197"/>
    <w:rsid w:val="00F06FA6"/>
    <w:rsid w:val="00F13C41"/>
    <w:rsid w:val="00F20783"/>
    <w:rsid w:val="00F21781"/>
    <w:rsid w:val="00F2187F"/>
    <w:rsid w:val="00F226A7"/>
    <w:rsid w:val="00F253E6"/>
    <w:rsid w:val="00F261E1"/>
    <w:rsid w:val="00F33A39"/>
    <w:rsid w:val="00F35397"/>
    <w:rsid w:val="00F4102E"/>
    <w:rsid w:val="00F43CE1"/>
    <w:rsid w:val="00F55F36"/>
    <w:rsid w:val="00F567F4"/>
    <w:rsid w:val="00F57B55"/>
    <w:rsid w:val="00F63167"/>
    <w:rsid w:val="00F71D00"/>
    <w:rsid w:val="00F81D0E"/>
    <w:rsid w:val="00F82B0F"/>
    <w:rsid w:val="00F86866"/>
    <w:rsid w:val="00F91A28"/>
    <w:rsid w:val="00F92D7E"/>
    <w:rsid w:val="00F9544C"/>
    <w:rsid w:val="00F97408"/>
    <w:rsid w:val="00FA2AD6"/>
    <w:rsid w:val="00FA2FFA"/>
    <w:rsid w:val="00FA3A98"/>
    <w:rsid w:val="00FA5171"/>
    <w:rsid w:val="00FB51FE"/>
    <w:rsid w:val="00FB54F8"/>
    <w:rsid w:val="00FF2790"/>
    <w:rsid w:val="00FF439A"/>
    <w:rsid w:val="00FF7F31"/>
    <w:rsid w:val="018E4174"/>
    <w:rsid w:val="01D7034B"/>
    <w:rsid w:val="01E76C43"/>
    <w:rsid w:val="01F90154"/>
    <w:rsid w:val="0222515A"/>
    <w:rsid w:val="023C0D58"/>
    <w:rsid w:val="02544EB3"/>
    <w:rsid w:val="02555E80"/>
    <w:rsid w:val="025E2FD2"/>
    <w:rsid w:val="02A14C3B"/>
    <w:rsid w:val="02C055AD"/>
    <w:rsid w:val="03072596"/>
    <w:rsid w:val="033D59B1"/>
    <w:rsid w:val="03506296"/>
    <w:rsid w:val="037B652A"/>
    <w:rsid w:val="03C7061F"/>
    <w:rsid w:val="03DF74B0"/>
    <w:rsid w:val="04021814"/>
    <w:rsid w:val="042F2888"/>
    <w:rsid w:val="043A64E4"/>
    <w:rsid w:val="046D3CA0"/>
    <w:rsid w:val="048832D5"/>
    <w:rsid w:val="048A3573"/>
    <w:rsid w:val="04962504"/>
    <w:rsid w:val="04A5534D"/>
    <w:rsid w:val="051C2BD8"/>
    <w:rsid w:val="05FA6E43"/>
    <w:rsid w:val="061C4318"/>
    <w:rsid w:val="061C60B5"/>
    <w:rsid w:val="065A6293"/>
    <w:rsid w:val="066537EC"/>
    <w:rsid w:val="06825903"/>
    <w:rsid w:val="068730B3"/>
    <w:rsid w:val="06D373CC"/>
    <w:rsid w:val="07617028"/>
    <w:rsid w:val="078F2096"/>
    <w:rsid w:val="07FC3D39"/>
    <w:rsid w:val="08230182"/>
    <w:rsid w:val="08462B3B"/>
    <w:rsid w:val="08632962"/>
    <w:rsid w:val="087538FA"/>
    <w:rsid w:val="08EB30F3"/>
    <w:rsid w:val="09063620"/>
    <w:rsid w:val="09117D6B"/>
    <w:rsid w:val="091D6EB1"/>
    <w:rsid w:val="092A4E1A"/>
    <w:rsid w:val="09681B54"/>
    <w:rsid w:val="0992531D"/>
    <w:rsid w:val="09A03543"/>
    <w:rsid w:val="09AC7A70"/>
    <w:rsid w:val="09FB55B8"/>
    <w:rsid w:val="0A3035D8"/>
    <w:rsid w:val="0A862F07"/>
    <w:rsid w:val="0A882C0F"/>
    <w:rsid w:val="0AF20F08"/>
    <w:rsid w:val="0AF9098E"/>
    <w:rsid w:val="0AFF2B0F"/>
    <w:rsid w:val="0B3270B9"/>
    <w:rsid w:val="0B5F41A0"/>
    <w:rsid w:val="0B91566F"/>
    <w:rsid w:val="0C063EAF"/>
    <w:rsid w:val="0C0E028C"/>
    <w:rsid w:val="0C105369"/>
    <w:rsid w:val="0C440151"/>
    <w:rsid w:val="0C842D26"/>
    <w:rsid w:val="0C937534"/>
    <w:rsid w:val="0CF47A37"/>
    <w:rsid w:val="0D1E6482"/>
    <w:rsid w:val="0D260FE6"/>
    <w:rsid w:val="0D422210"/>
    <w:rsid w:val="0DD044FA"/>
    <w:rsid w:val="0E0210FF"/>
    <w:rsid w:val="0E133BAF"/>
    <w:rsid w:val="0E1E7AC7"/>
    <w:rsid w:val="0E2D5E3A"/>
    <w:rsid w:val="0E3F33F2"/>
    <w:rsid w:val="0E4912D4"/>
    <w:rsid w:val="0E7D24AD"/>
    <w:rsid w:val="0E7D7BCB"/>
    <w:rsid w:val="0E8F2773"/>
    <w:rsid w:val="0E912A81"/>
    <w:rsid w:val="0ED51E9B"/>
    <w:rsid w:val="0F032A34"/>
    <w:rsid w:val="0F1302AE"/>
    <w:rsid w:val="0F5B2D9A"/>
    <w:rsid w:val="0FB82F10"/>
    <w:rsid w:val="10033EF2"/>
    <w:rsid w:val="102869DB"/>
    <w:rsid w:val="10367E65"/>
    <w:rsid w:val="105179D3"/>
    <w:rsid w:val="10586CDD"/>
    <w:rsid w:val="105C40C9"/>
    <w:rsid w:val="108C51BC"/>
    <w:rsid w:val="109A636B"/>
    <w:rsid w:val="10A95C26"/>
    <w:rsid w:val="10CF0763"/>
    <w:rsid w:val="10EB25CA"/>
    <w:rsid w:val="114965CF"/>
    <w:rsid w:val="1187310D"/>
    <w:rsid w:val="11C12ABF"/>
    <w:rsid w:val="11C60740"/>
    <w:rsid w:val="11E17978"/>
    <w:rsid w:val="12036797"/>
    <w:rsid w:val="120B2307"/>
    <w:rsid w:val="122359BE"/>
    <w:rsid w:val="12304677"/>
    <w:rsid w:val="12612576"/>
    <w:rsid w:val="126D0810"/>
    <w:rsid w:val="12A813D6"/>
    <w:rsid w:val="138E5733"/>
    <w:rsid w:val="13CE61DD"/>
    <w:rsid w:val="13CF69FE"/>
    <w:rsid w:val="13EC6F61"/>
    <w:rsid w:val="13FA50DD"/>
    <w:rsid w:val="144C1224"/>
    <w:rsid w:val="14715CC0"/>
    <w:rsid w:val="14DC2043"/>
    <w:rsid w:val="14DE71DF"/>
    <w:rsid w:val="14E27E3A"/>
    <w:rsid w:val="14FC2550"/>
    <w:rsid w:val="150819D8"/>
    <w:rsid w:val="15166AE8"/>
    <w:rsid w:val="156C26AF"/>
    <w:rsid w:val="156E30E2"/>
    <w:rsid w:val="15886B9A"/>
    <w:rsid w:val="159934D2"/>
    <w:rsid w:val="15A6039E"/>
    <w:rsid w:val="15B035C5"/>
    <w:rsid w:val="15DF328A"/>
    <w:rsid w:val="15F6744F"/>
    <w:rsid w:val="1608647C"/>
    <w:rsid w:val="161547CE"/>
    <w:rsid w:val="162C40B8"/>
    <w:rsid w:val="163C6D3C"/>
    <w:rsid w:val="165B4733"/>
    <w:rsid w:val="167A5AB7"/>
    <w:rsid w:val="16D4731D"/>
    <w:rsid w:val="17067BC4"/>
    <w:rsid w:val="172258FE"/>
    <w:rsid w:val="17342109"/>
    <w:rsid w:val="174176AA"/>
    <w:rsid w:val="174E63C1"/>
    <w:rsid w:val="176302F9"/>
    <w:rsid w:val="17CA65CA"/>
    <w:rsid w:val="17DB391C"/>
    <w:rsid w:val="18380EC4"/>
    <w:rsid w:val="18477019"/>
    <w:rsid w:val="18542E81"/>
    <w:rsid w:val="18555824"/>
    <w:rsid w:val="18944E31"/>
    <w:rsid w:val="18AF31A2"/>
    <w:rsid w:val="18BF4ADC"/>
    <w:rsid w:val="18D94C62"/>
    <w:rsid w:val="18F56BA5"/>
    <w:rsid w:val="193220EB"/>
    <w:rsid w:val="193A5E96"/>
    <w:rsid w:val="19A47986"/>
    <w:rsid w:val="19AD7F51"/>
    <w:rsid w:val="19B232C5"/>
    <w:rsid w:val="19BF3CF0"/>
    <w:rsid w:val="19C9332F"/>
    <w:rsid w:val="1A507420"/>
    <w:rsid w:val="1A574757"/>
    <w:rsid w:val="1A966028"/>
    <w:rsid w:val="1B0C69BF"/>
    <w:rsid w:val="1B1129D7"/>
    <w:rsid w:val="1B28317A"/>
    <w:rsid w:val="1B5C3A17"/>
    <w:rsid w:val="1BED7BEA"/>
    <w:rsid w:val="1C1D38C5"/>
    <w:rsid w:val="1C4F3541"/>
    <w:rsid w:val="1CA7645B"/>
    <w:rsid w:val="1CC63B03"/>
    <w:rsid w:val="1D093359"/>
    <w:rsid w:val="1D2C0729"/>
    <w:rsid w:val="1D634A53"/>
    <w:rsid w:val="1DA63635"/>
    <w:rsid w:val="1DFF06BC"/>
    <w:rsid w:val="1E09301A"/>
    <w:rsid w:val="1E0A4E77"/>
    <w:rsid w:val="1E1917E8"/>
    <w:rsid w:val="1E301961"/>
    <w:rsid w:val="1E535697"/>
    <w:rsid w:val="1EEC4DE1"/>
    <w:rsid w:val="1F2C4663"/>
    <w:rsid w:val="1F4A7760"/>
    <w:rsid w:val="1F6A63D3"/>
    <w:rsid w:val="1F7045DC"/>
    <w:rsid w:val="1FBE2D91"/>
    <w:rsid w:val="202076CF"/>
    <w:rsid w:val="20335757"/>
    <w:rsid w:val="206959BA"/>
    <w:rsid w:val="20765119"/>
    <w:rsid w:val="20927CCF"/>
    <w:rsid w:val="20BB2F53"/>
    <w:rsid w:val="20FD40D2"/>
    <w:rsid w:val="212F576A"/>
    <w:rsid w:val="21426DAD"/>
    <w:rsid w:val="217107FE"/>
    <w:rsid w:val="21725863"/>
    <w:rsid w:val="21BD52E4"/>
    <w:rsid w:val="21C0595D"/>
    <w:rsid w:val="21DD6316"/>
    <w:rsid w:val="21FF46CD"/>
    <w:rsid w:val="2283776E"/>
    <w:rsid w:val="22CA0226"/>
    <w:rsid w:val="23055A60"/>
    <w:rsid w:val="237D3DB6"/>
    <w:rsid w:val="23FC186C"/>
    <w:rsid w:val="241C4C9C"/>
    <w:rsid w:val="247F30EC"/>
    <w:rsid w:val="248D4C07"/>
    <w:rsid w:val="249535DF"/>
    <w:rsid w:val="24AC704C"/>
    <w:rsid w:val="24BF71D1"/>
    <w:rsid w:val="24FE074F"/>
    <w:rsid w:val="252E67F9"/>
    <w:rsid w:val="25325576"/>
    <w:rsid w:val="25531DE1"/>
    <w:rsid w:val="2598763E"/>
    <w:rsid w:val="25E23903"/>
    <w:rsid w:val="261B03F1"/>
    <w:rsid w:val="268B0548"/>
    <w:rsid w:val="26AE3C2E"/>
    <w:rsid w:val="26C277FC"/>
    <w:rsid w:val="27433F0D"/>
    <w:rsid w:val="275B56FE"/>
    <w:rsid w:val="275D55B4"/>
    <w:rsid w:val="275F7686"/>
    <w:rsid w:val="27645424"/>
    <w:rsid w:val="27756715"/>
    <w:rsid w:val="27E97F6B"/>
    <w:rsid w:val="28261D94"/>
    <w:rsid w:val="28293120"/>
    <w:rsid w:val="286A1660"/>
    <w:rsid w:val="287F6A1E"/>
    <w:rsid w:val="28A916E1"/>
    <w:rsid w:val="28DE4072"/>
    <w:rsid w:val="29013A63"/>
    <w:rsid w:val="290B4239"/>
    <w:rsid w:val="2937395B"/>
    <w:rsid w:val="2941699E"/>
    <w:rsid w:val="2950092A"/>
    <w:rsid w:val="29CE7F5D"/>
    <w:rsid w:val="29EA329A"/>
    <w:rsid w:val="2A4E1B28"/>
    <w:rsid w:val="2A841AE4"/>
    <w:rsid w:val="2ACC1046"/>
    <w:rsid w:val="2ADA0B57"/>
    <w:rsid w:val="2BA345A4"/>
    <w:rsid w:val="2BDC316F"/>
    <w:rsid w:val="2C4927B4"/>
    <w:rsid w:val="2C4E1120"/>
    <w:rsid w:val="2CA75647"/>
    <w:rsid w:val="2CDE4DBD"/>
    <w:rsid w:val="2D3C1E92"/>
    <w:rsid w:val="2DAB6381"/>
    <w:rsid w:val="2DF877C4"/>
    <w:rsid w:val="2DFF09DB"/>
    <w:rsid w:val="2E3D6971"/>
    <w:rsid w:val="2E73304F"/>
    <w:rsid w:val="2EB517E9"/>
    <w:rsid w:val="2EC71164"/>
    <w:rsid w:val="2F2E4937"/>
    <w:rsid w:val="2F7C2D98"/>
    <w:rsid w:val="2F9170DF"/>
    <w:rsid w:val="303106B5"/>
    <w:rsid w:val="30681601"/>
    <w:rsid w:val="3069477A"/>
    <w:rsid w:val="307C6E33"/>
    <w:rsid w:val="30814486"/>
    <w:rsid w:val="30BA10A8"/>
    <w:rsid w:val="30BC67DD"/>
    <w:rsid w:val="30CD097E"/>
    <w:rsid w:val="30D068D0"/>
    <w:rsid w:val="31310D50"/>
    <w:rsid w:val="315F1A4E"/>
    <w:rsid w:val="31F301B4"/>
    <w:rsid w:val="32193FDC"/>
    <w:rsid w:val="32390CC9"/>
    <w:rsid w:val="325B0BAE"/>
    <w:rsid w:val="32F42F55"/>
    <w:rsid w:val="334B2BD8"/>
    <w:rsid w:val="3354746C"/>
    <w:rsid w:val="33621E4D"/>
    <w:rsid w:val="33685CFA"/>
    <w:rsid w:val="33753436"/>
    <w:rsid w:val="33A57581"/>
    <w:rsid w:val="33DA1E69"/>
    <w:rsid w:val="33E121F5"/>
    <w:rsid w:val="33E73BCD"/>
    <w:rsid w:val="3450426B"/>
    <w:rsid w:val="34604C63"/>
    <w:rsid w:val="34771F06"/>
    <w:rsid w:val="34BE264D"/>
    <w:rsid w:val="34CE3CD0"/>
    <w:rsid w:val="34DC1D73"/>
    <w:rsid w:val="34F114D2"/>
    <w:rsid w:val="35510C1C"/>
    <w:rsid w:val="35CB2961"/>
    <w:rsid w:val="35F54B4E"/>
    <w:rsid w:val="36082755"/>
    <w:rsid w:val="361C6D9C"/>
    <w:rsid w:val="362B296A"/>
    <w:rsid w:val="3646560E"/>
    <w:rsid w:val="36474A65"/>
    <w:rsid w:val="36814A01"/>
    <w:rsid w:val="36BB1826"/>
    <w:rsid w:val="36E7002B"/>
    <w:rsid w:val="36F92FE2"/>
    <w:rsid w:val="371F2D0B"/>
    <w:rsid w:val="37B75E70"/>
    <w:rsid w:val="37C541C4"/>
    <w:rsid w:val="389679D3"/>
    <w:rsid w:val="38AF7A67"/>
    <w:rsid w:val="38B24205"/>
    <w:rsid w:val="38BA68A0"/>
    <w:rsid w:val="39126661"/>
    <w:rsid w:val="391D3F87"/>
    <w:rsid w:val="39382528"/>
    <w:rsid w:val="393F3EB8"/>
    <w:rsid w:val="399228E4"/>
    <w:rsid w:val="39F520BE"/>
    <w:rsid w:val="3A0D5F18"/>
    <w:rsid w:val="3ABD57FE"/>
    <w:rsid w:val="3ACC23D2"/>
    <w:rsid w:val="3AF46CCC"/>
    <w:rsid w:val="3B0F3A41"/>
    <w:rsid w:val="3B265662"/>
    <w:rsid w:val="3B2E25C8"/>
    <w:rsid w:val="3B490EC1"/>
    <w:rsid w:val="3B4F006C"/>
    <w:rsid w:val="3B961AF8"/>
    <w:rsid w:val="3BC527AB"/>
    <w:rsid w:val="3BCB64A2"/>
    <w:rsid w:val="3BDB33DC"/>
    <w:rsid w:val="3C1806A9"/>
    <w:rsid w:val="3C336412"/>
    <w:rsid w:val="3C8329DB"/>
    <w:rsid w:val="3CCB6F62"/>
    <w:rsid w:val="3CDB14A5"/>
    <w:rsid w:val="3D2427A8"/>
    <w:rsid w:val="3D367CA0"/>
    <w:rsid w:val="3D780219"/>
    <w:rsid w:val="3D863687"/>
    <w:rsid w:val="3DFF5903"/>
    <w:rsid w:val="3E46434D"/>
    <w:rsid w:val="3E8857C8"/>
    <w:rsid w:val="3E8E5563"/>
    <w:rsid w:val="3E9E7A97"/>
    <w:rsid w:val="3EB94D29"/>
    <w:rsid w:val="3EC145D6"/>
    <w:rsid w:val="3EF07571"/>
    <w:rsid w:val="3F823162"/>
    <w:rsid w:val="3FAE2C3B"/>
    <w:rsid w:val="3FC46E49"/>
    <w:rsid w:val="3FC70A64"/>
    <w:rsid w:val="3FE65EC5"/>
    <w:rsid w:val="4033445D"/>
    <w:rsid w:val="40570C74"/>
    <w:rsid w:val="40580D50"/>
    <w:rsid w:val="40820108"/>
    <w:rsid w:val="40C95EC9"/>
    <w:rsid w:val="40E13EB9"/>
    <w:rsid w:val="41047FFD"/>
    <w:rsid w:val="41400EFC"/>
    <w:rsid w:val="414A7CB0"/>
    <w:rsid w:val="41524DB6"/>
    <w:rsid w:val="41603B12"/>
    <w:rsid w:val="41D959C7"/>
    <w:rsid w:val="420A2F50"/>
    <w:rsid w:val="4234130F"/>
    <w:rsid w:val="42B07FE6"/>
    <w:rsid w:val="43060F6D"/>
    <w:rsid w:val="431B6357"/>
    <w:rsid w:val="432B5094"/>
    <w:rsid w:val="43395887"/>
    <w:rsid w:val="433D4AC8"/>
    <w:rsid w:val="43A95E47"/>
    <w:rsid w:val="43C57AC2"/>
    <w:rsid w:val="43F1217B"/>
    <w:rsid w:val="445E52FD"/>
    <w:rsid w:val="44B11EBE"/>
    <w:rsid w:val="45046DE5"/>
    <w:rsid w:val="450D03E6"/>
    <w:rsid w:val="4525515A"/>
    <w:rsid w:val="453A4339"/>
    <w:rsid w:val="45423A70"/>
    <w:rsid w:val="456A7E26"/>
    <w:rsid w:val="45715106"/>
    <w:rsid w:val="45886E74"/>
    <w:rsid w:val="45C33B77"/>
    <w:rsid w:val="45CA714B"/>
    <w:rsid w:val="46020B59"/>
    <w:rsid w:val="465455E1"/>
    <w:rsid w:val="466F0209"/>
    <w:rsid w:val="46C642E9"/>
    <w:rsid w:val="473210FC"/>
    <w:rsid w:val="47490B79"/>
    <w:rsid w:val="474A2432"/>
    <w:rsid w:val="476E2FAF"/>
    <w:rsid w:val="47B73BC5"/>
    <w:rsid w:val="47E4101B"/>
    <w:rsid w:val="48307D94"/>
    <w:rsid w:val="48541414"/>
    <w:rsid w:val="48CA11A2"/>
    <w:rsid w:val="49025A7F"/>
    <w:rsid w:val="49EB711B"/>
    <w:rsid w:val="4A0A4285"/>
    <w:rsid w:val="4A4E1AC0"/>
    <w:rsid w:val="4A797C14"/>
    <w:rsid w:val="4ACA130C"/>
    <w:rsid w:val="4AF46C0F"/>
    <w:rsid w:val="4B016B5D"/>
    <w:rsid w:val="4B1A61C1"/>
    <w:rsid w:val="4B941809"/>
    <w:rsid w:val="4C1832E1"/>
    <w:rsid w:val="4C3501A5"/>
    <w:rsid w:val="4C656334"/>
    <w:rsid w:val="4D104FDE"/>
    <w:rsid w:val="4D3C7046"/>
    <w:rsid w:val="4D56691E"/>
    <w:rsid w:val="4D913ADB"/>
    <w:rsid w:val="4D983632"/>
    <w:rsid w:val="4DAF7054"/>
    <w:rsid w:val="4EDF02DF"/>
    <w:rsid w:val="4F060834"/>
    <w:rsid w:val="4F124098"/>
    <w:rsid w:val="4F845C8C"/>
    <w:rsid w:val="4F8B2A8C"/>
    <w:rsid w:val="4FB14681"/>
    <w:rsid w:val="4FB768CC"/>
    <w:rsid w:val="4FB875FF"/>
    <w:rsid w:val="4FC76A0A"/>
    <w:rsid w:val="500622B9"/>
    <w:rsid w:val="502230FB"/>
    <w:rsid w:val="505E03E3"/>
    <w:rsid w:val="506A2FD5"/>
    <w:rsid w:val="50BD6215"/>
    <w:rsid w:val="51280F87"/>
    <w:rsid w:val="512B58AA"/>
    <w:rsid w:val="51365D5E"/>
    <w:rsid w:val="51CC4203"/>
    <w:rsid w:val="52022D1A"/>
    <w:rsid w:val="521E6484"/>
    <w:rsid w:val="523B5F62"/>
    <w:rsid w:val="52A775A9"/>
    <w:rsid w:val="52B41344"/>
    <w:rsid w:val="52B93686"/>
    <w:rsid w:val="52D21F19"/>
    <w:rsid w:val="52DB4137"/>
    <w:rsid w:val="531445C2"/>
    <w:rsid w:val="53574874"/>
    <w:rsid w:val="53F40608"/>
    <w:rsid w:val="54493307"/>
    <w:rsid w:val="545804DE"/>
    <w:rsid w:val="54A60BF1"/>
    <w:rsid w:val="54B268CB"/>
    <w:rsid w:val="54C53474"/>
    <w:rsid w:val="54D2203E"/>
    <w:rsid w:val="55747CB3"/>
    <w:rsid w:val="55814A0A"/>
    <w:rsid w:val="559C2E54"/>
    <w:rsid w:val="55AA1822"/>
    <w:rsid w:val="55CF7BA4"/>
    <w:rsid w:val="55D963E9"/>
    <w:rsid w:val="55ED4F2F"/>
    <w:rsid w:val="56016C60"/>
    <w:rsid w:val="56182AF9"/>
    <w:rsid w:val="56253717"/>
    <w:rsid w:val="562F18EB"/>
    <w:rsid w:val="565C1121"/>
    <w:rsid w:val="5664605D"/>
    <w:rsid w:val="56986BEE"/>
    <w:rsid w:val="57610B45"/>
    <w:rsid w:val="576806E0"/>
    <w:rsid w:val="57737B5F"/>
    <w:rsid w:val="579D5A08"/>
    <w:rsid w:val="57A774E8"/>
    <w:rsid w:val="57AA6919"/>
    <w:rsid w:val="57B07F70"/>
    <w:rsid w:val="57B819BF"/>
    <w:rsid w:val="5823289C"/>
    <w:rsid w:val="58260E2F"/>
    <w:rsid w:val="583021D8"/>
    <w:rsid w:val="58441A38"/>
    <w:rsid w:val="587638D2"/>
    <w:rsid w:val="58867D2F"/>
    <w:rsid w:val="58C23907"/>
    <w:rsid w:val="58EC3BA2"/>
    <w:rsid w:val="59570221"/>
    <w:rsid w:val="59695985"/>
    <w:rsid w:val="5992221E"/>
    <w:rsid w:val="59975928"/>
    <w:rsid w:val="5A830770"/>
    <w:rsid w:val="5A95237A"/>
    <w:rsid w:val="5A9A53AC"/>
    <w:rsid w:val="5AA91554"/>
    <w:rsid w:val="5ACB37B8"/>
    <w:rsid w:val="5AE9584C"/>
    <w:rsid w:val="5AF40981"/>
    <w:rsid w:val="5B3E50C1"/>
    <w:rsid w:val="5B6E3AAB"/>
    <w:rsid w:val="5B7C5254"/>
    <w:rsid w:val="5B7F4C1A"/>
    <w:rsid w:val="5BB13E5B"/>
    <w:rsid w:val="5BC348FA"/>
    <w:rsid w:val="5BEE54D5"/>
    <w:rsid w:val="5C1A25A6"/>
    <w:rsid w:val="5C1D6935"/>
    <w:rsid w:val="5C6D7B6C"/>
    <w:rsid w:val="5C79307D"/>
    <w:rsid w:val="5CBE4D3F"/>
    <w:rsid w:val="5CD36773"/>
    <w:rsid w:val="5CD6424D"/>
    <w:rsid w:val="5CE2303B"/>
    <w:rsid w:val="5D41031B"/>
    <w:rsid w:val="5D6400C4"/>
    <w:rsid w:val="5E163062"/>
    <w:rsid w:val="5E4A5EE0"/>
    <w:rsid w:val="5E9C6070"/>
    <w:rsid w:val="5EA23CBA"/>
    <w:rsid w:val="5EBC75C1"/>
    <w:rsid w:val="5EC450EE"/>
    <w:rsid w:val="5F2068A5"/>
    <w:rsid w:val="5F280BBB"/>
    <w:rsid w:val="5F40220F"/>
    <w:rsid w:val="5F4C0B86"/>
    <w:rsid w:val="5F854A6B"/>
    <w:rsid w:val="5FD435BA"/>
    <w:rsid w:val="5FFA791E"/>
    <w:rsid w:val="600901FA"/>
    <w:rsid w:val="60384E3E"/>
    <w:rsid w:val="604C4210"/>
    <w:rsid w:val="60545FFD"/>
    <w:rsid w:val="60816C89"/>
    <w:rsid w:val="60B16C4A"/>
    <w:rsid w:val="60B336ED"/>
    <w:rsid w:val="60C37400"/>
    <w:rsid w:val="60E66496"/>
    <w:rsid w:val="60F70136"/>
    <w:rsid w:val="61432A49"/>
    <w:rsid w:val="61887E4B"/>
    <w:rsid w:val="61B21DC7"/>
    <w:rsid w:val="622C0783"/>
    <w:rsid w:val="624E4B23"/>
    <w:rsid w:val="62A47D5B"/>
    <w:rsid w:val="62CB3F6B"/>
    <w:rsid w:val="62DC536B"/>
    <w:rsid w:val="6323244B"/>
    <w:rsid w:val="63561B5E"/>
    <w:rsid w:val="635B719C"/>
    <w:rsid w:val="636B67E3"/>
    <w:rsid w:val="63A04D18"/>
    <w:rsid w:val="63A377E7"/>
    <w:rsid w:val="640C0423"/>
    <w:rsid w:val="641E6118"/>
    <w:rsid w:val="64664518"/>
    <w:rsid w:val="648178A6"/>
    <w:rsid w:val="64AC2E63"/>
    <w:rsid w:val="64FE78C5"/>
    <w:rsid w:val="65284584"/>
    <w:rsid w:val="65A168A9"/>
    <w:rsid w:val="65B416F7"/>
    <w:rsid w:val="65FB4A44"/>
    <w:rsid w:val="66066FDA"/>
    <w:rsid w:val="660C4576"/>
    <w:rsid w:val="662E4BC6"/>
    <w:rsid w:val="6639632D"/>
    <w:rsid w:val="66910F4E"/>
    <w:rsid w:val="66943DCE"/>
    <w:rsid w:val="673626E6"/>
    <w:rsid w:val="674B19A1"/>
    <w:rsid w:val="6750728C"/>
    <w:rsid w:val="67535BD3"/>
    <w:rsid w:val="676D5B63"/>
    <w:rsid w:val="676F2C10"/>
    <w:rsid w:val="67C71487"/>
    <w:rsid w:val="67D160A5"/>
    <w:rsid w:val="67D52495"/>
    <w:rsid w:val="67D77F04"/>
    <w:rsid w:val="67E141DF"/>
    <w:rsid w:val="67EE5A5E"/>
    <w:rsid w:val="681C5570"/>
    <w:rsid w:val="683C2166"/>
    <w:rsid w:val="68A22A40"/>
    <w:rsid w:val="68A90BBD"/>
    <w:rsid w:val="69155EF1"/>
    <w:rsid w:val="696D01B0"/>
    <w:rsid w:val="69882A34"/>
    <w:rsid w:val="698B111C"/>
    <w:rsid w:val="69992F20"/>
    <w:rsid w:val="69C71A31"/>
    <w:rsid w:val="69DC7E0F"/>
    <w:rsid w:val="6A342398"/>
    <w:rsid w:val="6A377F6F"/>
    <w:rsid w:val="6A4D6583"/>
    <w:rsid w:val="6A55302C"/>
    <w:rsid w:val="6A5A4915"/>
    <w:rsid w:val="6A9D60C8"/>
    <w:rsid w:val="6AFF37F7"/>
    <w:rsid w:val="6B241DC1"/>
    <w:rsid w:val="6B8632B9"/>
    <w:rsid w:val="6B926975"/>
    <w:rsid w:val="6BA72574"/>
    <w:rsid w:val="6C0B435C"/>
    <w:rsid w:val="6C2B504C"/>
    <w:rsid w:val="6C5555D7"/>
    <w:rsid w:val="6C5B4E97"/>
    <w:rsid w:val="6C6917AA"/>
    <w:rsid w:val="6C8211A2"/>
    <w:rsid w:val="6C922AF8"/>
    <w:rsid w:val="6CC00A3B"/>
    <w:rsid w:val="6D1C1412"/>
    <w:rsid w:val="6D5B5B4C"/>
    <w:rsid w:val="6E0F1450"/>
    <w:rsid w:val="6E323DCD"/>
    <w:rsid w:val="6E5B6BA3"/>
    <w:rsid w:val="6E6E7770"/>
    <w:rsid w:val="6EE027D2"/>
    <w:rsid w:val="6F54117B"/>
    <w:rsid w:val="6F7F505D"/>
    <w:rsid w:val="6F86531E"/>
    <w:rsid w:val="702A2274"/>
    <w:rsid w:val="70612A9E"/>
    <w:rsid w:val="709F0EF7"/>
    <w:rsid w:val="70A865C9"/>
    <w:rsid w:val="70CE77DE"/>
    <w:rsid w:val="70F31EEC"/>
    <w:rsid w:val="70F90967"/>
    <w:rsid w:val="712C604F"/>
    <w:rsid w:val="7170693B"/>
    <w:rsid w:val="7193275C"/>
    <w:rsid w:val="71A2324D"/>
    <w:rsid w:val="71B60839"/>
    <w:rsid w:val="71BF1AB3"/>
    <w:rsid w:val="71E13D1C"/>
    <w:rsid w:val="72734AC2"/>
    <w:rsid w:val="731D450B"/>
    <w:rsid w:val="734C0BA6"/>
    <w:rsid w:val="736507F6"/>
    <w:rsid w:val="737F5933"/>
    <w:rsid w:val="73E6120B"/>
    <w:rsid w:val="740C3A28"/>
    <w:rsid w:val="74147B26"/>
    <w:rsid w:val="7425037B"/>
    <w:rsid w:val="743E1B6B"/>
    <w:rsid w:val="74430DFC"/>
    <w:rsid w:val="74484C54"/>
    <w:rsid w:val="74F23A96"/>
    <w:rsid w:val="75216415"/>
    <w:rsid w:val="75330480"/>
    <w:rsid w:val="75BD2559"/>
    <w:rsid w:val="75D305E0"/>
    <w:rsid w:val="76527C03"/>
    <w:rsid w:val="76AA1322"/>
    <w:rsid w:val="76D14B11"/>
    <w:rsid w:val="77006559"/>
    <w:rsid w:val="775343E1"/>
    <w:rsid w:val="775A235D"/>
    <w:rsid w:val="7782165B"/>
    <w:rsid w:val="779446FD"/>
    <w:rsid w:val="77D925BE"/>
    <w:rsid w:val="78142CFB"/>
    <w:rsid w:val="78200DA5"/>
    <w:rsid w:val="782F1B54"/>
    <w:rsid w:val="78326355"/>
    <w:rsid w:val="78442771"/>
    <w:rsid w:val="785D0566"/>
    <w:rsid w:val="78A27118"/>
    <w:rsid w:val="78B44007"/>
    <w:rsid w:val="78CD1D82"/>
    <w:rsid w:val="78D247BA"/>
    <w:rsid w:val="78EF7B58"/>
    <w:rsid w:val="78FA7272"/>
    <w:rsid w:val="794568B4"/>
    <w:rsid w:val="798D6E20"/>
    <w:rsid w:val="79A07233"/>
    <w:rsid w:val="79C209B8"/>
    <w:rsid w:val="79C37BB9"/>
    <w:rsid w:val="7A5549F4"/>
    <w:rsid w:val="7AA32284"/>
    <w:rsid w:val="7AB4468D"/>
    <w:rsid w:val="7ABE0EA5"/>
    <w:rsid w:val="7AE931E0"/>
    <w:rsid w:val="7B8A538E"/>
    <w:rsid w:val="7BAC1380"/>
    <w:rsid w:val="7BFE2B75"/>
    <w:rsid w:val="7C11477E"/>
    <w:rsid w:val="7C1E3CA8"/>
    <w:rsid w:val="7C2C56A1"/>
    <w:rsid w:val="7C556414"/>
    <w:rsid w:val="7C617FF3"/>
    <w:rsid w:val="7C636761"/>
    <w:rsid w:val="7CEF7A61"/>
    <w:rsid w:val="7D145AC5"/>
    <w:rsid w:val="7D3A486C"/>
    <w:rsid w:val="7D751B0E"/>
    <w:rsid w:val="7D9941DD"/>
    <w:rsid w:val="7DD03C64"/>
    <w:rsid w:val="7DF04F0A"/>
    <w:rsid w:val="7E0A2CFE"/>
    <w:rsid w:val="7E521976"/>
    <w:rsid w:val="7E9B027A"/>
    <w:rsid w:val="7EA56D7E"/>
    <w:rsid w:val="7EDF5EC1"/>
    <w:rsid w:val="7F5F4ED0"/>
    <w:rsid w:val="7FA100B6"/>
    <w:rsid w:val="7FCE2AAE"/>
    <w:rsid w:val="7FD04939"/>
    <w:rsid w:val="7FE334E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nhideWhenUsed="0" w:uiPriority="1"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Theme="minorEastAsia" w:cstheme="minorBidi"/>
      <w:kern w:val="2"/>
      <w:sz w:val="21"/>
      <w:szCs w:val="24"/>
      <w:lang w:val="en-US" w:eastAsia="zh-CN" w:bidi="ar-SA"/>
    </w:rPr>
  </w:style>
  <w:style w:type="paragraph" w:styleId="5">
    <w:name w:val="heading 1"/>
    <w:basedOn w:val="6"/>
    <w:next w:val="1"/>
    <w:link w:val="103"/>
    <w:autoRedefine/>
    <w:qFormat/>
    <w:uiPriority w:val="0"/>
    <w:pPr>
      <w:keepNext/>
      <w:keepLines/>
      <w:spacing w:before="340" w:after="330" w:line="578" w:lineRule="auto"/>
      <w:outlineLvl w:val="0"/>
    </w:pPr>
    <w:rPr>
      <w:kern w:val="44"/>
      <w:sz w:val="44"/>
      <w:szCs w:val="44"/>
    </w:rPr>
  </w:style>
  <w:style w:type="paragraph" w:styleId="7">
    <w:name w:val="heading 2"/>
    <w:basedOn w:val="1"/>
    <w:next w:val="1"/>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autoRedefine/>
    <w:qFormat/>
    <w:uiPriority w:val="0"/>
    <w:pPr>
      <w:keepNext/>
      <w:keepLines/>
      <w:spacing w:before="260" w:after="260" w:line="416" w:lineRule="auto"/>
      <w:outlineLvl w:val="2"/>
    </w:pPr>
    <w:rPr>
      <w:b/>
      <w:bCs/>
      <w:sz w:val="32"/>
      <w:szCs w:val="32"/>
    </w:rPr>
  </w:style>
  <w:style w:type="paragraph" w:styleId="8">
    <w:name w:val="heading 4"/>
    <w:basedOn w:val="1"/>
    <w:next w:val="1"/>
    <w:autoRedefine/>
    <w:qFormat/>
    <w:uiPriority w:val="9"/>
    <w:pPr>
      <w:keepNext/>
      <w:keepLines/>
      <w:spacing w:before="280" w:after="290" w:line="376" w:lineRule="auto"/>
      <w:outlineLvl w:val="3"/>
    </w:pPr>
    <w:rPr>
      <w:rFonts w:ascii="Arial" w:hAnsi="Arial" w:eastAsia="黑体"/>
      <w:b/>
      <w:bCs/>
      <w:sz w:val="28"/>
      <w:szCs w:val="28"/>
    </w:rPr>
  </w:style>
  <w:style w:type="paragraph" w:styleId="9">
    <w:name w:val="heading 8"/>
    <w:basedOn w:val="1"/>
    <w:qFormat/>
    <w:uiPriority w:val="1"/>
    <w:pPr>
      <w:ind w:left="122"/>
      <w:outlineLvl w:val="7"/>
    </w:pPr>
    <w:rPr>
      <w:rFonts w:ascii="微软雅黑" w:hAnsi="微软雅黑" w:eastAsia="微软雅黑" w:cs="微软雅黑"/>
      <w:b/>
      <w:bCs/>
      <w:sz w:val="24"/>
      <w:lang w:val="zh-CN" w:bidi="zh-CN"/>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autoRedefine/>
    <w:qFormat/>
    <w:uiPriority w:val="0"/>
    <w:pPr>
      <w:autoSpaceDE w:val="0"/>
      <w:autoSpaceDN w:val="0"/>
      <w:adjustRightInd w:val="0"/>
      <w:ind w:firstLine="420"/>
      <w:jc w:val="left"/>
    </w:pPr>
    <w:rPr>
      <w:rFonts w:eastAsia="宋体" w:cs="Times New Roman"/>
      <w:kern w:val="0"/>
    </w:rPr>
  </w:style>
  <w:style w:type="paragraph" w:styleId="3">
    <w:name w:val="Body Text Indent"/>
    <w:basedOn w:val="1"/>
    <w:next w:val="1"/>
    <w:link w:val="75"/>
    <w:autoRedefine/>
    <w:qFormat/>
    <w:uiPriority w:val="0"/>
    <w:pPr>
      <w:spacing w:after="120"/>
      <w:ind w:left="420" w:leftChars="200"/>
    </w:pPr>
  </w:style>
  <w:style w:type="paragraph" w:styleId="4">
    <w:name w:val="Normal Indent"/>
    <w:basedOn w:val="1"/>
    <w:next w:val="1"/>
    <w:autoRedefine/>
    <w:qFormat/>
    <w:uiPriority w:val="0"/>
    <w:pPr>
      <w:widowControl/>
      <w:ind w:firstLine="420"/>
      <w:jc w:val="left"/>
    </w:pPr>
    <w:rPr>
      <w:kern w:val="0"/>
      <w:sz w:val="20"/>
      <w:szCs w:val="20"/>
    </w:rPr>
  </w:style>
  <w:style w:type="paragraph" w:styleId="10">
    <w:name w:val="toc 7"/>
    <w:basedOn w:val="1"/>
    <w:next w:val="1"/>
    <w:autoRedefine/>
    <w:qFormat/>
    <w:uiPriority w:val="0"/>
    <w:pPr>
      <w:ind w:left="2520" w:leftChars="1200"/>
    </w:pPr>
  </w:style>
  <w:style w:type="paragraph" w:styleId="11">
    <w:name w:val="annotation text"/>
    <w:basedOn w:val="1"/>
    <w:link w:val="64"/>
    <w:autoRedefine/>
    <w:qFormat/>
    <w:uiPriority w:val="0"/>
    <w:pPr>
      <w:jc w:val="left"/>
    </w:pPr>
  </w:style>
  <w:style w:type="paragraph" w:styleId="12">
    <w:name w:val="Body Text"/>
    <w:basedOn w:val="1"/>
    <w:link w:val="71"/>
    <w:autoRedefine/>
    <w:qFormat/>
    <w:uiPriority w:val="0"/>
    <w:pPr>
      <w:spacing w:after="120"/>
    </w:pPr>
  </w:style>
  <w:style w:type="paragraph" w:styleId="13">
    <w:name w:val="toc 3"/>
    <w:basedOn w:val="1"/>
    <w:next w:val="1"/>
    <w:uiPriority w:val="0"/>
    <w:pPr>
      <w:ind w:left="840" w:leftChars="400"/>
    </w:pPr>
  </w:style>
  <w:style w:type="paragraph" w:styleId="14">
    <w:name w:val="Plain Text"/>
    <w:basedOn w:val="1"/>
    <w:link w:val="77"/>
    <w:autoRedefine/>
    <w:qFormat/>
    <w:uiPriority w:val="99"/>
    <w:rPr>
      <w:rFonts w:ascii="宋体" w:hAnsi="Courier New" w:cs="Courier New"/>
      <w:szCs w:val="21"/>
    </w:rPr>
  </w:style>
  <w:style w:type="paragraph" w:styleId="15">
    <w:name w:val="Date"/>
    <w:basedOn w:val="1"/>
    <w:next w:val="1"/>
    <w:autoRedefine/>
    <w:qFormat/>
    <w:uiPriority w:val="0"/>
    <w:rPr>
      <w:sz w:val="24"/>
      <w:szCs w:val="20"/>
    </w:rPr>
  </w:style>
  <w:style w:type="paragraph" w:styleId="16">
    <w:name w:val="Body Text Indent 2"/>
    <w:basedOn w:val="1"/>
    <w:autoRedefine/>
    <w:qFormat/>
    <w:uiPriority w:val="0"/>
    <w:pPr>
      <w:spacing w:after="120" w:line="480" w:lineRule="auto"/>
      <w:ind w:left="420" w:leftChars="200"/>
    </w:pPr>
    <w:rPr>
      <w:lang w:val="zh-CN"/>
    </w:rPr>
  </w:style>
  <w:style w:type="paragraph" w:styleId="17">
    <w:name w:val="Balloon Text"/>
    <w:basedOn w:val="1"/>
    <w:link w:val="54"/>
    <w:autoRedefine/>
    <w:qFormat/>
    <w:uiPriority w:val="0"/>
    <w:rPr>
      <w:sz w:val="18"/>
      <w:szCs w:val="18"/>
    </w:rPr>
  </w:style>
  <w:style w:type="paragraph" w:styleId="18">
    <w:name w:val="footer"/>
    <w:basedOn w:val="1"/>
    <w:link w:val="59"/>
    <w:autoRedefine/>
    <w:qFormat/>
    <w:uiPriority w:val="99"/>
    <w:pPr>
      <w:tabs>
        <w:tab w:val="center" w:pos="4153"/>
        <w:tab w:val="right" w:pos="8306"/>
      </w:tabs>
      <w:snapToGrid w:val="0"/>
      <w:jc w:val="left"/>
    </w:pPr>
    <w:rPr>
      <w:sz w:val="18"/>
    </w:rPr>
  </w:style>
  <w:style w:type="paragraph" w:styleId="19">
    <w:name w:val="header"/>
    <w:basedOn w:val="1"/>
    <w:link w:val="60"/>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0">
    <w:name w:val="toc 1"/>
    <w:basedOn w:val="1"/>
    <w:next w:val="1"/>
    <w:autoRedefine/>
    <w:hidden/>
    <w:qFormat/>
    <w:uiPriority w:val="39"/>
    <w:pPr>
      <w:spacing w:after="6" w:line="257" w:lineRule="auto"/>
      <w:ind w:left="25" w:right="61" w:hanging="10"/>
    </w:pPr>
  </w:style>
  <w:style w:type="paragraph" w:styleId="21">
    <w:name w:val="Body Text Indent 3"/>
    <w:basedOn w:val="1"/>
    <w:autoRedefine/>
    <w:qFormat/>
    <w:uiPriority w:val="0"/>
    <w:pPr>
      <w:spacing w:line="400" w:lineRule="exact"/>
      <w:ind w:left="2" w:leftChars="1"/>
    </w:pPr>
    <w:rPr>
      <w:rFonts w:ascii="宋体" w:hAnsi="宋体"/>
      <w:szCs w:val="20"/>
    </w:rPr>
  </w:style>
  <w:style w:type="paragraph" w:styleId="22">
    <w:name w:val="toc 2"/>
    <w:basedOn w:val="5"/>
    <w:next w:val="1"/>
    <w:autoRedefine/>
    <w:qFormat/>
    <w:uiPriority w:val="0"/>
    <w:pPr>
      <w:ind w:left="420" w:leftChars="200"/>
    </w:pPr>
  </w:style>
  <w:style w:type="paragraph" w:styleId="23">
    <w:name w:val="Body Text 2"/>
    <w:basedOn w:val="5"/>
    <w:next w:val="24"/>
    <w:autoRedefine/>
    <w:qFormat/>
    <w:uiPriority w:val="0"/>
    <w:pPr>
      <w:spacing w:after="120" w:line="480" w:lineRule="auto"/>
    </w:pPr>
  </w:style>
  <w:style w:type="paragraph" w:styleId="24">
    <w:name w:val="List Continue 2"/>
    <w:basedOn w:val="5"/>
    <w:next w:val="1"/>
    <w:autoRedefine/>
    <w:qFormat/>
    <w:uiPriority w:val="0"/>
    <w:pPr>
      <w:widowControl/>
      <w:spacing w:after="120" w:line="360" w:lineRule="auto"/>
      <w:ind w:left="840" w:firstLine="2048"/>
    </w:pPr>
  </w:style>
  <w:style w:type="paragraph" w:styleId="25">
    <w:name w:val="List 4"/>
    <w:next w:val="26"/>
    <w:autoRedefine/>
    <w:qFormat/>
    <w:uiPriority w:val="0"/>
    <w:pPr>
      <w:spacing w:after="120" w:line="360" w:lineRule="auto"/>
      <w:ind w:left="2520" w:firstLine="3736"/>
    </w:pPr>
    <w:rPr>
      <w:rFonts w:ascii="Times New Roman" w:hAnsi="Times New Roman" w:eastAsia="宋体" w:cs="Times New Roman"/>
      <w:lang w:val="en-US" w:eastAsia="zh-CN" w:bidi="ar-SA"/>
    </w:rPr>
  </w:style>
  <w:style w:type="paragraph" w:customStyle="1" w:styleId="26">
    <w:name w:val="Mat. titre haut de page"/>
    <w:next w:val="23"/>
    <w:autoRedefine/>
    <w:qFormat/>
    <w:uiPriority w:val="0"/>
    <w:pPr>
      <w:widowControl w:val="0"/>
      <w:spacing w:before="1" w:after="1"/>
      <w:ind w:left="284" w:right="1" w:firstLine="6372"/>
    </w:pPr>
    <w:rPr>
      <w:rFonts w:ascii="Times New Roman" w:hAnsi="Times New Roman" w:eastAsia="宋体" w:cs="Times New Roman"/>
      <w:lang w:val="en-US" w:eastAsia="zh-CN" w:bidi="ar-SA"/>
    </w:rPr>
  </w:style>
  <w:style w:type="paragraph" w:styleId="27">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28">
    <w:name w:val="annotation subject"/>
    <w:basedOn w:val="11"/>
    <w:next w:val="1"/>
    <w:link w:val="58"/>
    <w:autoRedefine/>
    <w:qFormat/>
    <w:uiPriority w:val="0"/>
    <w:rPr>
      <w:rFonts w:ascii="Times New Roman" w:hAnsi="Times New Roman" w:eastAsia="宋体" w:cs="Times New Roman"/>
      <w:b/>
      <w:bCs/>
      <w:szCs w:val="22"/>
    </w:rPr>
  </w:style>
  <w:style w:type="paragraph" w:styleId="29">
    <w:name w:val="Body Text First Indent"/>
    <w:basedOn w:val="12"/>
    <w:autoRedefine/>
    <w:qFormat/>
    <w:uiPriority w:val="0"/>
    <w:pPr>
      <w:ind w:firstLine="420" w:firstLineChars="100"/>
    </w:pPr>
    <w:rPr>
      <w:rFonts w:ascii="Times New Roman" w:hAnsi="Times New Roman" w:eastAsia="宋体" w:cs="Times New Roman"/>
    </w:rPr>
  </w:style>
  <w:style w:type="table" w:styleId="31">
    <w:name w:val="Table Grid"/>
    <w:basedOn w:val="30"/>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autoRedefine/>
    <w:qFormat/>
    <w:uiPriority w:val="0"/>
    <w:rPr>
      <w:b/>
      <w:bCs/>
    </w:rPr>
  </w:style>
  <w:style w:type="character" w:styleId="34">
    <w:name w:val="page number"/>
    <w:basedOn w:val="32"/>
    <w:autoRedefine/>
    <w:qFormat/>
    <w:uiPriority w:val="0"/>
  </w:style>
  <w:style w:type="character" w:styleId="35">
    <w:name w:val="FollowedHyperlink"/>
    <w:basedOn w:val="32"/>
    <w:autoRedefine/>
    <w:qFormat/>
    <w:uiPriority w:val="0"/>
    <w:rPr>
      <w:color w:val="954F72" w:themeColor="followedHyperlink"/>
      <w:u w:val="single"/>
      <w14:textFill>
        <w14:solidFill>
          <w14:schemeClr w14:val="folHlink"/>
        </w14:solidFill>
      </w14:textFill>
    </w:rPr>
  </w:style>
  <w:style w:type="character" w:styleId="36">
    <w:name w:val="Emphasis"/>
    <w:basedOn w:val="32"/>
    <w:autoRedefine/>
    <w:qFormat/>
    <w:uiPriority w:val="0"/>
  </w:style>
  <w:style w:type="character" w:styleId="37">
    <w:name w:val="Hyperlink"/>
    <w:basedOn w:val="32"/>
    <w:autoRedefine/>
    <w:qFormat/>
    <w:uiPriority w:val="99"/>
    <w:rPr>
      <w:color w:val="5C5C5C"/>
      <w:u w:val="none"/>
    </w:rPr>
  </w:style>
  <w:style w:type="character" w:styleId="38">
    <w:name w:val="annotation reference"/>
    <w:autoRedefine/>
    <w:qFormat/>
    <w:uiPriority w:val="0"/>
    <w:rPr>
      <w:sz w:val="21"/>
      <w:szCs w:val="21"/>
    </w:rPr>
  </w:style>
  <w:style w:type="paragraph" w:customStyle="1" w:styleId="39">
    <w:name w:val="Default"/>
    <w:autoRedefine/>
    <w:qFormat/>
    <w:uiPriority w:val="0"/>
    <w:pPr>
      <w:widowControl w:val="0"/>
      <w:autoSpaceDE w:val="0"/>
      <w:autoSpaceDN w:val="0"/>
      <w:adjustRightInd w:val="0"/>
    </w:pPr>
    <w:rPr>
      <w:rFonts w:ascii="宋体" w:hAnsi="Calibri" w:cs="宋体" w:eastAsiaTheme="minorEastAsia"/>
      <w:color w:val="000000"/>
      <w:sz w:val="24"/>
      <w:szCs w:val="24"/>
      <w:lang w:val="en-US" w:eastAsia="zh-CN" w:bidi="ar-SA"/>
    </w:rPr>
  </w:style>
  <w:style w:type="paragraph" w:customStyle="1" w:styleId="40">
    <w:name w:val="CM16"/>
    <w:next w:val="41"/>
    <w:autoRedefine/>
    <w:qFormat/>
    <w:uiPriority w:val="0"/>
    <w:pPr>
      <w:widowControl w:val="0"/>
      <w:autoSpaceDE w:val="0"/>
      <w:autoSpaceDN w:val="0"/>
      <w:spacing w:after="208"/>
      <w:ind w:firstLine="5632"/>
    </w:pPr>
    <w:rPr>
      <w:rFonts w:ascii="Times New Roman" w:hAnsi="Times New Roman" w:eastAsia="宋体" w:cs="Times New Roman"/>
      <w:lang w:val="en-US" w:eastAsia="zh-CN" w:bidi="ar-SA"/>
    </w:rPr>
  </w:style>
  <w:style w:type="paragraph" w:customStyle="1" w:styleId="41">
    <w:name w:val="sleftnavsub"/>
    <w:basedOn w:val="5"/>
    <w:next w:val="42"/>
    <w:autoRedefine/>
    <w:qFormat/>
    <w:uiPriority w:val="0"/>
    <w:pPr>
      <w:widowControl/>
      <w:spacing w:before="280" w:after="280" w:line="240" w:lineRule="atLeast"/>
      <w:ind w:firstLine="5120"/>
    </w:pPr>
  </w:style>
  <w:style w:type="paragraph" w:customStyle="1" w:styleId="42">
    <w:name w:val="正文文本缩进1"/>
    <w:basedOn w:val="5"/>
    <w:next w:val="22"/>
    <w:autoRedefine/>
    <w:qFormat/>
    <w:uiPriority w:val="0"/>
    <w:pPr>
      <w:widowControl/>
      <w:ind w:left="360" w:firstLine="2664"/>
    </w:pPr>
  </w:style>
  <w:style w:type="paragraph" w:customStyle="1" w:styleId="43">
    <w:name w:val="font5"/>
    <w:basedOn w:val="1"/>
    <w:autoRedefine/>
    <w:qFormat/>
    <w:uiPriority w:val="0"/>
    <w:pPr>
      <w:widowControl/>
      <w:spacing w:before="100" w:beforeAutospacing="1" w:after="100" w:afterAutospacing="1"/>
      <w:jc w:val="left"/>
    </w:pPr>
    <w:rPr>
      <w:rFonts w:hint="eastAsia" w:ascii="宋体" w:hAnsi="宋体" w:eastAsia="宋体" w:cs="Times New Roman"/>
      <w:kern w:val="0"/>
      <w:sz w:val="24"/>
      <w:szCs w:val="20"/>
    </w:rPr>
  </w:style>
  <w:style w:type="paragraph" w:customStyle="1" w:styleId="44">
    <w:name w:val="正文1"/>
    <w:next w:val="2"/>
    <w:autoRedefine/>
    <w:unhideWhenUsed/>
    <w:qFormat/>
    <w:uiPriority w:val="0"/>
    <w:pPr>
      <w:widowControl w:val="0"/>
      <w:tabs>
        <w:tab w:val="left" w:pos="567"/>
      </w:tabs>
      <w:adjustRightInd w:val="0"/>
      <w:spacing w:line="360" w:lineRule="atLeast"/>
      <w:ind w:left="567" w:hanging="567"/>
      <w:textAlignment w:val="baseline"/>
    </w:pPr>
    <w:rPr>
      <w:rFonts w:hint="eastAsia" w:ascii="宋体" w:hAnsi="Times New Roman" w:eastAsia="宋体" w:cs="Times New Roman"/>
      <w:sz w:val="24"/>
      <w:lang w:val="en-US" w:eastAsia="zh-CN" w:bidi="ar-SA"/>
    </w:rPr>
  </w:style>
  <w:style w:type="paragraph" w:customStyle="1" w:styleId="45">
    <w:name w:val="列出段落1"/>
    <w:basedOn w:val="46"/>
    <w:autoRedefine/>
    <w:qFormat/>
    <w:uiPriority w:val="34"/>
    <w:pPr>
      <w:ind w:firstLine="420" w:firstLineChars="200"/>
    </w:pPr>
  </w:style>
  <w:style w:type="paragraph" w:customStyle="1" w:styleId="46">
    <w:name w:val="正文_11_0"/>
    <w:next w:val="45"/>
    <w:qFormat/>
    <w:uiPriority w:val="0"/>
    <w:pPr>
      <w:widowControl w:val="0"/>
      <w:jc w:val="both"/>
    </w:pPr>
    <w:rPr>
      <w:rFonts w:ascii="Times New Roman" w:hAnsi="Times New Roman" w:eastAsia="宋体" w:cs="Times New Roman"/>
      <w:kern w:val="2"/>
      <w:sz w:val="24"/>
      <w:szCs w:val="22"/>
      <w:lang w:val="en-US" w:eastAsia="zh-CN" w:bidi="ar-SA"/>
    </w:rPr>
  </w:style>
  <w:style w:type="paragraph" w:customStyle="1" w:styleId="47">
    <w:name w:val="正文首行缩进 21"/>
    <w:basedOn w:val="42"/>
    <w:autoRedefine/>
    <w:qFormat/>
    <w:uiPriority w:val="0"/>
    <w:pPr>
      <w:ind w:firstLine="420" w:firstLineChars="200"/>
    </w:pPr>
  </w:style>
  <w:style w:type="paragraph" w:customStyle="1" w:styleId="48">
    <w:name w:val="p0"/>
    <w:basedOn w:val="1"/>
    <w:autoRedefine/>
    <w:qFormat/>
    <w:uiPriority w:val="0"/>
    <w:pPr>
      <w:widowControl/>
    </w:pPr>
    <w:rPr>
      <w:kern w:val="0"/>
      <w:szCs w:val="21"/>
    </w:rPr>
  </w:style>
  <w:style w:type="paragraph" w:customStyle="1" w:styleId="49">
    <w:name w:val="_Style 1"/>
    <w:basedOn w:val="1"/>
    <w:autoRedefine/>
    <w:qFormat/>
    <w:uiPriority w:val="34"/>
    <w:pPr>
      <w:ind w:firstLine="420" w:firstLineChars="200"/>
    </w:pPr>
    <w:rPr>
      <w:rFonts w:eastAsia="宋体" w:cs="Times New Roman"/>
      <w:szCs w:val="22"/>
    </w:rPr>
  </w:style>
  <w:style w:type="paragraph" w:customStyle="1" w:styleId="50">
    <w:name w:val="_Style 2"/>
    <w:basedOn w:val="1"/>
    <w:autoRedefine/>
    <w:qFormat/>
    <w:uiPriority w:val="34"/>
    <w:pPr>
      <w:ind w:firstLine="420" w:firstLineChars="200"/>
    </w:pPr>
    <w:rPr>
      <w:rFonts w:eastAsia="宋体" w:cs="Times New Roman"/>
      <w:szCs w:val="22"/>
    </w:rPr>
  </w:style>
  <w:style w:type="paragraph" w:customStyle="1" w:styleId="51">
    <w:name w:val="正文 A"/>
    <w:autoRedefine/>
    <w:qFormat/>
    <w:uiPriority w:val="0"/>
    <w:pPr>
      <w:widowControl w:val="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2">
    <w:name w:val="列表段落1"/>
    <w:basedOn w:val="1"/>
    <w:autoRedefine/>
    <w:qFormat/>
    <w:uiPriority w:val="99"/>
    <w:pPr>
      <w:ind w:firstLine="420" w:firstLineChars="200"/>
    </w:pPr>
  </w:style>
  <w:style w:type="paragraph" w:styleId="53">
    <w:name w:val="List Paragraph"/>
    <w:basedOn w:val="1"/>
    <w:link w:val="56"/>
    <w:autoRedefine/>
    <w:qFormat/>
    <w:uiPriority w:val="99"/>
    <w:pPr>
      <w:ind w:firstLine="420" w:firstLineChars="200"/>
    </w:pPr>
  </w:style>
  <w:style w:type="character" w:customStyle="1" w:styleId="54">
    <w:name w:val="批注框文本 字符"/>
    <w:basedOn w:val="32"/>
    <w:link w:val="17"/>
    <w:autoRedefine/>
    <w:qFormat/>
    <w:uiPriority w:val="0"/>
    <w:rPr>
      <w:rFonts w:ascii="Calibri" w:hAnsi="Calibri" w:eastAsiaTheme="minorEastAsia" w:cstheme="minorBidi"/>
      <w:kern w:val="2"/>
      <w:sz w:val="18"/>
      <w:szCs w:val="18"/>
    </w:rPr>
  </w:style>
  <w:style w:type="character" w:customStyle="1" w:styleId="55">
    <w:name w:val="纯文本 字符1"/>
    <w:autoRedefine/>
    <w:qFormat/>
    <w:locked/>
    <w:uiPriority w:val="0"/>
    <w:rPr>
      <w:rFonts w:ascii="宋体" w:hAnsi="Courier New" w:cs="Courier New" w:eastAsiaTheme="minorEastAsia"/>
      <w:kern w:val="2"/>
      <w:sz w:val="21"/>
      <w:szCs w:val="21"/>
    </w:rPr>
  </w:style>
  <w:style w:type="character" w:customStyle="1" w:styleId="56">
    <w:name w:val="列表段落 字符"/>
    <w:link w:val="53"/>
    <w:autoRedefine/>
    <w:qFormat/>
    <w:uiPriority w:val="34"/>
    <w:rPr>
      <w:rFonts w:ascii="Calibri" w:hAnsi="Calibri" w:eastAsiaTheme="minorEastAsia" w:cstheme="minorBidi"/>
      <w:kern w:val="2"/>
      <w:sz w:val="21"/>
      <w:szCs w:val="24"/>
    </w:rPr>
  </w:style>
  <w:style w:type="paragraph" w:customStyle="1" w:styleId="57">
    <w:name w:val="_Style 31"/>
    <w:autoRedefine/>
    <w:unhideWhenUsed/>
    <w:qFormat/>
    <w:uiPriority w:val="99"/>
    <w:pPr>
      <w:widowControl w:val="0"/>
      <w:jc w:val="both"/>
    </w:pPr>
    <w:rPr>
      <w:rFonts w:ascii="Calibri" w:hAnsi="Calibri" w:eastAsia="宋体" w:cs="Times New Roman"/>
      <w:kern w:val="2"/>
      <w:sz w:val="21"/>
      <w:szCs w:val="24"/>
      <w:lang w:val="en-US" w:eastAsia="zh-CN" w:bidi="ar-SA"/>
    </w:rPr>
  </w:style>
  <w:style w:type="character" w:customStyle="1" w:styleId="58">
    <w:name w:val="批注主题 字符"/>
    <w:link w:val="28"/>
    <w:autoRedefine/>
    <w:qFormat/>
    <w:uiPriority w:val="0"/>
    <w:rPr>
      <w:b/>
      <w:bCs/>
      <w:kern w:val="2"/>
      <w:sz w:val="21"/>
      <w:szCs w:val="22"/>
    </w:rPr>
  </w:style>
  <w:style w:type="character" w:customStyle="1" w:styleId="59">
    <w:name w:val="页脚 字符"/>
    <w:link w:val="18"/>
    <w:autoRedefine/>
    <w:qFormat/>
    <w:uiPriority w:val="99"/>
    <w:rPr>
      <w:rFonts w:ascii="Calibri" w:hAnsi="Calibri" w:eastAsiaTheme="minorEastAsia" w:cstheme="minorBidi"/>
      <w:kern w:val="2"/>
      <w:sz w:val="18"/>
      <w:szCs w:val="24"/>
    </w:rPr>
  </w:style>
  <w:style w:type="character" w:customStyle="1" w:styleId="60">
    <w:name w:val="页眉 字符"/>
    <w:link w:val="19"/>
    <w:autoRedefine/>
    <w:qFormat/>
    <w:uiPriority w:val="0"/>
    <w:rPr>
      <w:rFonts w:ascii="Calibri" w:hAnsi="Calibri" w:eastAsiaTheme="minorEastAsia" w:cstheme="minorBidi"/>
      <w:kern w:val="2"/>
      <w:sz w:val="18"/>
      <w:szCs w:val="24"/>
    </w:rPr>
  </w:style>
  <w:style w:type="character" w:customStyle="1" w:styleId="61">
    <w:name w:val="批注文字 Char"/>
    <w:autoRedefine/>
    <w:qFormat/>
    <w:uiPriority w:val="0"/>
    <w:rPr>
      <w:kern w:val="2"/>
      <w:sz w:val="21"/>
      <w:szCs w:val="22"/>
    </w:rPr>
  </w:style>
  <w:style w:type="paragraph" w:customStyle="1" w:styleId="62">
    <w:name w:val="SW正文"/>
    <w:basedOn w:val="1"/>
    <w:autoRedefine/>
    <w:qFormat/>
    <w:uiPriority w:val="0"/>
    <w:pPr>
      <w:spacing w:line="360" w:lineRule="auto"/>
      <w:ind w:firstLine="480" w:firstLineChars="200"/>
    </w:pPr>
    <w:rPr>
      <w:rFonts w:ascii="Times New Roman" w:hAnsi="Times New Roman" w:eastAsia="宋体" w:cs="Times New Roman"/>
      <w:sz w:val="24"/>
    </w:rPr>
  </w:style>
  <w:style w:type="paragraph" w:customStyle="1" w:styleId="63">
    <w:name w:val="首行缩进"/>
    <w:basedOn w:val="1"/>
    <w:autoRedefine/>
    <w:qFormat/>
    <w:uiPriority w:val="0"/>
    <w:pPr>
      <w:tabs>
        <w:tab w:val="left" w:pos="540"/>
      </w:tabs>
      <w:spacing w:line="360" w:lineRule="auto"/>
      <w:ind w:firstLine="420"/>
    </w:pPr>
    <w:rPr>
      <w:rFonts w:ascii="Times New Roman" w:hAnsi="Times New Roman" w:eastAsia="仿宋_GB2312" w:cs="Times New Roman"/>
      <w:szCs w:val="22"/>
    </w:rPr>
  </w:style>
  <w:style w:type="character" w:customStyle="1" w:styleId="64">
    <w:name w:val="批注文字 字符"/>
    <w:basedOn w:val="32"/>
    <w:link w:val="11"/>
    <w:autoRedefine/>
    <w:qFormat/>
    <w:uiPriority w:val="0"/>
    <w:rPr>
      <w:rFonts w:ascii="Calibri" w:hAnsi="Calibri" w:eastAsiaTheme="minorEastAsia" w:cstheme="minorBidi"/>
      <w:kern w:val="2"/>
      <w:sz w:val="21"/>
      <w:szCs w:val="24"/>
    </w:rPr>
  </w:style>
  <w:style w:type="character" w:customStyle="1" w:styleId="65">
    <w:name w:val="批注主题 Char1"/>
    <w:basedOn w:val="64"/>
    <w:autoRedefine/>
    <w:qFormat/>
    <w:uiPriority w:val="0"/>
    <w:rPr>
      <w:rFonts w:ascii="Calibri" w:hAnsi="Calibri" w:eastAsiaTheme="minorEastAsia" w:cstheme="minorBidi"/>
      <w:kern w:val="2"/>
      <w:sz w:val="21"/>
      <w:szCs w:val="24"/>
    </w:rPr>
  </w:style>
  <w:style w:type="paragraph" w:customStyle="1" w:styleId="66">
    <w:name w:val="正文格式"/>
    <w:basedOn w:val="1"/>
    <w:autoRedefine/>
    <w:qFormat/>
    <w:uiPriority w:val="0"/>
    <w:rPr>
      <w:rFonts w:ascii="Times New Roman" w:hAnsi="Times New Roman" w:eastAsia="宋体" w:cs="Times New Roman"/>
      <w:szCs w:val="22"/>
    </w:rPr>
  </w:style>
  <w:style w:type="table" w:customStyle="1" w:styleId="67">
    <w:name w:val="网格型1"/>
    <w:basedOn w:val="30"/>
    <w:autoRedefine/>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8">
    <w:name w:val="网格型2"/>
    <w:basedOn w:val="30"/>
    <w:autoRedefine/>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9">
    <w:name w:val="Table Paragraph"/>
    <w:basedOn w:val="1"/>
    <w:autoRedefine/>
    <w:qFormat/>
    <w:uiPriority w:val="1"/>
    <w:pPr>
      <w:autoSpaceDE w:val="0"/>
      <w:autoSpaceDN w:val="0"/>
      <w:jc w:val="left"/>
    </w:pPr>
    <w:rPr>
      <w:rFonts w:ascii="宋体" w:hAnsi="宋体" w:eastAsia="宋体" w:cs="宋体"/>
      <w:kern w:val="0"/>
      <w:sz w:val="22"/>
      <w:szCs w:val="22"/>
      <w:lang w:val="zh-CN" w:bidi="zh-CN"/>
    </w:rPr>
  </w:style>
  <w:style w:type="paragraph" w:customStyle="1" w:styleId="70">
    <w:name w:val="Party"/>
    <w:basedOn w:val="1"/>
    <w:autoRedefine/>
    <w:qFormat/>
    <w:uiPriority w:val="99"/>
    <w:pPr>
      <w:widowControl/>
      <w:overflowPunct w:val="0"/>
      <w:autoSpaceDE w:val="0"/>
      <w:autoSpaceDN w:val="0"/>
      <w:adjustRightInd w:val="0"/>
      <w:spacing w:line="240" w:lineRule="exact"/>
      <w:ind w:left="720" w:hanging="720"/>
      <w:textAlignment w:val="baseline"/>
    </w:pPr>
    <w:rPr>
      <w:kern w:val="0"/>
      <w:sz w:val="23"/>
      <w:lang w:val="en-GB"/>
    </w:rPr>
  </w:style>
  <w:style w:type="character" w:customStyle="1" w:styleId="71">
    <w:name w:val="正文文本 字符1"/>
    <w:basedOn w:val="32"/>
    <w:link w:val="12"/>
    <w:autoRedefine/>
    <w:qFormat/>
    <w:uiPriority w:val="0"/>
    <w:rPr>
      <w:kern w:val="2"/>
      <w:sz w:val="21"/>
      <w:szCs w:val="24"/>
    </w:rPr>
  </w:style>
  <w:style w:type="character" w:customStyle="1" w:styleId="72">
    <w:name w:val="标题 1 Char"/>
    <w:basedOn w:val="32"/>
    <w:link w:val="5"/>
    <w:autoRedefine/>
    <w:qFormat/>
    <w:uiPriority w:val="0"/>
    <w:rPr>
      <w:b/>
      <w:kern w:val="44"/>
      <w:sz w:val="44"/>
      <w:szCs w:val="44"/>
    </w:rPr>
  </w:style>
  <w:style w:type="character" w:customStyle="1" w:styleId="73">
    <w:name w:val="纯文本 字符"/>
    <w:basedOn w:val="32"/>
    <w:autoRedefine/>
    <w:qFormat/>
    <w:uiPriority w:val="0"/>
    <w:rPr>
      <w:rFonts w:ascii="等线" w:hAnsi="Courier New" w:eastAsia="等线" w:cs="Courier New"/>
      <w:kern w:val="2"/>
      <w:sz w:val="21"/>
      <w:szCs w:val="24"/>
    </w:rPr>
  </w:style>
  <w:style w:type="character" w:customStyle="1" w:styleId="74">
    <w:name w:val="正文文本 字符"/>
    <w:basedOn w:val="32"/>
    <w:autoRedefine/>
    <w:qFormat/>
    <w:uiPriority w:val="0"/>
    <w:rPr>
      <w:kern w:val="2"/>
      <w:sz w:val="21"/>
      <w:szCs w:val="24"/>
    </w:rPr>
  </w:style>
  <w:style w:type="character" w:customStyle="1" w:styleId="75">
    <w:name w:val="正文文本缩进 字符"/>
    <w:basedOn w:val="32"/>
    <w:link w:val="3"/>
    <w:autoRedefine/>
    <w:qFormat/>
    <w:uiPriority w:val="0"/>
    <w:rPr>
      <w:rFonts w:hint="default" w:ascii="Calibri" w:hAnsi="Calibri" w:eastAsia="宋体" w:cs="Times New Roman"/>
      <w:kern w:val="2"/>
      <w:sz w:val="21"/>
      <w:szCs w:val="24"/>
    </w:rPr>
  </w:style>
  <w:style w:type="character" w:customStyle="1" w:styleId="76">
    <w:name w:val="正文文本首行缩进 2 字符"/>
    <w:basedOn w:val="75"/>
    <w:autoRedefine/>
    <w:qFormat/>
    <w:uiPriority w:val="0"/>
    <w:rPr>
      <w:rFonts w:hint="default" w:ascii="Calibri" w:hAnsi="Calibri" w:eastAsia="宋体" w:cs="Times New Roman"/>
      <w:kern w:val="2"/>
      <w:sz w:val="21"/>
      <w:szCs w:val="24"/>
    </w:rPr>
  </w:style>
  <w:style w:type="character" w:customStyle="1" w:styleId="77">
    <w:name w:val="纯文本 字符2"/>
    <w:basedOn w:val="32"/>
    <w:link w:val="14"/>
    <w:autoRedefine/>
    <w:qFormat/>
    <w:uiPriority w:val="0"/>
    <w:rPr>
      <w:rFonts w:hint="eastAsia" w:ascii="宋体" w:hAnsi="Courier New" w:eastAsia="宋体" w:cs="Courier New"/>
      <w:kern w:val="2"/>
      <w:sz w:val="21"/>
      <w:szCs w:val="21"/>
    </w:rPr>
  </w:style>
  <w:style w:type="character" w:customStyle="1" w:styleId="78">
    <w:name w:val="l-btn-empty"/>
    <w:basedOn w:val="32"/>
    <w:autoRedefine/>
    <w:qFormat/>
    <w:uiPriority w:val="0"/>
  </w:style>
  <w:style w:type="character" w:customStyle="1" w:styleId="79">
    <w:name w:val="l-btn-text"/>
    <w:basedOn w:val="32"/>
    <w:autoRedefine/>
    <w:qFormat/>
    <w:uiPriority w:val="0"/>
    <w:rPr>
      <w:sz w:val="18"/>
      <w:szCs w:val="18"/>
      <w:vertAlign w:val="baseline"/>
    </w:rPr>
  </w:style>
  <w:style w:type="character" w:customStyle="1" w:styleId="80">
    <w:name w:val="l-btn-icon-right"/>
    <w:basedOn w:val="32"/>
    <w:autoRedefine/>
    <w:qFormat/>
    <w:uiPriority w:val="0"/>
  </w:style>
  <w:style w:type="character" w:customStyle="1" w:styleId="81">
    <w:name w:val="l-btn-icon-left"/>
    <w:basedOn w:val="32"/>
    <w:autoRedefine/>
    <w:qFormat/>
    <w:uiPriority w:val="0"/>
  </w:style>
  <w:style w:type="character" w:customStyle="1" w:styleId="82">
    <w:name w:val="l-btn-left"/>
    <w:basedOn w:val="32"/>
    <w:autoRedefine/>
    <w:qFormat/>
    <w:uiPriority w:val="0"/>
  </w:style>
  <w:style w:type="character" w:customStyle="1" w:styleId="83">
    <w:name w:val="l-btn-left1"/>
    <w:basedOn w:val="32"/>
    <w:autoRedefine/>
    <w:qFormat/>
    <w:uiPriority w:val="0"/>
  </w:style>
  <w:style w:type="character" w:customStyle="1" w:styleId="84">
    <w:name w:val="l-btn-left2"/>
    <w:basedOn w:val="32"/>
    <w:autoRedefine/>
    <w:qFormat/>
    <w:uiPriority w:val="0"/>
  </w:style>
  <w:style w:type="character" w:customStyle="1" w:styleId="85">
    <w:name w:val="l-btn-left3"/>
    <w:basedOn w:val="32"/>
    <w:autoRedefine/>
    <w:qFormat/>
    <w:uiPriority w:val="0"/>
  </w:style>
  <w:style w:type="character" w:customStyle="1" w:styleId="86">
    <w:name w:val="datagrid-sort-icon5"/>
    <w:basedOn w:val="32"/>
    <w:autoRedefine/>
    <w:qFormat/>
    <w:uiPriority w:val="0"/>
  </w:style>
  <w:style w:type="character" w:customStyle="1" w:styleId="87">
    <w:name w:val="l-btn-left4"/>
    <w:basedOn w:val="32"/>
    <w:autoRedefine/>
    <w:qFormat/>
    <w:uiPriority w:val="0"/>
  </w:style>
  <w:style w:type="character" w:customStyle="1" w:styleId="88">
    <w:name w:val="l-btn-left5"/>
    <w:basedOn w:val="32"/>
    <w:autoRedefine/>
    <w:qFormat/>
    <w:uiPriority w:val="0"/>
  </w:style>
  <w:style w:type="paragraph" w:customStyle="1" w:styleId="89">
    <w:name w:val="BodyText1I2"/>
    <w:basedOn w:val="90"/>
    <w:autoRedefine/>
    <w:qFormat/>
    <w:uiPriority w:val="0"/>
    <w:pPr>
      <w:ind w:firstLine="420"/>
      <w:jc w:val="left"/>
    </w:pPr>
    <w:rPr>
      <w:kern w:val="0"/>
    </w:rPr>
  </w:style>
  <w:style w:type="paragraph" w:customStyle="1" w:styleId="90">
    <w:name w:val="BodyTextIndent"/>
    <w:basedOn w:val="1"/>
    <w:autoRedefine/>
    <w:qFormat/>
    <w:uiPriority w:val="0"/>
    <w:pPr>
      <w:spacing w:after="120"/>
      <w:ind w:left="420" w:leftChars="200"/>
    </w:pPr>
  </w:style>
  <w:style w:type="character" w:customStyle="1" w:styleId="91">
    <w:name w:val="NormalCharacter"/>
    <w:autoRedefine/>
    <w:semiHidden/>
    <w:qFormat/>
    <w:uiPriority w:val="0"/>
  </w:style>
  <w:style w:type="paragraph" w:customStyle="1" w:styleId="92">
    <w:name w:val="正文_0"/>
    <w:next w:val="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3">
    <w:name w:val="正文文本缩进_0"/>
    <w:basedOn w:val="92"/>
    <w:next w:val="2"/>
    <w:autoRedefine/>
    <w:qFormat/>
    <w:uiPriority w:val="0"/>
    <w:pPr>
      <w:spacing w:after="120"/>
      <w:ind w:left="420" w:leftChars="200"/>
    </w:pPr>
  </w:style>
  <w:style w:type="paragraph" w:customStyle="1" w:styleId="94">
    <w:name w:val="正文缩进_0"/>
    <w:basedOn w:val="92"/>
    <w:autoRedefine/>
    <w:qFormat/>
    <w:uiPriority w:val="0"/>
    <w:pPr>
      <w:widowControl/>
      <w:ind w:firstLine="420"/>
      <w:jc w:val="left"/>
    </w:pPr>
    <w:rPr>
      <w:kern w:val="0"/>
      <w:sz w:val="20"/>
      <w:szCs w:val="20"/>
    </w:rPr>
  </w:style>
  <w:style w:type="paragraph" w:customStyle="1" w:styleId="95">
    <w:name w:val="table"/>
    <w:basedOn w:val="1"/>
    <w:autoRedefine/>
    <w:qFormat/>
    <w:uiPriority w:val="0"/>
    <w:pPr>
      <w:widowControl/>
      <w:overflowPunct w:val="0"/>
      <w:autoSpaceDE w:val="0"/>
      <w:autoSpaceDN w:val="0"/>
      <w:adjustRightInd w:val="0"/>
      <w:spacing w:before="60" w:after="60"/>
      <w:jc w:val="center"/>
      <w:textAlignment w:val="baseline"/>
    </w:pPr>
    <w:rPr>
      <w:rFonts w:ascii="仿宋体" w:eastAsia="仿宋体" w:cs="Times New Roman"/>
      <w:sz w:val="24"/>
      <w:szCs w:val="28"/>
    </w:rPr>
  </w:style>
  <w:style w:type="character" w:customStyle="1" w:styleId="96">
    <w:name w:val="纯文本 Char2"/>
    <w:basedOn w:val="32"/>
    <w:autoRedefine/>
    <w:qFormat/>
    <w:uiPriority w:val="99"/>
    <w:rPr>
      <w:rFonts w:ascii="宋体" w:hAnsi="Courier New" w:eastAsia="宋体" w:cs="Courier New"/>
      <w:szCs w:val="21"/>
    </w:rPr>
  </w:style>
  <w:style w:type="paragraph" w:customStyle="1" w:styleId="97">
    <w:name w:val="_Style 3"/>
    <w:basedOn w:val="1"/>
    <w:next w:val="1"/>
    <w:autoRedefine/>
    <w:qFormat/>
    <w:uiPriority w:val="99"/>
    <w:pPr>
      <w:pBdr>
        <w:bottom w:val="single" w:color="auto" w:sz="6" w:space="1"/>
      </w:pBdr>
      <w:jc w:val="center"/>
    </w:pPr>
    <w:rPr>
      <w:rFonts w:ascii="Arial"/>
      <w:vanish/>
      <w:sz w:val="16"/>
    </w:rPr>
  </w:style>
  <w:style w:type="character" w:customStyle="1" w:styleId="98">
    <w:name w:val="font21"/>
    <w:autoRedefine/>
    <w:qFormat/>
    <w:uiPriority w:val="0"/>
    <w:rPr>
      <w:rFonts w:hint="eastAsia" w:ascii="等线" w:hAnsi="等线" w:eastAsia="等线" w:cs="等线"/>
      <w:color w:val="000000"/>
      <w:sz w:val="22"/>
      <w:szCs w:val="22"/>
      <w:u w:val="none"/>
    </w:rPr>
  </w:style>
  <w:style w:type="character" w:customStyle="1" w:styleId="99">
    <w:name w:val="font01"/>
    <w:autoRedefine/>
    <w:qFormat/>
    <w:uiPriority w:val="0"/>
    <w:rPr>
      <w:rFonts w:hint="eastAsia" w:ascii="等线" w:hAnsi="等线" w:eastAsia="等线" w:cs="等线"/>
      <w:color w:val="000000"/>
      <w:sz w:val="22"/>
      <w:szCs w:val="22"/>
      <w:u w:val="none"/>
    </w:rPr>
  </w:style>
  <w:style w:type="paragraph" w:customStyle="1" w:styleId="100">
    <w:name w:val="目录 81"/>
    <w:basedOn w:val="1"/>
    <w:next w:val="1"/>
    <w:autoRedefine/>
    <w:qFormat/>
    <w:uiPriority w:val="0"/>
    <w:pPr>
      <w:ind w:left="2940"/>
    </w:pPr>
  </w:style>
  <w:style w:type="paragraph" w:customStyle="1" w:styleId="101">
    <w:name w:val="Table Text"/>
    <w:basedOn w:val="1"/>
    <w:autoRedefine/>
    <w:semiHidden/>
    <w:qFormat/>
    <w:uiPriority w:val="0"/>
    <w:rPr>
      <w:rFonts w:ascii="宋体" w:hAnsi="宋体" w:eastAsia="宋体" w:cs="宋体"/>
      <w:sz w:val="20"/>
      <w:szCs w:val="20"/>
      <w:lang w:eastAsia="en-US"/>
    </w:rPr>
  </w:style>
  <w:style w:type="table" w:customStyle="1" w:styleId="102">
    <w:name w:val="Table Normal"/>
    <w:autoRedefine/>
    <w:semiHidden/>
    <w:unhideWhenUsed/>
    <w:qFormat/>
    <w:uiPriority w:val="0"/>
    <w:tblPr>
      <w:tblCellMar>
        <w:top w:w="0" w:type="dxa"/>
        <w:left w:w="0" w:type="dxa"/>
        <w:bottom w:w="0" w:type="dxa"/>
        <w:right w:w="0" w:type="dxa"/>
      </w:tblCellMar>
    </w:tblPr>
  </w:style>
  <w:style w:type="character" w:customStyle="1" w:styleId="103">
    <w:name w:val="标题 1 字符"/>
    <w:link w:val="5"/>
    <w:qFormat/>
    <w:uiPriority w:val="0"/>
    <w:rPr>
      <w:b/>
      <w:bCs/>
      <w:kern w:val="0"/>
      <w:sz w:val="24"/>
      <w:szCs w:val="20"/>
    </w:rPr>
  </w:style>
  <w:style w:type="paragraph" w:customStyle="1" w:styleId="104">
    <w:name w:val="1"/>
    <w:basedOn w:val="105"/>
    <w:next w:val="3"/>
    <w:qFormat/>
    <w:uiPriority w:val="0"/>
    <w:pPr>
      <w:spacing w:after="156" w:afterLines="50" w:line="360" w:lineRule="auto"/>
    </w:pPr>
    <w:rPr>
      <w:rFonts w:ascii="宋体" w:hAnsi="宋体"/>
      <w:b/>
      <w:sz w:val="30"/>
      <w:szCs w:val="21"/>
    </w:rPr>
  </w:style>
  <w:style w:type="paragraph" w:customStyle="1" w:styleId="105">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Normal_34"/>
    <w:qFormat/>
    <w:uiPriority w:val="0"/>
    <w:pPr>
      <w:widowControl w:val="0"/>
      <w:jc w:val="both"/>
    </w:pPr>
    <w:rPr>
      <w:rFonts w:ascii="Times New Roman" w:hAnsi="Times New Roman" w:eastAsia="宋体" w:cs="Times New Roman"/>
      <w:lang w:val="en-US" w:eastAsia="zh-CN" w:bidi="ar-SA"/>
    </w:rPr>
  </w:style>
  <w:style w:type="paragraph" w:customStyle="1" w:styleId="107">
    <w:name w:val="Heading1"/>
    <w:basedOn w:val="1"/>
    <w:next w:val="1"/>
    <w:qFormat/>
    <w:uiPriority w:val="0"/>
    <w:pPr>
      <w:keepNext/>
      <w:jc w:val="center"/>
      <w:textAlignment w:val="baseline"/>
    </w:pPr>
    <w:rPr>
      <w:b/>
      <w:bCs/>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5.xml"/><Relationship Id="rId17" Type="http://schemas.openxmlformats.org/officeDocument/2006/relationships/header" Target="header1.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B9DAC8-77BA-4DF8-8693-3BE08C61B7D6}">
  <ds:schemaRefs/>
</ds:datastoreItem>
</file>

<file path=docProps/app.xml><?xml version="1.0" encoding="utf-8"?>
<Properties xmlns="http://schemas.openxmlformats.org/officeDocument/2006/extended-properties" xmlns:vt="http://schemas.openxmlformats.org/officeDocument/2006/docPropsVTypes">
  <Template>Normal</Template>
  <Company>Win7w.Com</Company>
  <Pages>67</Pages>
  <Words>14419</Words>
  <Characters>15380</Characters>
  <Lines>1270</Lines>
  <Paragraphs>1291</Paragraphs>
  <TotalTime>15</TotalTime>
  <ScaleCrop>false</ScaleCrop>
  <LinksUpToDate>false</LinksUpToDate>
  <CharactersWithSpaces>15767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2021-02-20T00:36:00Z</dcterms:created>
  <dc:creator>Lishasha</dc:creator>
  <cp:lastModifiedBy>灯火阑珊°</cp:lastModifiedBy>
  <cp:lastPrinted>2026-07-28T02:59:00Z</cp:lastPrinted>
  <dcterms:modified xsi:type="dcterms:W3CDTF">2026-09-03T02:41:54Z</dcterms:modified>
  <cp:revision>211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970B92566B9F4DB4BC481A66EA8EBE15_13</vt:lpwstr>
  </property>
  <property fmtid="{D5CDD505-2E9C-101B-9397-08002B2CF9AE}" pid="4" name="KSOTemplateDocerSaveRecord">
    <vt:lpwstr>eyJoZGlkIjoiNmE5MDMzZDFhMzYyZTVkNzRjNzk3ODM4NmVkZWFjMDUiLCJ1c2VySWQiOiI1NDQ5NzcyOTkifQ==</vt:lpwstr>
  </property>
</Properties>
</file>