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146178">
      <w:pPr>
        <w:pStyle w:val="2"/>
        <w:keepNext w:val="0"/>
        <w:adjustRightInd w:val="0"/>
        <w:snapToGrid w:val="0"/>
        <w:spacing w:before="156" w:beforeLines="50" w:line="360" w:lineRule="auto"/>
        <w:rPr>
          <w:rFonts w:hint="eastAsia"/>
          <w:highlight w:val="red"/>
        </w:rPr>
      </w:pPr>
      <w:r>
        <w:rPr>
          <w:rFonts w:hint="eastAsia" w:ascii="黑体" w:hAnsi="华文中宋" w:eastAsia="黑体"/>
          <w:sz w:val="32"/>
          <w:szCs w:val="32"/>
          <w:highlight w:val="white"/>
        </w:rPr>
        <w:t>采购需求</w:t>
      </w:r>
      <w:bookmarkStart w:id="0" w:name="EB9baad02da2434c97bf3bd9a509fffe9a"/>
    </w:p>
    <w:p w14:paraId="4673FCFC">
      <w:pPr>
        <w:pStyle w:val="8"/>
        <w:keepNext/>
        <w:keepLines/>
        <w:numPr>
          <w:ilvl w:val="0"/>
          <w:numId w:val="2"/>
        </w:numPr>
        <w:adjustRightInd w:val="0"/>
        <w:snapToGrid w:val="0"/>
        <w:spacing w:before="156" w:beforeLines="50" w:line="360" w:lineRule="auto"/>
        <w:jc w:val="center"/>
        <w:outlineLvl w:val="1"/>
        <w:rPr>
          <w:rStyle w:val="6"/>
          <w:rFonts w:hint="eastAsia" w:ascii="黑体" w:hAnsi="黑体" w:eastAsia="黑体"/>
          <w:b/>
          <w:bCs/>
          <w:sz w:val="28"/>
          <w:szCs w:val="28"/>
        </w:rPr>
      </w:pPr>
      <w:bookmarkStart w:id="1" w:name="_Toc29913942"/>
      <w:bookmarkEnd w:id="1"/>
      <w:bookmarkStart w:id="2" w:name="_Toc256000038"/>
      <w:bookmarkStart w:id="3" w:name="EB9baad02da2434c97bf3bd9a509fffe9a_0"/>
      <w:r>
        <w:rPr>
          <w:rStyle w:val="6"/>
          <w:rFonts w:hint="eastAsia" w:ascii="黑体" w:hAnsi="黑体" w:eastAsia="黑体"/>
          <w:b/>
          <w:bCs/>
          <w:sz w:val="28"/>
          <w:szCs w:val="28"/>
        </w:rPr>
        <w:t>采购清单一览表</w:t>
      </w:r>
      <w:bookmarkEnd w:id="2"/>
    </w:p>
    <w:tbl>
      <w:tblPr>
        <w:tblStyle w:val="5"/>
        <w:tblW w:w="93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4026"/>
        <w:gridCol w:w="874"/>
        <w:gridCol w:w="1061"/>
        <w:gridCol w:w="1078"/>
        <w:gridCol w:w="1352"/>
      </w:tblGrid>
      <w:tr w14:paraId="1F9A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943" w:type="dxa"/>
            <w:noWrap w:val="0"/>
            <w:vAlign w:val="center"/>
          </w:tcPr>
          <w:p w14:paraId="4E2CDFA3">
            <w:pPr>
              <w:pStyle w:val="9"/>
              <w:widowControl/>
              <w:jc w:val="center"/>
              <w:rPr>
                <w:rStyle w:val="6"/>
                <w:rFonts w:hint="eastAsia" w:ascii="宋体" w:hAnsi="宋体"/>
                <w:b/>
                <w:szCs w:val="21"/>
              </w:rPr>
            </w:pPr>
            <w:bookmarkStart w:id="4" w:name="OLE_LINK34"/>
            <w:bookmarkStart w:id="5" w:name="EB9baad02da2434c97bf3bd9a509fffe9a_0_0"/>
            <w:r>
              <w:rPr>
                <w:rStyle w:val="6"/>
                <w:rFonts w:hint="eastAsia" w:ascii="宋体" w:hAnsi="宋体"/>
                <w:b/>
                <w:szCs w:val="21"/>
              </w:rPr>
              <w:t>品目</w:t>
            </w:r>
          </w:p>
        </w:tc>
        <w:tc>
          <w:tcPr>
            <w:tcW w:w="4026" w:type="dxa"/>
            <w:noWrap w:val="0"/>
            <w:vAlign w:val="center"/>
          </w:tcPr>
          <w:p w14:paraId="15A1D280">
            <w:pPr>
              <w:pStyle w:val="9"/>
              <w:widowControl/>
              <w:jc w:val="center"/>
              <w:rPr>
                <w:rStyle w:val="6"/>
                <w:rFonts w:ascii="宋体" w:hAnsi="宋体" w:cs="宋体"/>
                <w:b/>
                <w:bCs/>
                <w:color w:val="000000"/>
                <w:kern w:val="0"/>
                <w:szCs w:val="21"/>
                <w:lang w:bidi="ar"/>
              </w:rPr>
            </w:pPr>
            <w:r>
              <w:rPr>
                <w:rStyle w:val="6"/>
                <w:rFonts w:hint="eastAsia" w:ascii="宋体" w:hAnsi="宋体" w:cs="宋体"/>
                <w:b/>
                <w:bCs/>
                <w:color w:val="000000"/>
                <w:kern w:val="0"/>
                <w:szCs w:val="21"/>
                <w:lang w:bidi="ar"/>
              </w:rPr>
              <w:t>品目名称</w:t>
            </w:r>
          </w:p>
        </w:tc>
        <w:tc>
          <w:tcPr>
            <w:tcW w:w="874" w:type="dxa"/>
            <w:noWrap w:val="0"/>
            <w:vAlign w:val="center"/>
          </w:tcPr>
          <w:p w14:paraId="5D5DB865">
            <w:pPr>
              <w:pStyle w:val="9"/>
              <w:widowControl/>
              <w:jc w:val="center"/>
              <w:rPr>
                <w:rStyle w:val="6"/>
                <w:rFonts w:hint="eastAsia" w:ascii="宋体" w:hAnsi="宋体" w:cs="宋体"/>
                <w:b/>
                <w:bCs/>
                <w:color w:val="000000"/>
                <w:kern w:val="0"/>
                <w:szCs w:val="21"/>
                <w:lang w:bidi="ar"/>
              </w:rPr>
            </w:pPr>
            <w:r>
              <w:rPr>
                <w:rStyle w:val="6"/>
                <w:rFonts w:hint="eastAsia" w:ascii="宋体" w:hAnsi="宋体" w:cs="宋体"/>
                <w:b/>
                <w:bCs/>
                <w:color w:val="000000"/>
                <w:kern w:val="0"/>
                <w:szCs w:val="21"/>
                <w:lang w:bidi="ar"/>
              </w:rPr>
              <w:t>单位</w:t>
            </w:r>
          </w:p>
        </w:tc>
        <w:tc>
          <w:tcPr>
            <w:tcW w:w="1061" w:type="dxa"/>
            <w:noWrap w:val="0"/>
            <w:vAlign w:val="center"/>
          </w:tcPr>
          <w:p w14:paraId="05A24110">
            <w:pPr>
              <w:pStyle w:val="9"/>
              <w:widowControl/>
              <w:jc w:val="center"/>
              <w:rPr>
                <w:rStyle w:val="6"/>
                <w:rFonts w:hint="eastAsia" w:ascii="宋体" w:hAnsi="宋体" w:cs="宋体"/>
                <w:b/>
                <w:bCs/>
                <w:color w:val="000000"/>
                <w:kern w:val="0"/>
                <w:szCs w:val="21"/>
                <w:lang w:bidi="ar"/>
              </w:rPr>
            </w:pPr>
            <w:r>
              <w:rPr>
                <w:rStyle w:val="6"/>
                <w:rFonts w:hint="eastAsia" w:ascii="宋体" w:hAnsi="宋体" w:cs="宋体"/>
                <w:b/>
                <w:bCs/>
                <w:color w:val="000000"/>
                <w:kern w:val="0"/>
                <w:szCs w:val="21"/>
                <w:lang w:bidi="ar"/>
              </w:rPr>
              <w:t>数量</w:t>
            </w:r>
          </w:p>
        </w:tc>
        <w:tc>
          <w:tcPr>
            <w:tcW w:w="1078" w:type="dxa"/>
            <w:noWrap w:val="0"/>
            <w:vAlign w:val="center"/>
          </w:tcPr>
          <w:p w14:paraId="30104406">
            <w:pPr>
              <w:pStyle w:val="9"/>
              <w:widowControl/>
              <w:jc w:val="center"/>
              <w:rPr>
                <w:rStyle w:val="6"/>
                <w:rFonts w:hint="eastAsia" w:ascii="宋体" w:hAnsi="宋体" w:cs="宋体"/>
                <w:b/>
                <w:bCs/>
                <w:color w:val="000000"/>
                <w:kern w:val="0"/>
                <w:szCs w:val="21"/>
                <w:lang w:bidi="ar"/>
              </w:rPr>
            </w:pPr>
            <w:r>
              <w:rPr>
                <w:rStyle w:val="6"/>
                <w:rFonts w:hint="eastAsia" w:ascii="宋体" w:hAnsi="宋体" w:cs="宋体"/>
                <w:b/>
                <w:bCs/>
                <w:color w:val="000000"/>
                <w:kern w:val="0"/>
                <w:szCs w:val="21"/>
                <w:lang w:bidi="ar"/>
              </w:rPr>
              <w:t>是否为</w:t>
            </w:r>
          </w:p>
          <w:p w14:paraId="700058AE">
            <w:pPr>
              <w:pStyle w:val="9"/>
              <w:widowControl/>
              <w:jc w:val="center"/>
              <w:rPr>
                <w:rStyle w:val="6"/>
                <w:rFonts w:ascii="宋体" w:hAnsi="宋体"/>
                <w:b/>
                <w:szCs w:val="21"/>
              </w:rPr>
            </w:pPr>
            <w:r>
              <w:rPr>
                <w:rStyle w:val="6"/>
                <w:rFonts w:hint="eastAsia" w:ascii="宋体" w:hAnsi="宋体" w:cs="宋体"/>
                <w:b/>
                <w:bCs/>
                <w:color w:val="000000"/>
                <w:kern w:val="0"/>
                <w:szCs w:val="21"/>
                <w:lang w:bidi="ar"/>
              </w:rPr>
              <w:t>核心产品</w:t>
            </w:r>
          </w:p>
        </w:tc>
        <w:tc>
          <w:tcPr>
            <w:tcW w:w="1352" w:type="dxa"/>
            <w:noWrap w:val="0"/>
            <w:vAlign w:val="center"/>
          </w:tcPr>
          <w:p w14:paraId="2BFC85E6">
            <w:pPr>
              <w:pStyle w:val="9"/>
              <w:widowControl/>
              <w:jc w:val="center"/>
              <w:rPr>
                <w:rStyle w:val="6"/>
                <w:rFonts w:ascii="宋体" w:hAnsi="宋体" w:cs="宋体"/>
                <w:b/>
                <w:bCs/>
                <w:color w:val="000000"/>
                <w:kern w:val="0"/>
                <w:szCs w:val="21"/>
                <w:lang w:bidi="ar"/>
              </w:rPr>
            </w:pPr>
            <w:r>
              <w:rPr>
                <w:rStyle w:val="6"/>
                <w:rFonts w:hint="eastAsia" w:ascii="宋体" w:hAnsi="宋体" w:cs="宋体"/>
                <w:b/>
                <w:bCs/>
                <w:color w:val="000000"/>
                <w:kern w:val="0"/>
                <w:szCs w:val="21"/>
                <w:lang w:bidi="ar"/>
              </w:rPr>
              <w:t>是否为强制节能产品</w:t>
            </w:r>
          </w:p>
        </w:tc>
      </w:tr>
      <w:tr w14:paraId="60B5D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43" w:type="dxa"/>
            <w:noWrap w:val="0"/>
            <w:vAlign w:val="center"/>
          </w:tcPr>
          <w:p w14:paraId="50C9E983">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1</w:t>
            </w:r>
          </w:p>
        </w:tc>
        <w:tc>
          <w:tcPr>
            <w:tcW w:w="4026" w:type="dxa"/>
            <w:noWrap w:val="0"/>
            <w:vAlign w:val="center"/>
          </w:tcPr>
          <w:p w14:paraId="43725917">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视频压缩存储系统</w:t>
            </w:r>
          </w:p>
        </w:tc>
        <w:tc>
          <w:tcPr>
            <w:tcW w:w="874" w:type="dxa"/>
            <w:noWrap w:val="0"/>
            <w:vAlign w:val="center"/>
          </w:tcPr>
          <w:p w14:paraId="66B4E807">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套</w:t>
            </w:r>
          </w:p>
        </w:tc>
        <w:tc>
          <w:tcPr>
            <w:tcW w:w="1061" w:type="dxa"/>
            <w:noWrap w:val="0"/>
            <w:vAlign w:val="center"/>
          </w:tcPr>
          <w:p w14:paraId="37781E04">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2</w:t>
            </w:r>
          </w:p>
        </w:tc>
        <w:tc>
          <w:tcPr>
            <w:tcW w:w="1078" w:type="dxa"/>
            <w:noWrap w:val="0"/>
            <w:vAlign w:val="center"/>
          </w:tcPr>
          <w:p w14:paraId="0338E0AB">
            <w:pPr>
              <w:pStyle w:val="9"/>
              <w:widowControl/>
              <w:jc w:val="center"/>
              <w:rPr>
                <w:rStyle w:val="6"/>
                <w:rFonts w:hint="eastAsia" w:ascii="宋体" w:hAnsi="宋体" w:cs="宋体"/>
                <w:b/>
                <w:bCs/>
                <w:color w:val="000000"/>
                <w:kern w:val="0"/>
                <w:szCs w:val="21"/>
                <w:lang w:bidi="ar"/>
              </w:rPr>
            </w:pPr>
            <w:r>
              <w:rPr>
                <w:rStyle w:val="6"/>
                <w:rFonts w:hint="eastAsia" w:ascii="宋体" w:hAnsi="宋体" w:cs="宋体"/>
                <w:b/>
                <w:bCs/>
                <w:color w:val="000000"/>
                <w:kern w:val="0"/>
                <w:szCs w:val="21"/>
                <w:lang w:bidi="ar"/>
              </w:rPr>
              <w:t>是</w:t>
            </w:r>
          </w:p>
        </w:tc>
        <w:tc>
          <w:tcPr>
            <w:tcW w:w="1352" w:type="dxa"/>
            <w:noWrap w:val="0"/>
            <w:vAlign w:val="center"/>
          </w:tcPr>
          <w:p w14:paraId="6A311AEA">
            <w:pPr>
              <w:pStyle w:val="9"/>
              <w:widowControl/>
              <w:jc w:val="center"/>
              <w:rPr>
                <w:rStyle w:val="6"/>
                <w:rFonts w:hint="eastAsia" w:ascii="宋体" w:hAnsi="宋体" w:cs="宋体"/>
                <w:b/>
                <w:bCs/>
                <w:color w:val="000000"/>
                <w:kern w:val="0"/>
                <w:szCs w:val="21"/>
                <w:lang w:bidi="ar"/>
              </w:rPr>
            </w:pPr>
          </w:p>
        </w:tc>
      </w:tr>
      <w:tr w14:paraId="42950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43" w:type="dxa"/>
            <w:noWrap w:val="0"/>
            <w:vAlign w:val="center"/>
          </w:tcPr>
          <w:p w14:paraId="3A565100">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2</w:t>
            </w:r>
          </w:p>
        </w:tc>
        <w:tc>
          <w:tcPr>
            <w:tcW w:w="4026" w:type="dxa"/>
            <w:noWrap w:val="0"/>
            <w:vAlign w:val="center"/>
          </w:tcPr>
          <w:p w14:paraId="5249B687">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校园安全智能预警系统</w:t>
            </w:r>
          </w:p>
        </w:tc>
        <w:tc>
          <w:tcPr>
            <w:tcW w:w="874" w:type="dxa"/>
            <w:noWrap w:val="0"/>
            <w:vAlign w:val="center"/>
          </w:tcPr>
          <w:p w14:paraId="311D615C">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套</w:t>
            </w:r>
          </w:p>
        </w:tc>
        <w:tc>
          <w:tcPr>
            <w:tcW w:w="1061" w:type="dxa"/>
            <w:noWrap w:val="0"/>
            <w:vAlign w:val="center"/>
          </w:tcPr>
          <w:p w14:paraId="2DD04141">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1</w:t>
            </w:r>
          </w:p>
        </w:tc>
        <w:tc>
          <w:tcPr>
            <w:tcW w:w="1078" w:type="dxa"/>
            <w:noWrap w:val="0"/>
            <w:vAlign w:val="center"/>
          </w:tcPr>
          <w:p w14:paraId="6A0EA0DE">
            <w:pPr>
              <w:pStyle w:val="9"/>
              <w:widowControl/>
              <w:jc w:val="center"/>
              <w:rPr>
                <w:rStyle w:val="6"/>
                <w:rFonts w:hint="eastAsia" w:ascii="宋体" w:hAnsi="宋体" w:cs="宋体"/>
                <w:b/>
                <w:bCs/>
                <w:color w:val="000000"/>
                <w:kern w:val="0"/>
                <w:szCs w:val="21"/>
                <w:lang w:bidi="ar"/>
              </w:rPr>
            </w:pPr>
          </w:p>
        </w:tc>
        <w:tc>
          <w:tcPr>
            <w:tcW w:w="1352" w:type="dxa"/>
            <w:noWrap w:val="0"/>
            <w:vAlign w:val="center"/>
          </w:tcPr>
          <w:p w14:paraId="73A14288">
            <w:pPr>
              <w:pStyle w:val="9"/>
              <w:widowControl/>
              <w:jc w:val="center"/>
              <w:rPr>
                <w:rStyle w:val="6"/>
                <w:rFonts w:hint="eastAsia" w:ascii="宋体" w:hAnsi="宋体" w:cs="宋体"/>
                <w:b/>
                <w:bCs/>
                <w:color w:val="000000"/>
                <w:kern w:val="0"/>
                <w:szCs w:val="21"/>
                <w:lang w:bidi="ar"/>
              </w:rPr>
            </w:pPr>
          </w:p>
        </w:tc>
      </w:tr>
      <w:tr w14:paraId="5A9AE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43" w:type="dxa"/>
            <w:noWrap w:val="0"/>
            <w:vAlign w:val="center"/>
          </w:tcPr>
          <w:p w14:paraId="1AA9B915">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3</w:t>
            </w:r>
          </w:p>
        </w:tc>
        <w:tc>
          <w:tcPr>
            <w:tcW w:w="4026" w:type="dxa"/>
            <w:noWrap w:val="0"/>
            <w:vAlign w:val="center"/>
          </w:tcPr>
          <w:p w14:paraId="3CFCA08C">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企业级硬盘</w:t>
            </w:r>
          </w:p>
        </w:tc>
        <w:tc>
          <w:tcPr>
            <w:tcW w:w="874" w:type="dxa"/>
            <w:noWrap w:val="0"/>
            <w:vAlign w:val="center"/>
          </w:tcPr>
          <w:p w14:paraId="75CAEB28">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块</w:t>
            </w:r>
          </w:p>
        </w:tc>
        <w:tc>
          <w:tcPr>
            <w:tcW w:w="1061" w:type="dxa"/>
            <w:noWrap w:val="0"/>
            <w:vAlign w:val="center"/>
          </w:tcPr>
          <w:p w14:paraId="02C9CB57">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48</w:t>
            </w:r>
          </w:p>
        </w:tc>
        <w:tc>
          <w:tcPr>
            <w:tcW w:w="1078" w:type="dxa"/>
            <w:noWrap w:val="0"/>
            <w:vAlign w:val="center"/>
          </w:tcPr>
          <w:p w14:paraId="4F196A0F">
            <w:pPr>
              <w:pStyle w:val="9"/>
              <w:widowControl/>
              <w:jc w:val="center"/>
              <w:rPr>
                <w:rStyle w:val="6"/>
                <w:rFonts w:hint="eastAsia" w:ascii="宋体" w:hAnsi="宋体" w:cs="宋体"/>
                <w:b/>
                <w:bCs/>
                <w:color w:val="000000"/>
                <w:kern w:val="0"/>
                <w:szCs w:val="21"/>
                <w:lang w:bidi="ar"/>
              </w:rPr>
            </w:pPr>
            <w:bookmarkStart w:id="13" w:name="_GoBack"/>
            <w:bookmarkEnd w:id="13"/>
          </w:p>
        </w:tc>
        <w:tc>
          <w:tcPr>
            <w:tcW w:w="1352" w:type="dxa"/>
            <w:noWrap w:val="0"/>
            <w:vAlign w:val="center"/>
          </w:tcPr>
          <w:p w14:paraId="2C73767F">
            <w:pPr>
              <w:pStyle w:val="9"/>
              <w:widowControl/>
              <w:jc w:val="center"/>
              <w:rPr>
                <w:rStyle w:val="6"/>
                <w:rFonts w:hint="eastAsia" w:ascii="宋体" w:hAnsi="宋体" w:cs="宋体"/>
                <w:b/>
                <w:bCs/>
                <w:color w:val="000000"/>
                <w:kern w:val="0"/>
                <w:szCs w:val="21"/>
                <w:lang w:bidi="ar"/>
              </w:rPr>
            </w:pPr>
          </w:p>
        </w:tc>
      </w:tr>
      <w:tr w14:paraId="5C0B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43" w:type="dxa"/>
            <w:noWrap w:val="0"/>
            <w:vAlign w:val="center"/>
          </w:tcPr>
          <w:p w14:paraId="66879B13">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4</w:t>
            </w:r>
          </w:p>
        </w:tc>
        <w:tc>
          <w:tcPr>
            <w:tcW w:w="4026" w:type="dxa"/>
            <w:noWrap w:val="0"/>
            <w:vAlign w:val="center"/>
          </w:tcPr>
          <w:p w14:paraId="6647F481">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校园安全业务融合管理系统</w:t>
            </w:r>
          </w:p>
        </w:tc>
        <w:tc>
          <w:tcPr>
            <w:tcW w:w="874" w:type="dxa"/>
            <w:noWrap w:val="0"/>
            <w:vAlign w:val="center"/>
          </w:tcPr>
          <w:p w14:paraId="67A0A29F">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套</w:t>
            </w:r>
          </w:p>
        </w:tc>
        <w:tc>
          <w:tcPr>
            <w:tcW w:w="1061" w:type="dxa"/>
            <w:noWrap w:val="0"/>
            <w:vAlign w:val="center"/>
          </w:tcPr>
          <w:p w14:paraId="3C06C202">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1</w:t>
            </w:r>
          </w:p>
        </w:tc>
        <w:tc>
          <w:tcPr>
            <w:tcW w:w="1078" w:type="dxa"/>
            <w:noWrap w:val="0"/>
            <w:vAlign w:val="center"/>
          </w:tcPr>
          <w:p w14:paraId="7D8392E9">
            <w:pPr>
              <w:pStyle w:val="9"/>
              <w:widowControl/>
              <w:jc w:val="center"/>
              <w:rPr>
                <w:rStyle w:val="6"/>
                <w:rFonts w:hint="eastAsia" w:ascii="宋体" w:hAnsi="宋体" w:cs="宋体"/>
                <w:b/>
                <w:bCs/>
                <w:color w:val="000000"/>
                <w:kern w:val="0"/>
                <w:szCs w:val="21"/>
                <w:lang w:bidi="ar"/>
              </w:rPr>
            </w:pPr>
          </w:p>
        </w:tc>
        <w:tc>
          <w:tcPr>
            <w:tcW w:w="1352" w:type="dxa"/>
            <w:noWrap w:val="0"/>
            <w:vAlign w:val="center"/>
          </w:tcPr>
          <w:p w14:paraId="644D2DA0">
            <w:pPr>
              <w:pStyle w:val="9"/>
              <w:widowControl/>
              <w:jc w:val="center"/>
              <w:rPr>
                <w:rStyle w:val="6"/>
                <w:rFonts w:hint="eastAsia" w:ascii="宋体" w:hAnsi="宋体" w:cs="宋体"/>
                <w:b/>
                <w:bCs/>
                <w:color w:val="000000"/>
                <w:kern w:val="0"/>
                <w:szCs w:val="21"/>
                <w:lang w:bidi="ar"/>
              </w:rPr>
            </w:pPr>
          </w:p>
        </w:tc>
      </w:tr>
      <w:tr w14:paraId="6ABC2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43" w:type="dxa"/>
            <w:noWrap w:val="0"/>
            <w:vAlign w:val="center"/>
          </w:tcPr>
          <w:p w14:paraId="1C5D28C1">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5</w:t>
            </w:r>
          </w:p>
        </w:tc>
        <w:tc>
          <w:tcPr>
            <w:tcW w:w="4026" w:type="dxa"/>
            <w:noWrap w:val="0"/>
            <w:vAlign w:val="center"/>
          </w:tcPr>
          <w:p w14:paraId="7730B70A">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辅材</w:t>
            </w:r>
          </w:p>
        </w:tc>
        <w:tc>
          <w:tcPr>
            <w:tcW w:w="874" w:type="dxa"/>
            <w:noWrap w:val="0"/>
            <w:vAlign w:val="center"/>
          </w:tcPr>
          <w:p w14:paraId="42F86AFC">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批</w:t>
            </w:r>
          </w:p>
        </w:tc>
        <w:tc>
          <w:tcPr>
            <w:tcW w:w="1061" w:type="dxa"/>
            <w:noWrap w:val="0"/>
            <w:vAlign w:val="center"/>
          </w:tcPr>
          <w:p w14:paraId="5EB6E057">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1</w:t>
            </w:r>
          </w:p>
        </w:tc>
        <w:tc>
          <w:tcPr>
            <w:tcW w:w="1078" w:type="dxa"/>
            <w:noWrap w:val="0"/>
            <w:vAlign w:val="center"/>
          </w:tcPr>
          <w:p w14:paraId="441076A8">
            <w:pPr>
              <w:pStyle w:val="9"/>
              <w:widowControl/>
              <w:jc w:val="center"/>
              <w:rPr>
                <w:rStyle w:val="6"/>
                <w:rFonts w:hint="eastAsia" w:ascii="宋体" w:hAnsi="宋体" w:cs="宋体"/>
                <w:b/>
                <w:bCs/>
                <w:color w:val="000000"/>
                <w:kern w:val="0"/>
                <w:szCs w:val="21"/>
                <w:lang w:bidi="ar"/>
              </w:rPr>
            </w:pPr>
          </w:p>
        </w:tc>
        <w:tc>
          <w:tcPr>
            <w:tcW w:w="1352" w:type="dxa"/>
            <w:noWrap w:val="0"/>
            <w:vAlign w:val="center"/>
          </w:tcPr>
          <w:p w14:paraId="5D28B11C">
            <w:pPr>
              <w:pStyle w:val="9"/>
              <w:widowControl/>
              <w:jc w:val="center"/>
              <w:rPr>
                <w:rStyle w:val="6"/>
                <w:rFonts w:hint="eastAsia" w:ascii="宋体" w:hAnsi="宋体" w:cs="宋体"/>
                <w:b/>
                <w:bCs/>
                <w:color w:val="000000"/>
                <w:kern w:val="0"/>
                <w:szCs w:val="21"/>
                <w:lang w:bidi="ar"/>
              </w:rPr>
            </w:pPr>
          </w:p>
        </w:tc>
      </w:tr>
      <w:tr w14:paraId="3D7C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43" w:type="dxa"/>
            <w:noWrap w:val="0"/>
            <w:vAlign w:val="center"/>
          </w:tcPr>
          <w:p w14:paraId="4AEC5E1A">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6</w:t>
            </w:r>
          </w:p>
        </w:tc>
        <w:tc>
          <w:tcPr>
            <w:tcW w:w="4026" w:type="dxa"/>
            <w:noWrap w:val="0"/>
            <w:vAlign w:val="center"/>
          </w:tcPr>
          <w:p w14:paraId="3C8AE8CA">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系统安装调试</w:t>
            </w:r>
          </w:p>
        </w:tc>
        <w:tc>
          <w:tcPr>
            <w:tcW w:w="874" w:type="dxa"/>
            <w:noWrap w:val="0"/>
            <w:vAlign w:val="center"/>
          </w:tcPr>
          <w:p w14:paraId="0DAD2421">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项</w:t>
            </w:r>
          </w:p>
        </w:tc>
        <w:tc>
          <w:tcPr>
            <w:tcW w:w="1061" w:type="dxa"/>
            <w:noWrap w:val="0"/>
            <w:vAlign w:val="center"/>
          </w:tcPr>
          <w:p w14:paraId="3D9CFD46">
            <w:pPr>
              <w:pStyle w:val="9"/>
              <w:widowControl/>
              <w:jc w:val="center"/>
              <w:rPr>
                <w:rStyle w:val="6"/>
                <w:rFonts w:hint="eastAsia" w:ascii="宋体" w:hAnsi="宋体" w:cs="宋体"/>
                <w:color w:val="000000"/>
                <w:kern w:val="0"/>
                <w:szCs w:val="21"/>
                <w:lang w:bidi="ar"/>
              </w:rPr>
            </w:pPr>
            <w:r>
              <w:rPr>
                <w:rStyle w:val="6"/>
                <w:rFonts w:hint="eastAsia" w:ascii="宋体" w:hAnsi="宋体" w:cs="宋体"/>
                <w:color w:val="000000"/>
                <w:kern w:val="0"/>
                <w:szCs w:val="21"/>
                <w:lang w:bidi="ar"/>
              </w:rPr>
              <w:t>1</w:t>
            </w:r>
          </w:p>
        </w:tc>
        <w:tc>
          <w:tcPr>
            <w:tcW w:w="1078" w:type="dxa"/>
            <w:noWrap w:val="0"/>
            <w:vAlign w:val="center"/>
          </w:tcPr>
          <w:p w14:paraId="093A9EF9">
            <w:pPr>
              <w:pStyle w:val="9"/>
              <w:widowControl/>
              <w:jc w:val="center"/>
              <w:rPr>
                <w:rStyle w:val="6"/>
                <w:rFonts w:hint="eastAsia" w:ascii="宋体" w:hAnsi="宋体" w:cs="宋体"/>
                <w:b/>
                <w:bCs/>
                <w:color w:val="000000"/>
                <w:kern w:val="0"/>
                <w:szCs w:val="21"/>
                <w:lang w:bidi="ar"/>
              </w:rPr>
            </w:pPr>
          </w:p>
        </w:tc>
        <w:tc>
          <w:tcPr>
            <w:tcW w:w="1352" w:type="dxa"/>
            <w:noWrap w:val="0"/>
            <w:vAlign w:val="center"/>
          </w:tcPr>
          <w:p w14:paraId="5C6C3063">
            <w:pPr>
              <w:pStyle w:val="9"/>
              <w:widowControl/>
              <w:jc w:val="center"/>
              <w:rPr>
                <w:rStyle w:val="6"/>
                <w:rFonts w:hint="eastAsia" w:ascii="宋体" w:hAnsi="宋体" w:cs="宋体"/>
                <w:b/>
                <w:bCs/>
                <w:color w:val="000000"/>
                <w:kern w:val="0"/>
                <w:szCs w:val="21"/>
                <w:lang w:bidi="ar"/>
              </w:rPr>
            </w:pPr>
          </w:p>
        </w:tc>
      </w:tr>
      <w:bookmarkEnd w:id="4"/>
    </w:tbl>
    <w:p w14:paraId="48AA1513">
      <w:pPr>
        <w:pStyle w:val="12"/>
        <w:rPr>
          <w:rStyle w:val="6"/>
          <w:rFonts w:hint="eastAsia"/>
          <w:highlight w:val="red"/>
        </w:rPr>
      </w:pPr>
    </w:p>
    <w:p w14:paraId="26169997">
      <w:pPr>
        <w:pStyle w:val="9"/>
        <w:widowControl/>
        <w:spacing w:line="360" w:lineRule="auto"/>
        <w:ind w:firstLine="420" w:firstLineChars="200"/>
        <w:jc w:val="left"/>
        <w:rPr>
          <w:rStyle w:val="6"/>
          <w:rFonts w:hint="eastAsia" w:ascii="宋体" w:hAnsi="宋体" w:cs="宋体"/>
          <w:color w:val="000000"/>
          <w:kern w:val="0"/>
          <w:szCs w:val="21"/>
          <w:lang w:bidi="ar"/>
        </w:rPr>
      </w:pPr>
    </w:p>
    <w:p w14:paraId="727D6930">
      <w:pPr>
        <w:pStyle w:val="8"/>
        <w:adjustRightInd w:val="0"/>
        <w:snapToGrid w:val="0"/>
        <w:spacing w:before="156" w:beforeLines="50" w:line="360" w:lineRule="auto"/>
        <w:jc w:val="center"/>
        <w:rPr>
          <w:rStyle w:val="6"/>
          <w:rFonts w:ascii="黑体" w:hAnsi="黑体" w:eastAsia="黑体"/>
          <w:b/>
          <w:bCs/>
          <w:sz w:val="28"/>
          <w:szCs w:val="28"/>
        </w:rPr>
      </w:pPr>
      <w:r>
        <w:rPr>
          <w:rStyle w:val="6"/>
          <w:rFonts w:hint="eastAsia" w:ascii="宋体" w:hAnsi="宋体" w:cs="宋体"/>
          <w:kern w:val="0"/>
          <w:szCs w:val="21"/>
        </w:rPr>
        <w:br w:type="page"/>
      </w:r>
      <w:bookmarkStart w:id="6" w:name="OLE_LINK28"/>
      <w:bookmarkStart w:id="7" w:name="_Toc29913943"/>
      <w:bookmarkStart w:id="8" w:name="OLE_LINK5"/>
      <w:r>
        <w:rPr>
          <w:rStyle w:val="6"/>
          <w:rFonts w:hint="eastAsia" w:ascii="黑体" w:hAnsi="黑体" w:eastAsia="黑体"/>
          <w:b/>
          <w:bCs/>
          <w:sz w:val="28"/>
          <w:szCs w:val="28"/>
        </w:rPr>
        <w:t xml:space="preserve">第二节 </w:t>
      </w:r>
      <w:bookmarkEnd w:id="6"/>
      <w:r>
        <w:rPr>
          <w:rStyle w:val="6"/>
          <w:rFonts w:ascii="黑体" w:hAnsi="黑体" w:eastAsia="黑体"/>
          <w:b/>
          <w:bCs/>
          <w:sz w:val="28"/>
          <w:szCs w:val="28"/>
        </w:rPr>
        <w:t>技术要求</w:t>
      </w:r>
      <w:bookmarkEnd w:id="7"/>
      <w:bookmarkEnd w:id="8"/>
    </w:p>
    <w:tbl>
      <w:tblPr>
        <w:tblStyle w:val="5"/>
        <w:tblW w:w="9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
        <w:gridCol w:w="819"/>
        <w:gridCol w:w="7575"/>
        <w:gridCol w:w="459"/>
        <w:gridCol w:w="442"/>
      </w:tblGrid>
      <w:tr w14:paraId="3AD9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24F7F581">
            <w:pPr>
              <w:pStyle w:val="13"/>
              <w:jc w:val="center"/>
              <w:rPr>
                <w:rStyle w:val="6"/>
                <w:rFonts w:hint="eastAsia" w:ascii="宋体" w:hAnsi="宋体" w:eastAsia="宋体" w:cs="Times New Roman"/>
                <w:b/>
                <w:bCs/>
                <w:szCs w:val="21"/>
              </w:rPr>
            </w:pPr>
            <w:r>
              <w:rPr>
                <w:rStyle w:val="6"/>
                <w:rFonts w:hint="eastAsia" w:ascii="宋体" w:hAnsi="宋体" w:eastAsia="宋体" w:cs="Times New Roman"/>
                <w:b/>
                <w:bCs/>
                <w:szCs w:val="21"/>
              </w:rPr>
              <w:t>序号</w:t>
            </w:r>
          </w:p>
        </w:tc>
        <w:tc>
          <w:tcPr>
            <w:tcW w:w="0" w:type="auto"/>
            <w:noWrap w:val="0"/>
            <w:vAlign w:val="center"/>
          </w:tcPr>
          <w:p w14:paraId="73C708FD">
            <w:pPr>
              <w:pStyle w:val="13"/>
              <w:jc w:val="center"/>
              <w:rPr>
                <w:rStyle w:val="6"/>
                <w:rFonts w:hint="eastAsia" w:ascii="宋体" w:hAnsi="宋体" w:eastAsia="宋体" w:cs="Times New Roman"/>
                <w:b/>
                <w:bCs/>
                <w:szCs w:val="21"/>
              </w:rPr>
            </w:pPr>
            <w:r>
              <w:rPr>
                <w:rStyle w:val="6"/>
                <w:rFonts w:hint="eastAsia" w:ascii="宋体" w:hAnsi="宋体" w:eastAsia="宋体" w:cs="Times New Roman"/>
                <w:b/>
                <w:bCs/>
                <w:szCs w:val="21"/>
              </w:rPr>
              <w:t>名称</w:t>
            </w:r>
          </w:p>
        </w:tc>
        <w:tc>
          <w:tcPr>
            <w:tcW w:w="7574" w:type="dxa"/>
            <w:noWrap w:val="0"/>
            <w:vAlign w:val="center"/>
          </w:tcPr>
          <w:p w14:paraId="79D1C743">
            <w:pPr>
              <w:pStyle w:val="13"/>
              <w:jc w:val="center"/>
              <w:rPr>
                <w:rStyle w:val="6"/>
                <w:rFonts w:hint="eastAsia" w:ascii="宋体" w:hAnsi="宋体" w:eastAsia="宋体" w:cs="Times New Roman"/>
                <w:b/>
                <w:bCs/>
                <w:szCs w:val="21"/>
              </w:rPr>
            </w:pPr>
            <w:r>
              <w:rPr>
                <w:rStyle w:val="6"/>
                <w:rFonts w:hint="eastAsia" w:ascii="宋体" w:hAnsi="宋体" w:eastAsia="宋体" w:cs="Times New Roman"/>
                <w:b/>
                <w:bCs/>
                <w:szCs w:val="21"/>
              </w:rPr>
              <w:t>规格、参数要求</w:t>
            </w:r>
          </w:p>
        </w:tc>
        <w:tc>
          <w:tcPr>
            <w:tcW w:w="459" w:type="dxa"/>
            <w:noWrap w:val="0"/>
            <w:vAlign w:val="center"/>
          </w:tcPr>
          <w:p w14:paraId="47D351AD">
            <w:pPr>
              <w:pStyle w:val="13"/>
              <w:jc w:val="center"/>
              <w:rPr>
                <w:rStyle w:val="6"/>
                <w:rFonts w:hint="eastAsia" w:ascii="宋体" w:hAnsi="宋体" w:eastAsia="宋体" w:cs="Times New Roman"/>
                <w:b/>
                <w:bCs/>
                <w:szCs w:val="21"/>
              </w:rPr>
            </w:pPr>
            <w:r>
              <w:rPr>
                <w:rStyle w:val="6"/>
                <w:rFonts w:hint="eastAsia" w:ascii="宋体" w:hAnsi="宋体" w:eastAsia="宋体" w:cs="Times New Roman"/>
                <w:b/>
                <w:bCs/>
                <w:szCs w:val="21"/>
              </w:rPr>
              <w:t>单位</w:t>
            </w:r>
          </w:p>
        </w:tc>
        <w:tc>
          <w:tcPr>
            <w:tcW w:w="0" w:type="auto"/>
            <w:noWrap w:val="0"/>
            <w:vAlign w:val="center"/>
          </w:tcPr>
          <w:p w14:paraId="43807B8A">
            <w:pPr>
              <w:pStyle w:val="13"/>
              <w:jc w:val="center"/>
              <w:rPr>
                <w:rStyle w:val="6"/>
                <w:rFonts w:hint="eastAsia" w:ascii="宋体" w:hAnsi="宋体" w:eastAsia="宋体" w:cs="Times New Roman"/>
                <w:b/>
                <w:bCs/>
                <w:szCs w:val="21"/>
              </w:rPr>
            </w:pPr>
            <w:r>
              <w:rPr>
                <w:rStyle w:val="6"/>
                <w:rFonts w:hint="eastAsia" w:ascii="宋体" w:hAnsi="宋体" w:eastAsia="宋体" w:cs="Times New Roman"/>
                <w:b/>
                <w:bCs/>
                <w:szCs w:val="21"/>
              </w:rPr>
              <w:t>数量</w:t>
            </w:r>
          </w:p>
        </w:tc>
      </w:tr>
      <w:tr w14:paraId="6910A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00B45C67">
            <w:pPr>
              <w:pStyle w:val="13"/>
              <w:jc w:val="center"/>
              <w:rPr>
                <w:rStyle w:val="6"/>
                <w:rFonts w:hint="eastAsia" w:ascii="宋体" w:hAnsi="宋体" w:eastAsia="宋体" w:cs="Times New Roman"/>
                <w:szCs w:val="21"/>
              </w:rPr>
            </w:pPr>
            <w:r>
              <w:rPr>
                <w:rStyle w:val="6"/>
                <w:rFonts w:hint="eastAsia" w:ascii="宋体" w:hAnsi="宋体" w:eastAsia="宋体" w:cs="Times New Roman"/>
                <w:szCs w:val="21"/>
              </w:rPr>
              <w:t>1</w:t>
            </w:r>
          </w:p>
        </w:tc>
        <w:tc>
          <w:tcPr>
            <w:tcW w:w="0" w:type="auto"/>
            <w:noWrap w:val="0"/>
            <w:vAlign w:val="center"/>
          </w:tcPr>
          <w:p w14:paraId="3DA18876">
            <w:pPr>
              <w:pStyle w:val="13"/>
              <w:jc w:val="center"/>
              <w:rPr>
                <w:rStyle w:val="6"/>
                <w:rFonts w:hint="eastAsia" w:ascii="宋体" w:hAnsi="宋体" w:eastAsia="宋体" w:cs="Times New Roman"/>
                <w:szCs w:val="21"/>
              </w:rPr>
            </w:pPr>
            <w:r>
              <w:rPr>
                <w:rStyle w:val="6"/>
                <w:rFonts w:ascii="宋体" w:hAnsi="宋体" w:eastAsia="宋体" w:cs="Times New Roman"/>
                <w:szCs w:val="21"/>
              </w:rPr>
              <w:t>视频压缩存储系统</w:t>
            </w:r>
            <w:r>
              <w:rPr>
                <w:rStyle w:val="6"/>
                <w:rFonts w:hint="eastAsia" w:ascii="宋体" w:hAnsi="宋体" w:eastAsia="宋体" w:cs="Times New Roman"/>
                <w:szCs w:val="21"/>
              </w:rPr>
              <w:t>（核心产品）</w:t>
            </w:r>
          </w:p>
        </w:tc>
        <w:tc>
          <w:tcPr>
            <w:tcW w:w="7574" w:type="dxa"/>
            <w:noWrap w:val="0"/>
            <w:vAlign w:val="top"/>
          </w:tcPr>
          <w:p w14:paraId="29617451">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一、功能参数要求：</w:t>
            </w:r>
          </w:p>
          <w:p w14:paraId="5CC74CC5">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1、支持混合接入分辨率为7680×4320 、3840×2160 、 2560×1440 、2048×1080、 1920×1080、 1280×720、704×576、 704×480的普通视频，对视频进行水印叠加、转码（更改编码格式）、压缩，不改变视频的帧率和时长，转码后叠加水印内容保持不变；支持叠加水印，水印内容可自定义，水印样式可调，支持45°斜向显示铺满视频画面，支持横向显示铺满视频画面，水印字体、大小、粗细、颜色、透明度等可调；</w:t>
            </w:r>
          </w:p>
          <w:p w14:paraId="591255C2">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2、同一静止画面下，可将码率</w:t>
            </w:r>
            <w:r>
              <w:rPr>
                <w:rStyle w:val="6"/>
                <w:rFonts w:hint="eastAsia" w:ascii="仿宋" w:hAnsi="仿宋" w:eastAsia="仿宋" w:cs="Times New Roman"/>
                <w:szCs w:val="21"/>
              </w:rPr>
              <w:t>≥</w:t>
            </w:r>
            <w:r>
              <w:rPr>
                <w:rStyle w:val="6"/>
                <w:rFonts w:hint="eastAsia" w:ascii="宋体" w:hAnsi="宋体" w:eastAsia="宋体" w:cs="Times New Roman"/>
                <w:szCs w:val="21"/>
              </w:rPr>
              <w:t>4Mbps（分辨率为1920×1080）的视频流压缩为码率</w:t>
            </w:r>
            <w:r>
              <w:rPr>
                <w:rStyle w:val="6"/>
                <w:rFonts w:hint="eastAsia" w:ascii="仿宋" w:hAnsi="仿宋" w:eastAsia="仿宋" w:cs="Times New Roman"/>
                <w:szCs w:val="21"/>
              </w:rPr>
              <w:t>≤</w:t>
            </w:r>
            <w:r>
              <w:rPr>
                <w:rStyle w:val="6"/>
                <w:rFonts w:hint="eastAsia" w:ascii="宋体" w:hAnsi="宋体" w:eastAsia="宋体" w:cs="Times New Roman"/>
                <w:szCs w:val="21"/>
              </w:rPr>
              <w:t>200Kbps， 码率压缩比</w:t>
            </w:r>
            <w:r>
              <w:rPr>
                <w:rStyle w:val="6"/>
                <w:rFonts w:hint="eastAsia" w:ascii="仿宋" w:hAnsi="仿宋" w:eastAsia="仿宋" w:cs="Times New Roman"/>
                <w:szCs w:val="21"/>
              </w:rPr>
              <w:t>≥</w:t>
            </w:r>
            <w:r>
              <w:rPr>
                <w:rStyle w:val="6"/>
                <w:rFonts w:hint="eastAsia" w:ascii="宋体" w:hAnsi="宋体" w:eastAsia="宋体" w:cs="Times New Roman"/>
                <w:szCs w:val="21"/>
              </w:rPr>
              <w:t>95%；压缩后码流滞后于压缩前码流的时间</w:t>
            </w:r>
            <w:r>
              <w:rPr>
                <w:rStyle w:val="6"/>
                <w:rFonts w:hint="eastAsia" w:ascii="仿宋" w:hAnsi="仿宋" w:eastAsia="仿宋" w:cs="Times New Roman"/>
                <w:szCs w:val="21"/>
              </w:rPr>
              <w:t>≤</w:t>
            </w:r>
            <w:r>
              <w:rPr>
                <w:rStyle w:val="6"/>
                <w:rFonts w:hint="eastAsia" w:ascii="宋体" w:hAnsi="宋体" w:eastAsia="宋体" w:cs="Times New Roman"/>
                <w:szCs w:val="21"/>
              </w:rPr>
              <w:t>100ms；同一静止画面下，可将码率为</w:t>
            </w:r>
            <w:r>
              <w:rPr>
                <w:rStyle w:val="6"/>
                <w:rFonts w:hint="eastAsia" w:ascii="仿宋" w:hAnsi="仿宋" w:eastAsia="仿宋" w:cs="Times New Roman"/>
                <w:szCs w:val="21"/>
              </w:rPr>
              <w:t>≥</w:t>
            </w:r>
            <w:r>
              <w:rPr>
                <w:rStyle w:val="6"/>
                <w:rFonts w:hint="eastAsia" w:ascii="宋体" w:hAnsi="宋体" w:eastAsia="宋体" w:cs="Times New Roman"/>
                <w:szCs w:val="21"/>
              </w:rPr>
              <w:t>2Mbps（分辨率为1280×720）的视频流压缩后码率</w:t>
            </w:r>
            <w:r>
              <w:rPr>
                <w:rStyle w:val="6"/>
                <w:rFonts w:hint="eastAsia" w:ascii="仿宋" w:hAnsi="仿宋" w:eastAsia="仿宋" w:cs="Times New Roman"/>
                <w:szCs w:val="21"/>
              </w:rPr>
              <w:t>≤</w:t>
            </w:r>
            <w:r>
              <w:rPr>
                <w:rStyle w:val="6"/>
                <w:rFonts w:hint="eastAsia" w:ascii="宋体" w:hAnsi="宋体" w:eastAsia="宋体" w:cs="Times New Roman"/>
                <w:szCs w:val="21"/>
              </w:rPr>
              <w:t>100Kbps，码率压缩比</w:t>
            </w:r>
            <w:r>
              <w:rPr>
                <w:rStyle w:val="6"/>
                <w:rFonts w:hint="eastAsia" w:ascii="仿宋" w:hAnsi="仿宋" w:eastAsia="仿宋" w:cs="Times New Roman"/>
                <w:szCs w:val="21"/>
              </w:rPr>
              <w:t>≥</w:t>
            </w:r>
            <w:r>
              <w:rPr>
                <w:rStyle w:val="6"/>
                <w:rFonts w:hint="eastAsia" w:ascii="宋体" w:hAnsi="宋体" w:eastAsia="宋体" w:cs="Times New Roman"/>
                <w:szCs w:val="21"/>
              </w:rPr>
              <w:t>95%；压缩后码流滞后于压缩前码流的时间</w:t>
            </w:r>
            <w:r>
              <w:rPr>
                <w:rStyle w:val="6"/>
                <w:rFonts w:hint="eastAsia" w:ascii="仿宋" w:hAnsi="仿宋" w:eastAsia="仿宋" w:cs="Times New Roman"/>
                <w:szCs w:val="21"/>
              </w:rPr>
              <w:t>≤</w:t>
            </w:r>
            <w:r>
              <w:rPr>
                <w:rStyle w:val="6"/>
                <w:rFonts w:hint="eastAsia" w:ascii="宋体" w:hAnsi="宋体" w:eastAsia="宋体" w:cs="Times New Roman"/>
                <w:szCs w:val="21"/>
              </w:rPr>
              <w:t>80ms;（码率压缩比=（压缩前码率-压缩后码率）/压缩前码率×100%）。</w:t>
            </w:r>
          </w:p>
          <w:p w14:paraId="7DB8799A">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3、系统可查看整机最大支持压缩路数、剩余压缩路数，可查看样机接入的原始码流、压缩码流大小。可查看所有配置压缩通道信息，包含压缩类型、原始码率、原始分辨率、压缩码率、压缩分辨、压缩状态。支持通过过滤压缩类型、压缩状态等字段快速查看通道运行情况。</w:t>
            </w:r>
          </w:p>
          <w:p w14:paraId="5D4ED7C4">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 xml:space="preserve">4、支持对普通录像、事件录像设置不同的压缩存储模式，支持普通录像设置压缩下载，事件录像采用非压缩下载进行混合存储。对录像时间段同时存在压缩与非压缩录像进行回放或下载时录像连续，无跳秒现象。普通录像回放时支持普通回放或压缩回放，支持单倍速或多倍速回放。普通录像下载时支持普通下载或压缩下载。 </w:t>
            </w:r>
          </w:p>
          <w:p w14:paraId="50DDE30C">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5、 视频压缩文件经过再次压缩后的压缩倍率</w:t>
            </w:r>
            <w:r>
              <w:rPr>
                <w:rStyle w:val="6"/>
                <w:rFonts w:hint="eastAsia" w:ascii="仿宋" w:hAnsi="仿宋" w:eastAsia="仿宋" w:cs="Times New Roman"/>
                <w:szCs w:val="21"/>
              </w:rPr>
              <w:t>≥</w:t>
            </w:r>
            <w:r>
              <w:rPr>
                <w:rStyle w:val="6"/>
                <w:rFonts w:hint="eastAsia" w:ascii="宋体" w:hAnsi="宋体" w:eastAsia="宋体" w:cs="Times New Roman"/>
                <w:szCs w:val="21"/>
              </w:rPr>
              <w:t>12倍，压缩前后视频文件的帧率、分辨率、时长保持一致，图像峰值信噪比 PSNR≥32.5dB ，结构相似度SSIM≥0.95。</w:t>
            </w:r>
          </w:p>
          <w:p w14:paraId="57571C58">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二、性能参数要求：</w:t>
            </w:r>
          </w:p>
          <w:p w14:paraId="15C69352">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1、设备≤6U，盘位≥48；1+1冗余电源；内置</w:t>
            </w:r>
            <w:bookmarkStart w:id="9" w:name="OLE_LINK2"/>
            <w:r>
              <w:rPr>
                <w:rStyle w:val="6"/>
                <w:rFonts w:hint="eastAsia" w:ascii="宋体" w:hAnsi="宋体" w:eastAsia="宋体" w:cs="Times New Roman"/>
                <w:szCs w:val="21"/>
              </w:rPr>
              <w:t>国产智能模块≥</w:t>
            </w:r>
            <w:bookmarkEnd w:id="9"/>
            <w:r>
              <w:rPr>
                <w:rStyle w:val="6"/>
                <w:rFonts w:hint="eastAsia" w:ascii="宋体" w:hAnsi="宋体" w:eastAsia="宋体" w:cs="Times New Roman"/>
                <w:szCs w:val="21"/>
              </w:rPr>
              <w:t>40颗；单颗国产智能模块1080p压缩存储≥16路，400万压缩存储≥8路</w:t>
            </w:r>
          </w:p>
          <w:p w14:paraId="7108F679">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2、支持前端接入、存储、转发≥768路（1536 Mbps），网络回放≥32路（64 Mbps）；</w:t>
            </w:r>
          </w:p>
          <w:p w14:paraId="72E716B8">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3、具有控制单元≥1个，64位8核处理器≥1个，主频≥3.0GHz，内存≥32GB，并可扩展≥128GB。固态硬盘≥256GB SSD，可扩展</w:t>
            </w:r>
            <w:bookmarkStart w:id="10" w:name="OLE_LINK1"/>
            <w:r>
              <w:rPr>
                <w:rStyle w:val="6"/>
                <w:rFonts w:hint="eastAsia" w:ascii="宋体" w:hAnsi="宋体" w:eastAsia="宋体" w:cs="Times New Roman"/>
                <w:szCs w:val="21"/>
              </w:rPr>
              <w:t>≥</w:t>
            </w:r>
            <w:bookmarkEnd w:id="10"/>
            <w:r>
              <w:rPr>
                <w:rStyle w:val="6"/>
                <w:rFonts w:hint="eastAsia" w:ascii="宋体" w:hAnsi="宋体" w:eastAsia="宋体" w:cs="Times New Roman"/>
                <w:szCs w:val="21"/>
              </w:rPr>
              <w:t>3个256GB SSD固态硬盘。</w:t>
            </w:r>
          </w:p>
        </w:tc>
        <w:tc>
          <w:tcPr>
            <w:tcW w:w="459" w:type="dxa"/>
            <w:noWrap w:val="0"/>
            <w:vAlign w:val="center"/>
          </w:tcPr>
          <w:p w14:paraId="2C20EF44">
            <w:pPr>
              <w:pStyle w:val="13"/>
              <w:jc w:val="center"/>
              <w:rPr>
                <w:rStyle w:val="6"/>
                <w:rFonts w:hint="eastAsia" w:ascii="宋体" w:hAnsi="宋体" w:eastAsia="宋体" w:cs="Times New Roman"/>
                <w:szCs w:val="21"/>
              </w:rPr>
            </w:pPr>
            <w:r>
              <w:rPr>
                <w:rStyle w:val="6"/>
                <w:rFonts w:hint="eastAsia" w:ascii="宋体" w:hAnsi="宋体" w:eastAsia="宋体" w:cs="Times New Roman"/>
                <w:szCs w:val="21"/>
              </w:rPr>
              <w:t>套</w:t>
            </w:r>
          </w:p>
        </w:tc>
        <w:tc>
          <w:tcPr>
            <w:tcW w:w="0" w:type="auto"/>
            <w:noWrap w:val="0"/>
            <w:vAlign w:val="center"/>
          </w:tcPr>
          <w:p w14:paraId="14A44419">
            <w:pPr>
              <w:pStyle w:val="13"/>
              <w:jc w:val="center"/>
              <w:rPr>
                <w:rStyle w:val="6"/>
                <w:rFonts w:hint="eastAsia" w:ascii="宋体" w:hAnsi="宋体" w:eastAsia="宋体" w:cs="Times New Roman"/>
                <w:szCs w:val="21"/>
              </w:rPr>
            </w:pPr>
            <w:r>
              <w:rPr>
                <w:rStyle w:val="6"/>
                <w:rFonts w:hint="eastAsia" w:ascii="宋体" w:hAnsi="宋体" w:eastAsia="宋体" w:cs="Times New Roman"/>
                <w:szCs w:val="21"/>
              </w:rPr>
              <w:t>2</w:t>
            </w:r>
          </w:p>
        </w:tc>
      </w:tr>
      <w:tr w14:paraId="2272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18DF8A65">
            <w:pPr>
              <w:pStyle w:val="13"/>
              <w:jc w:val="center"/>
              <w:rPr>
                <w:rStyle w:val="6"/>
                <w:rFonts w:hint="eastAsia" w:ascii="宋体" w:hAnsi="宋体" w:eastAsia="宋体" w:cs="Times New Roman"/>
                <w:szCs w:val="21"/>
              </w:rPr>
            </w:pPr>
            <w:r>
              <w:rPr>
                <w:rStyle w:val="6"/>
                <w:rFonts w:hint="eastAsia" w:ascii="宋体" w:hAnsi="宋体" w:eastAsia="宋体" w:cs="Times New Roman"/>
                <w:szCs w:val="21"/>
              </w:rPr>
              <w:t>2</w:t>
            </w:r>
          </w:p>
        </w:tc>
        <w:tc>
          <w:tcPr>
            <w:tcW w:w="0" w:type="auto"/>
            <w:noWrap w:val="0"/>
            <w:vAlign w:val="center"/>
          </w:tcPr>
          <w:p w14:paraId="3CBDE74B">
            <w:pPr>
              <w:pStyle w:val="13"/>
              <w:jc w:val="center"/>
              <w:rPr>
                <w:rStyle w:val="6"/>
                <w:rFonts w:ascii="宋体" w:hAnsi="宋体" w:eastAsia="宋体" w:cs="Times New Roman"/>
                <w:szCs w:val="21"/>
              </w:rPr>
            </w:pPr>
            <w:r>
              <w:rPr>
                <w:rStyle w:val="6"/>
                <w:rFonts w:ascii="宋体" w:hAnsi="宋体" w:eastAsia="宋体" w:cs="Times New Roman"/>
                <w:szCs w:val="21"/>
              </w:rPr>
              <w:t>校园安全智能预警系统</w:t>
            </w:r>
          </w:p>
        </w:tc>
        <w:tc>
          <w:tcPr>
            <w:tcW w:w="7574" w:type="dxa"/>
            <w:noWrap w:val="0"/>
            <w:vAlign w:val="center"/>
          </w:tcPr>
          <w:p w14:paraId="1FBD5835">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一、功能参数要求：</w:t>
            </w:r>
          </w:p>
          <w:p w14:paraId="313A4E5F">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1、支持按需加载≥25种智能算法，全方位，无死角对危险情况预警，守护校园安全。包括：校门口的陌生人徘徊、公共场所的打架斗殴、独处、人员轨迹、教学楼道的奔跑、跌倒、实验室重点区域的人员滞留、区域入侵、操场或体育馆的物品遗留等；</w:t>
            </w:r>
          </w:p>
          <w:p w14:paraId="31FC8ABD">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2、具有独处行为、拌线入侵、区域入侵、打架斗殴、跌倒行为检测， 并可抓拍关联人脸、识别异常行为和识别人员身份信息，当触发事件报警时，可在预览界面实时弹出报警窗口、报警面板滚动展示报警信息、 报警中心实时展示报警信息并可查看详情；可按事件类型查看报警记录，报警记录展示异常行为报警信息、抓拍人脸图、身份比对人脸图， 可联动录像、抓图、蜂鸣 邮件、报警上传、本地报警输出、 远程报警输出、远程语音、远程警戒灯、门禁、音频、预置点（云台）以及日志记录；</w:t>
            </w:r>
          </w:p>
          <w:p w14:paraId="0717B316">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3、支持利用大模型进行算法生成以及配置预警功能，输入指定文本可自定义生成算法，可选择通道部署自定义算法模型，实现定时抓图/事件图片分析，相似度达到阈值时及时触发报警，支持联动录像抓图、蜂鸣报警、预置点、邮件、本地报警输出、IPC 报警输出、门禁、语音提示以及日志记录；</w:t>
            </w:r>
          </w:p>
          <w:p w14:paraId="4075F63D">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4、支持以图搜图，支持批量上人脸图片</w:t>
            </w:r>
            <w:bookmarkStart w:id="11" w:name="OLE_LINK3"/>
            <w:r>
              <w:rPr>
                <w:rStyle w:val="6"/>
                <w:rFonts w:hint="eastAsia" w:ascii="宋体" w:hAnsi="宋体" w:eastAsia="宋体" w:cs="Times New Roman"/>
                <w:szCs w:val="21"/>
              </w:rPr>
              <w:t>≥</w:t>
            </w:r>
            <w:bookmarkEnd w:id="11"/>
            <w:r>
              <w:rPr>
                <w:rStyle w:val="6"/>
                <w:rFonts w:hint="eastAsia" w:ascii="宋体" w:hAnsi="宋体" w:eastAsia="宋体" w:cs="Times New Roman"/>
                <w:szCs w:val="21"/>
              </w:rPr>
              <w:t>50 张，并同时对目标人脸进行相似图片搜索≥10 张；支持智能关联可信度高的人脸图片进行二次检索，将关联的人脸和人体的以图搜图的结果同时显示；</w:t>
            </w:r>
          </w:p>
          <w:p w14:paraId="694F4058">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5、具有同行伴随搜索功能，可对照片/视频中的多人图像进行同行搜索，可识别同行人员、路径等；可搜索周期时段≥30天内的数据；可对搜索结果中人员的身份信息进行确认，并在界面展示人像库对应的身份信息；</w:t>
            </w:r>
          </w:p>
          <w:p w14:paraId="28A532CE">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6、可接入普通相机，配置应用视觉大模型，可对各类设备运行状态进行检测；可自定义创建算法，最多可创建算法≥64个，可对算法进行管理，并可按通道快速应用部署；可对指定设备进行跟踪并识别运行状态，运行状态包括运动报警、静止报警、运动到静止报警、静止到运动报警， 当触发事件报警，可在界面实时弹出报警窗口、报警面板滚动展示报警信息、报警中心实时展示报警信息并可查看详情，可按事件类型和状态报警类型进行查看报警记录，可联动录像、抓图、蜂鸣、邮件、报警上传、本地报警输出、远程报警输出、远程语音、远程警戒灯、门禁、音频、预置点（云台）以及日志记录；</w:t>
            </w:r>
          </w:p>
          <w:p w14:paraId="5491284A">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二、性能参数要求：</w:t>
            </w:r>
          </w:p>
          <w:p w14:paraId="216EF12E">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1、SATA盘位≥12个，单盘最大支持≥24TB；</w:t>
            </w:r>
          </w:p>
          <w:p w14:paraId="60AEA731">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2、H.264/H.265混合接入≥256路，网络带宽接入≥768Mbps；存储≥768Mbps；转发≥768Mbps；</w:t>
            </w:r>
          </w:p>
          <w:p w14:paraId="2FDA69D1">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3、VGA输出配置≥1路，USB接口≥4个，RS-232接口≥1个，RS-485接口≥1个；</w:t>
            </w:r>
          </w:p>
          <w:p w14:paraId="2EADCFC5">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4、10/100/1000/2500Mbps自适应以太网口≥4个；</w:t>
            </w:r>
          </w:p>
          <w:p w14:paraId="0BE4AEBD">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5、内置国产化GPU芯片算力≥264TOPS（INT8），频率≥1.7GHz</w:t>
            </w:r>
          </w:p>
        </w:tc>
        <w:tc>
          <w:tcPr>
            <w:tcW w:w="459" w:type="dxa"/>
            <w:noWrap w:val="0"/>
            <w:vAlign w:val="center"/>
          </w:tcPr>
          <w:p w14:paraId="7D3849AB">
            <w:pPr>
              <w:pStyle w:val="13"/>
              <w:jc w:val="center"/>
              <w:rPr>
                <w:rStyle w:val="6"/>
                <w:rFonts w:hint="eastAsia" w:ascii="宋体" w:hAnsi="宋体" w:eastAsia="宋体" w:cs="Times New Roman"/>
                <w:szCs w:val="21"/>
              </w:rPr>
            </w:pPr>
            <w:r>
              <w:rPr>
                <w:rStyle w:val="6"/>
                <w:rFonts w:hint="eastAsia" w:ascii="宋体" w:hAnsi="宋体" w:eastAsia="宋体" w:cs="Times New Roman"/>
                <w:szCs w:val="21"/>
              </w:rPr>
              <w:t>套</w:t>
            </w:r>
          </w:p>
        </w:tc>
        <w:tc>
          <w:tcPr>
            <w:tcW w:w="0" w:type="auto"/>
            <w:noWrap w:val="0"/>
            <w:vAlign w:val="center"/>
          </w:tcPr>
          <w:p w14:paraId="049D6C93">
            <w:pPr>
              <w:pStyle w:val="13"/>
              <w:jc w:val="center"/>
              <w:rPr>
                <w:rStyle w:val="6"/>
                <w:rFonts w:hint="eastAsia" w:ascii="宋体" w:hAnsi="宋体" w:eastAsia="宋体" w:cs="Times New Roman"/>
                <w:szCs w:val="21"/>
              </w:rPr>
            </w:pPr>
            <w:r>
              <w:rPr>
                <w:rStyle w:val="6"/>
                <w:rFonts w:hint="eastAsia" w:ascii="宋体" w:hAnsi="宋体" w:eastAsia="宋体" w:cs="Times New Roman"/>
                <w:szCs w:val="21"/>
              </w:rPr>
              <w:t>1</w:t>
            </w:r>
          </w:p>
        </w:tc>
      </w:tr>
      <w:tr w14:paraId="5BC3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7996D701">
            <w:pPr>
              <w:pStyle w:val="13"/>
              <w:jc w:val="center"/>
              <w:rPr>
                <w:rStyle w:val="6"/>
                <w:rFonts w:hint="eastAsia" w:ascii="宋体" w:hAnsi="宋体" w:eastAsia="宋体" w:cs="Times New Roman"/>
                <w:szCs w:val="21"/>
              </w:rPr>
            </w:pPr>
            <w:r>
              <w:rPr>
                <w:rStyle w:val="6"/>
                <w:rFonts w:hint="eastAsia" w:ascii="宋体" w:hAnsi="宋体" w:eastAsia="宋体" w:cs="Times New Roman"/>
                <w:szCs w:val="21"/>
              </w:rPr>
              <w:t>3</w:t>
            </w:r>
          </w:p>
        </w:tc>
        <w:tc>
          <w:tcPr>
            <w:tcW w:w="0" w:type="auto"/>
            <w:noWrap w:val="0"/>
            <w:vAlign w:val="center"/>
          </w:tcPr>
          <w:p w14:paraId="2B88A989">
            <w:pPr>
              <w:pStyle w:val="13"/>
              <w:jc w:val="center"/>
              <w:rPr>
                <w:rStyle w:val="6"/>
                <w:rFonts w:hint="eastAsia" w:ascii="宋体" w:hAnsi="宋体" w:eastAsia="宋体" w:cs="Times New Roman"/>
                <w:szCs w:val="21"/>
              </w:rPr>
            </w:pPr>
            <w:r>
              <w:rPr>
                <w:rStyle w:val="6"/>
                <w:rFonts w:ascii="宋体" w:hAnsi="宋体" w:eastAsia="宋体" w:cs="Times New Roman"/>
                <w:szCs w:val="21"/>
              </w:rPr>
              <w:t>企业级硬盘</w:t>
            </w:r>
          </w:p>
        </w:tc>
        <w:tc>
          <w:tcPr>
            <w:tcW w:w="7574" w:type="dxa"/>
            <w:noWrap w:val="0"/>
            <w:vAlign w:val="center"/>
          </w:tcPr>
          <w:p w14:paraId="2EC00BE8">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单盘容量：≥24TB；</w:t>
            </w:r>
          </w:p>
          <w:p w14:paraId="0E3910A9">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缓存：≥512MB；</w:t>
            </w:r>
          </w:p>
          <w:p w14:paraId="26E41AE5">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转速：≥7200RPM；</w:t>
            </w:r>
          </w:p>
          <w:p w14:paraId="7E59E48F">
            <w:pPr>
              <w:pStyle w:val="13"/>
              <w:jc w:val="left"/>
              <w:rPr>
                <w:rStyle w:val="6"/>
                <w:rFonts w:hint="eastAsia" w:ascii="宋体" w:hAnsi="宋体" w:eastAsia="宋体" w:cs="Times New Roman"/>
                <w:szCs w:val="21"/>
              </w:rPr>
            </w:pPr>
            <w:r>
              <w:rPr>
                <w:rStyle w:val="6"/>
                <w:rFonts w:ascii="宋体" w:hAnsi="宋体" w:eastAsia="宋体" w:cs="Times New Roman"/>
                <w:szCs w:val="21"/>
              </w:rPr>
              <w:t>硬盘接口：SATA</w:t>
            </w:r>
          </w:p>
        </w:tc>
        <w:tc>
          <w:tcPr>
            <w:tcW w:w="459" w:type="dxa"/>
            <w:noWrap w:val="0"/>
            <w:vAlign w:val="center"/>
          </w:tcPr>
          <w:p w14:paraId="29B92BD1">
            <w:pPr>
              <w:pStyle w:val="13"/>
              <w:jc w:val="center"/>
              <w:rPr>
                <w:rStyle w:val="6"/>
                <w:rFonts w:hint="eastAsia" w:ascii="宋体" w:hAnsi="宋体" w:eastAsia="宋体" w:cs="Times New Roman"/>
                <w:szCs w:val="21"/>
              </w:rPr>
            </w:pPr>
            <w:r>
              <w:rPr>
                <w:rStyle w:val="6"/>
                <w:rFonts w:hint="eastAsia" w:ascii="宋体" w:hAnsi="宋体" w:eastAsia="宋体" w:cs="Times New Roman"/>
                <w:szCs w:val="21"/>
              </w:rPr>
              <w:t>块</w:t>
            </w:r>
          </w:p>
        </w:tc>
        <w:tc>
          <w:tcPr>
            <w:tcW w:w="0" w:type="auto"/>
            <w:noWrap w:val="0"/>
            <w:vAlign w:val="center"/>
          </w:tcPr>
          <w:p w14:paraId="09DE6D6B">
            <w:pPr>
              <w:pStyle w:val="13"/>
              <w:jc w:val="center"/>
              <w:rPr>
                <w:rStyle w:val="6"/>
                <w:rFonts w:hint="eastAsia" w:ascii="宋体" w:hAnsi="宋体" w:eastAsia="宋体" w:cs="Times New Roman"/>
                <w:szCs w:val="21"/>
              </w:rPr>
            </w:pPr>
            <w:r>
              <w:rPr>
                <w:rStyle w:val="6"/>
                <w:rFonts w:hint="eastAsia" w:ascii="宋体" w:hAnsi="宋体" w:eastAsia="宋体" w:cs="Times New Roman"/>
                <w:szCs w:val="21"/>
              </w:rPr>
              <w:t>48</w:t>
            </w:r>
          </w:p>
        </w:tc>
      </w:tr>
      <w:tr w14:paraId="32EBE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3CCA99BA">
            <w:pPr>
              <w:pStyle w:val="13"/>
              <w:jc w:val="center"/>
              <w:rPr>
                <w:rStyle w:val="6"/>
                <w:rFonts w:hint="eastAsia" w:ascii="宋体" w:hAnsi="宋体" w:eastAsia="宋体" w:cs="Times New Roman"/>
                <w:szCs w:val="21"/>
              </w:rPr>
            </w:pPr>
            <w:r>
              <w:rPr>
                <w:rStyle w:val="6"/>
                <w:rFonts w:hint="eastAsia" w:ascii="宋体" w:hAnsi="宋体" w:eastAsia="宋体" w:cs="Times New Roman"/>
                <w:szCs w:val="21"/>
              </w:rPr>
              <w:t>4</w:t>
            </w:r>
          </w:p>
        </w:tc>
        <w:tc>
          <w:tcPr>
            <w:tcW w:w="0" w:type="auto"/>
            <w:noWrap w:val="0"/>
            <w:vAlign w:val="center"/>
          </w:tcPr>
          <w:p w14:paraId="5FFAD794">
            <w:pPr>
              <w:pStyle w:val="13"/>
              <w:jc w:val="center"/>
              <w:rPr>
                <w:rStyle w:val="6"/>
                <w:rFonts w:hint="eastAsia" w:ascii="宋体" w:hAnsi="宋体" w:eastAsia="宋体" w:cs="Times New Roman"/>
                <w:szCs w:val="21"/>
              </w:rPr>
            </w:pPr>
            <w:r>
              <w:rPr>
                <w:rStyle w:val="6"/>
                <w:rFonts w:ascii="宋体" w:hAnsi="宋体" w:eastAsia="宋体" w:cs="Times New Roman"/>
                <w:szCs w:val="21"/>
              </w:rPr>
              <w:t>校园安全业务融合管理系统</w:t>
            </w:r>
          </w:p>
        </w:tc>
        <w:tc>
          <w:tcPr>
            <w:tcW w:w="7574" w:type="dxa"/>
            <w:noWrap w:val="0"/>
            <w:vAlign w:val="top"/>
          </w:tcPr>
          <w:p w14:paraId="009440D8">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一、功能参数要求：</w:t>
            </w:r>
          </w:p>
          <w:p w14:paraId="43C1CD25">
            <w:pPr>
              <w:pStyle w:val="13"/>
              <w:wordWrap w:val="0"/>
              <w:jc w:val="left"/>
              <w:rPr>
                <w:rStyle w:val="6"/>
                <w:rFonts w:hint="eastAsia" w:ascii="宋体" w:hAnsi="宋体" w:eastAsia="宋体" w:cs="Times New Roman"/>
                <w:b/>
                <w:bCs/>
                <w:szCs w:val="21"/>
              </w:rPr>
            </w:pPr>
            <w:r>
              <w:rPr>
                <w:rStyle w:val="6"/>
                <w:rFonts w:hint="eastAsia" w:ascii="宋体" w:hAnsi="宋体" w:eastAsia="宋体" w:cs="Times New Roman"/>
                <w:szCs w:val="21"/>
              </w:rPr>
              <w:t>1、对接学校现有智慧校园综合安防服务平台</w:t>
            </w:r>
            <w:r>
              <w:rPr>
                <w:rStyle w:val="6"/>
                <w:rFonts w:ascii="宋体" w:hAnsi="宋体" w:eastAsia="宋体" w:cs="Times New Roman"/>
                <w:szCs w:val="21"/>
              </w:rPr>
              <w:t>（型号：大华/DH-ICC-U8000-YZ）</w:t>
            </w:r>
            <w:r>
              <w:rPr>
                <w:rStyle w:val="6"/>
                <w:rFonts w:hint="eastAsia" w:ascii="宋体" w:hAnsi="宋体" w:eastAsia="宋体" w:cs="Times New Roman"/>
                <w:szCs w:val="21"/>
              </w:rPr>
              <w:t>，搭配现有校园智慧安防设备实现校园安全智能预警业务功能及系统的建设；</w:t>
            </w:r>
            <w:r>
              <w:rPr>
                <w:rStyle w:val="6"/>
                <w:rFonts w:hint="eastAsia" w:ascii="宋体" w:hAnsi="宋体" w:eastAsia="宋体" w:cs="Times New Roman"/>
                <w:b w:val="0"/>
                <w:bCs w:val="0"/>
                <w:szCs w:val="21"/>
              </w:rPr>
              <w:t>（</w:t>
            </w:r>
            <w:r>
              <w:rPr>
                <w:rStyle w:val="6"/>
                <w:rFonts w:hint="eastAsia" w:ascii="Calibri" w:hAnsi="Calibri" w:eastAsia="宋体" w:cs="Times New Roman"/>
                <w:b w:val="0"/>
                <w:bCs w:val="0"/>
              </w:rPr>
              <w:t>需提供与</w:t>
            </w:r>
            <w:r>
              <w:rPr>
                <w:rStyle w:val="6"/>
                <w:rFonts w:hint="eastAsia" w:ascii="宋体" w:hAnsi="宋体" w:eastAsia="宋体" w:cs="Times New Roman"/>
                <w:b w:val="0"/>
                <w:bCs w:val="0"/>
                <w:szCs w:val="21"/>
              </w:rPr>
              <w:t>学校现有智慧校园综合安防服务平台</w:t>
            </w:r>
            <w:r>
              <w:rPr>
                <w:rStyle w:val="6"/>
                <w:rFonts w:hint="eastAsia" w:ascii="Calibri" w:hAnsi="Calibri" w:eastAsia="宋体" w:cs="Times New Roman"/>
                <w:b w:val="0"/>
                <w:bCs w:val="0"/>
              </w:rPr>
              <w:t>实现对接承诺函并加盖投标人公章。）</w:t>
            </w:r>
          </w:p>
          <w:p w14:paraId="68355E54">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2、重点人员识别：</w:t>
            </w:r>
          </w:p>
          <w:p w14:paraId="551F73AF">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（1）预警信息查询，支持展示未匹配到人员信息的预警信息，并支持通过和预警时间和事件类型对该预警类型进行筛选。筛选结果展示预警信息，包括：信息抓图、预警时间、事件类型；</w:t>
            </w:r>
          </w:p>
          <w:p w14:paraId="2FD35D54">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（2）支持通过前、后设置对应的秒数，实现搜索前后秒数预警起止时间内全部预警信息，筛选出对应的预警信息；</w:t>
            </w:r>
          </w:p>
          <w:p w14:paraId="1658C641">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（3）支持展示备选人员（学生）。支持通过所属组织、姓名和学号检索人员。人员信息展示包括：姓名、所属组织、学号；</w:t>
            </w:r>
          </w:p>
          <w:p w14:paraId="542349BE">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（4）支持将对应预警信息关联对应人员。选择后点击“筛选完毕”，备选人员和预警信息建立关联；</w:t>
            </w:r>
          </w:p>
          <w:p w14:paraId="25489C1E">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3、重点关注点位：</w:t>
            </w:r>
          </w:p>
          <w:p w14:paraId="3CB77C17">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（1）支持设置事件（预警）类型关联点位（通道）的扣分分值，支持设置预警事件去重时间间隔（设置的时间间隔范围内，不对同一点位/通道进行相同预警类型的重复扣分）；</w:t>
            </w:r>
          </w:p>
          <w:p w14:paraId="7564884E">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（2）支持重点点位活跃度设置，支持设置点位（通道）评分周期，周期调整后第二天生效，周期结束后区域统计分值初始化（初始分值</w:t>
            </w:r>
            <w:r>
              <w:rPr>
                <w:rStyle w:val="6"/>
                <w:rFonts w:hint="eastAsia" w:ascii="仿宋" w:hAnsi="仿宋" w:eastAsia="仿宋" w:cs="Times New Roman"/>
                <w:szCs w:val="21"/>
              </w:rPr>
              <w:t>≥</w:t>
            </w:r>
            <w:r>
              <w:rPr>
                <w:rStyle w:val="6"/>
                <w:rFonts w:hint="eastAsia" w:ascii="宋体" w:hAnsi="宋体" w:eastAsia="宋体" w:cs="Times New Roman"/>
                <w:szCs w:val="21"/>
              </w:rPr>
              <w:t>100）；支持设置不同状态下对应分值的范围，状态包括：正常点位、低风险点位、高风险点位；支持自定义设置为“重点点位”分值范围；</w:t>
            </w:r>
          </w:p>
          <w:p w14:paraId="2EB80915">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4、支持增加智能预警订阅的内容包括：预警类型（自定义新增）、同步报警类型（支持报警类型筛选和报警类型重命名）、驾驶舱数据统计开关、是否预警处理开关、预警等级选择、任务等级选择、录像回放时间设置、人员等；</w:t>
            </w:r>
          </w:p>
          <w:p w14:paraId="7103C818">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二、性能参数要求：</w:t>
            </w:r>
          </w:p>
          <w:p w14:paraId="035050F8">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1、ARM架构国产化CPU≥1颗，核数≥24核，主频≥2.5GHz；</w:t>
            </w:r>
          </w:p>
          <w:p w14:paraId="1E273381">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2、内存≥128G（4根32G DDR4 ECC内存条），DDR4 DIMM插槽≥4个；3.5吋SATA热插拔机械硬盘≥2块，容量≥4T并可扩展；</w:t>
            </w:r>
          </w:p>
          <w:p w14:paraId="0B7B53C4">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3、网络接口：GE电口≥4个，10GE光口≥4个；900W交流电源模块≥2个并支持1+1冗余；热拔插风扇≥4个并支持N+1冗余；PCIe4.0 PCIe接口≥5个；</w:t>
            </w:r>
          </w:p>
          <w:p w14:paraId="1AF732B6">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4、RAID卡：无缓存，支持RAID 0/1/10。</w:t>
            </w:r>
          </w:p>
        </w:tc>
        <w:tc>
          <w:tcPr>
            <w:tcW w:w="459" w:type="dxa"/>
            <w:noWrap w:val="0"/>
            <w:vAlign w:val="center"/>
          </w:tcPr>
          <w:p w14:paraId="329E9C33">
            <w:pPr>
              <w:pStyle w:val="13"/>
              <w:jc w:val="center"/>
              <w:rPr>
                <w:rStyle w:val="6"/>
                <w:rFonts w:hint="eastAsia" w:ascii="宋体" w:hAnsi="宋体" w:eastAsia="宋体" w:cs="Times New Roman"/>
                <w:szCs w:val="21"/>
              </w:rPr>
            </w:pPr>
            <w:r>
              <w:rPr>
                <w:rStyle w:val="6"/>
                <w:rFonts w:hint="eastAsia" w:ascii="宋体" w:hAnsi="宋体" w:eastAsia="宋体" w:cs="Times New Roman"/>
                <w:szCs w:val="21"/>
              </w:rPr>
              <w:t>套</w:t>
            </w:r>
          </w:p>
        </w:tc>
        <w:tc>
          <w:tcPr>
            <w:tcW w:w="0" w:type="auto"/>
            <w:noWrap w:val="0"/>
            <w:vAlign w:val="center"/>
          </w:tcPr>
          <w:p w14:paraId="5419301B">
            <w:pPr>
              <w:pStyle w:val="13"/>
              <w:jc w:val="center"/>
              <w:rPr>
                <w:rStyle w:val="6"/>
                <w:rFonts w:hint="eastAsia" w:ascii="宋体" w:hAnsi="宋体" w:eastAsia="宋体" w:cs="Times New Roman"/>
                <w:szCs w:val="21"/>
              </w:rPr>
            </w:pPr>
            <w:r>
              <w:rPr>
                <w:rStyle w:val="6"/>
                <w:rFonts w:hint="eastAsia" w:ascii="宋体" w:hAnsi="宋体" w:eastAsia="宋体" w:cs="Times New Roman"/>
                <w:szCs w:val="21"/>
              </w:rPr>
              <w:t>1</w:t>
            </w:r>
          </w:p>
        </w:tc>
      </w:tr>
      <w:tr w14:paraId="2B82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100E15B5">
            <w:pPr>
              <w:pStyle w:val="13"/>
              <w:jc w:val="center"/>
              <w:rPr>
                <w:rStyle w:val="6"/>
                <w:rFonts w:hint="eastAsia" w:ascii="宋体" w:hAnsi="宋体" w:eastAsia="宋体" w:cs="Times New Roman"/>
                <w:szCs w:val="21"/>
              </w:rPr>
            </w:pPr>
            <w:r>
              <w:rPr>
                <w:rStyle w:val="6"/>
                <w:rFonts w:hint="eastAsia" w:ascii="宋体" w:hAnsi="宋体" w:eastAsia="宋体" w:cs="Times New Roman"/>
                <w:szCs w:val="21"/>
              </w:rPr>
              <w:t>5</w:t>
            </w:r>
          </w:p>
        </w:tc>
        <w:tc>
          <w:tcPr>
            <w:tcW w:w="0" w:type="auto"/>
            <w:noWrap w:val="0"/>
            <w:vAlign w:val="center"/>
          </w:tcPr>
          <w:p w14:paraId="24F0F869">
            <w:pPr>
              <w:pStyle w:val="13"/>
              <w:jc w:val="center"/>
              <w:rPr>
                <w:rStyle w:val="6"/>
                <w:rFonts w:hint="eastAsia" w:ascii="宋体" w:hAnsi="宋体" w:eastAsia="宋体" w:cs="Times New Roman"/>
                <w:szCs w:val="21"/>
              </w:rPr>
            </w:pPr>
            <w:r>
              <w:rPr>
                <w:rStyle w:val="6"/>
                <w:rFonts w:ascii="宋体" w:hAnsi="宋体" w:eastAsia="宋体" w:cs="Times New Roman"/>
                <w:szCs w:val="21"/>
              </w:rPr>
              <w:t>辅材</w:t>
            </w:r>
          </w:p>
        </w:tc>
        <w:tc>
          <w:tcPr>
            <w:tcW w:w="7574" w:type="dxa"/>
            <w:noWrap w:val="0"/>
            <w:vAlign w:val="center"/>
          </w:tcPr>
          <w:p w14:paraId="042E8083">
            <w:pPr>
              <w:pStyle w:val="13"/>
              <w:jc w:val="left"/>
              <w:rPr>
                <w:rStyle w:val="6"/>
                <w:rFonts w:hint="eastAsia" w:ascii="宋体" w:hAnsi="宋体" w:eastAsia="宋体" w:cs="Times New Roman"/>
                <w:szCs w:val="21"/>
              </w:rPr>
            </w:pPr>
            <w:r>
              <w:rPr>
                <w:rStyle w:val="6"/>
                <w:rFonts w:hint="eastAsia" w:ascii="宋体" w:hAnsi="宋体" w:eastAsia="宋体" w:cs="Times New Roman"/>
                <w:szCs w:val="21"/>
              </w:rPr>
              <w:t>网络跳线、</w:t>
            </w:r>
            <w:r>
              <w:rPr>
                <w:rStyle w:val="6"/>
                <w:rFonts w:ascii="宋体" w:hAnsi="宋体" w:eastAsia="宋体" w:cs="Times New Roman"/>
                <w:szCs w:val="21"/>
              </w:rPr>
              <w:t>胶布，扎带，水晶头，卡子，接头，软管等</w:t>
            </w:r>
            <w:r>
              <w:rPr>
                <w:rStyle w:val="6"/>
                <w:rFonts w:hint="eastAsia" w:ascii="宋体" w:hAnsi="宋体" w:eastAsia="宋体" w:cs="Times New Roman"/>
                <w:szCs w:val="21"/>
              </w:rPr>
              <w:t>。</w:t>
            </w:r>
          </w:p>
        </w:tc>
        <w:tc>
          <w:tcPr>
            <w:tcW w:w="459" w:type="dxa"/>
            <w:noWrap w:val="0"/>
            <w:vAlign w:val="center"/>
          </w:tcPr>
          <w:p w14:paraId="0E5E651C">
            <w:pPr>
              <w:pStyle w:val="13"/>
              <w:jc w:val="center"/>
              <w:rPr>
                <w:rStyle w:val="6"/>
                <w:rFonts w:hint="eastAsia" w:ascii="宋体" w:hAnsi="宋体" w:eastAsia="宋体" w:cs="Times New Roman"/>
                <w:szCs w:val="21"/>
              </w:rPr>
            </w:pPr>
            <w:r>
              <w:rPr>
                <w:rStyle w:val="6"/>
                <w:rFonts w:hint="eastAsia" w:ascii="宋体" w:hAnsi="宋体" w:eastAsia="宋体" w:cs="Times New Roman"/>
                <w:szCs w:val="21"/>
              </w:rPr>
              <w:t>批</w:t>
            </w:r>
          </w:p>
        </w:tc>
        <w:tc>
          <w:tcPr>
            <w:tcW w:w="0" w:type="auto"/>
            <w:noWrap w:val="0"/>
            <w:vAlign w:val="center"/>
          </w:tcPr>
          <w:p w14:paraId="70529EB0">
            <w:pPr>
              <w:pStyle w:val="13"/>
              <w:jc w:val="center"/>
              <w:rPr>
                <w:rStyle w:val="6"/>
                <w:rFonts w:hint="eastAsia" w:ascii="宋体" w:hAnsi="宋体" w:eastAsia="宋体" w:cs="Times New Roman"/>
                <w:szCs w:val="21"/>
              </w:rPr>
            </w:pPr>
            <w:r>
              <w:rPr>
                <w:rStyle w:val="6"/>
                <w:rFonts w:hint="eastAsia" w:ascii="宋体" w:hAnsi="宋体" w:eastAsia="宋体" w:cs="Times New Roman"/>
                <w:szCs w:val="21"/>
              </w:rPr>
              <w:t>1</w:t>
            </w:r>
          </w:p>
        </w:tc>
      </w:tr>
      <w:tr w14:paraId="354F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10CCE1CC">
            <w:pPr>
              <w:pStyle w:val="13"/>
              <w:jc w:val="center"/>
              <w:rPr>
                <w:rStyle w:val="6"/>
                <w:rFonts w:hint="eastAsia" w:ascii="宋体" w:hAnsi="宋体" w:eastAsia="宋体" w:cs="Times New Roman"/>
                <w:szCs w:val="21"/>
              </w:rPr>
            </w:pPr>
            <w:r>
              <w:rPr>
                <w:rStyle w:val="6"/>
                <w:rFonts w:hint="eastAsia" w:ascii="宋体" w:hAnsi="宋体" w:eastAsia="宋体" w:cs="Times New Roman"/>
                <w:szCs w:val="21"/>
              </w:rPr>
              <w:t>6</w:t>
            </w:r>
          </w:p>
        </w:tc>
        <w:tc>
          <w:tcPr>
            <w:tcW w:w="0" w:type="auto"/>
            <w:noWrap w:val="0"/>
            <w:vAlign w:val="center"/>
          </w:tcPr>
          <w:p w14:paraId="336398DC">
            <w:pPr>
              <w:pStyle w:val="13"/>
              <w:jc w:val="center"/>
              <w:rPr>
                <w:rStyle w:val="6"/>
                <w:rFonts w:ascii="宋体" w:hAnsi="宋体" w:eastAsia="宋体" w:cs="Times New Roman"/>
                <w:szCs w:val="21"/>
              </w:rPr>
            </w:pPr>
            <w:r>
              <w:rPr>
                <w:rStyle w:val="6"/>
                <w:rFonts w:ascii="宋体" w:hAnsi="宋体" w:eastAsia="宋体" w:cs="Times New Roman"/>
                <w:szCs w:val="21"/>
              </w:rPr>
              <w:t>系统安装调试</w:t>
            </w:r>
          </w:p>
        </w:tc>
        <w:tc>
          <w:tcPr>
            <w:tcW w:w="7574" w:type="dxa"/>
            <w:noWrap w:val="0"/>
            <w:vAlign w:val="center"/>
          </w:tcPr>
          <w:p w14:paraId="72DD46CE">
            <w:pPr>
              <w:pStyle w:val="13"/>
              <w:jc w:val="left"/>
              <w:rPr>
                <w:rStyle w:val="6"/>
                <w:rFonts w:hint="eastAsia" w:ascii="宋体" w:hAnsi="宋体" w:eastAsia="宋体" w:cs="Times New Roman"/>
                <w:szCs w:val="21"/>
              </w:rPr>
            </w:pPr>
            <w:r>
              <w:rPr>
                <w:rStyle w:val="6"/>
                <w:rFonts w:ascii="宋体" w:hAnsi="宋体" w:eastAsia="宋体" w:cs="Times New Roman"/>
                <w:szCs w:val="21"/>
              </w:rPr>
              <w:t>含系统点位安装及后端预警系统平台整体调试</w:t>
            </w:r>
          </w:p>
        </w:tc>
        <w:tc>
          <w:tcPr>
            <w:tcW w:w="459" w:type="dxa"/>
            <w:noWrap w:val="0"/>
            <w:vAlign w:val="center"/>
          </w:tcPr>
          <w:p w14:paraId="440EAAE5">
            <w:pPr>
              <w:pStyle w:val="13"/>
              <w:jc w:val="center"/>
              <w:rPr>
                <w:rStyle w:val="6"/>
                <w:rFonts w:hint="eastAsia" w:ascii="宋体" w:hAnsi="宋体" w:eastAsia="宋体" w:cs="Times New Roman"/>
                <w:szCs w:val="21"/>
              </w:rPr>
            </w:pPr>
            <w:r>
              <w:rPr>
                <w:rStyle w:val="6"/>
                <w:rFonts w:hint="eastAsia" w:ascii="宋体" w:hAnsi="宋体" w:eastAsia="宋体" w:cs="Times New Roman"/>
                <w:szCs w:val="21"/>
              </w:rPr>
              <w:t>项</w:t>
            </w:r>
          </w:p>
        </w:tc>
        <w:tc>
          <w:tcPr>
            <w:tcW w:w="0" w:type="auto"/>
            <w:noWrap w:val="0"/>
            <w:vAlign w:val="center"/>
          </w:tcPr>
          <w:p w14:paraId="53908F42">
            <w:pPr>
              <w:pStyle w:val="13"/>
              <w:jc w:val="center"/>
              <w:rPr>
                <w:rStyle w:val="6"/>
                <w:rFonts w:hint="eastAsia" w:ascii="宋体" w:hAnsi="宋体" w:eastAsia="宋体" w:cs="Times New Roman"/>
                <w:szCs w:val="21"/>
              </w:rPr>
            </w:pPr>
            <w:r>
              <w:rPr>
                <w:rStyle w:val="6"/>
                <w:rFonts w:hint="eastAsia" w:ascii="宋体" w:hAnsi="宋体" w:eastAsia="宋体" w:cs="Times New Roman"/>
                <w:szCs w:val="21"/>
              </w:rPr>
              <w:t>1</w:t>
            </w:r>
          </w:p>
        </w:tc>
      </w:tr>
    </w:tbl>
    <w:p w14:paraId="0DA8B900">
      <w:pPr>
        <w:pStyle w:val="8"/>
        <w:jc w:val="center"/>
        <w:rPr>
          <w:rStyle w:val="6"/>
          <w:rFonts w:ascii="黑体" w:hAnsi="黑体" w:eastAsia="黑体"/>
          <w:b/>
          <w:bCs/>
          <w:sz w:val="28"/>
          <w:szCs w:val="28"/>
        </w:rPr>
      </w:pPr>
      <w:r>
        <w:rPr>
          <w:rStyle w:val="6"/>
          <w:rFonts w:hint="eastAsia" w:ascii="黑体" w:hAnsi="黑体" w:eastAsia="黑体"/>
          <w:b/>
          <w:bCs/>
          <w:sz w:val="28"/>
          <w:szCs w:val="28"/>
        </w:rPr>
        <w:br w:type="page"/>
      </w:r>
      <w:r>
        <w:rPr>
          <w:rStyle w:val="6"/>
          <w:rFonts w:hint="eastAsia" w:ascii="黑体" w:hAnsi="黑体" w:eastAsia="黑体"/>
          <w:b/>
          <w:bCs/>
          <w:sz w:val="28"/>
          <w:szCs w:val="28"/>
        </w:rPr>
        <w:t>第三节 商务</w:t>
      </w:r>
      <w:r>
        <w:rPr>
          <w:rStyle w:val="6"/>
          <w:rFonts w:ascii="黑体" w:hAnsi="黑体" w:eastAsia="黑体"/>
          <w:b/>
          <w:bCs/>
          <w:sz w:val="28"/>
          <w:szCs w:val="28"/>
        </w:rPr>
        <w:t>要求</w:t>
      </w:r>
    </w:p>
    <w:p w14:paraId="7A190CA4">
      <w:pPr>
        <w:pStyle w:val="12"/>
        <w:rPr>
          <w:rStyle w:val="6"/>
          <w:b/>
          <w:bCs/>
          <w:color w:val="000080"/>
          <w:szCs w:val="21"/>
          <w:highlight w:val="white"/>
        </w:rPr>
      </w:pPr>
      <w:r>
        <w:rPr>
          <w:rStyle w:val="6"/>
          <w:rFonts w:hint="eastAsia"/>
          <w:b/>
          <w:bCs/>
          <w:color w:val="000080"/>
          <w:szCs w:val="21"/>
          <w:highlight w:val="white"/>
        </w:rPr>
        <w:t xml:space="preserve"> </w:t>
      </w:r>
      <w:bookmarkEnd w:id="5"/>
      <w:r>
        <w:rPr>
          <w:rStyle w:val="6"/>
          <w:rFonts w:hint="eastAsia"/>
          <w:b/>
          <w:bCs/>
          <w:color w:val="000080"/>
          <w:szCs w:val="21"/>
          <w:highlight w:val="white"/>
        </w:rPr>
        <w:t xml:space="preserve"> </w:t>
      </w:r>
      <w:r>
        <w:rPr>
          <w:rStyle w:val="6"/>
          <w:rFonts w:hint="eastAsia"/>
          <w:b/>
          <w:bCs/>
          <w:szCs w:val="21"/>
          <w:highlight w:val="white"/>
        </w:rPr>
        <w:t xml:space="preserve">  一、主要商务要求</w:t>
      </w:r>
    </w:p>
    <w:tbl>
      <w:tblPr>
        <w:tblStyle w:val="5"/>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94"/>
        <w:gridCol w:w="6645"/>
      </w:tblGrid>
      <w:tr w14:paraId="239C66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05" w:hRule="atLeast"/>
          <w:jc w:val="center"/>
        </w:trPr>
        <w:tc>
          <w:tcPr>
            <w:tcW w:w="1994" w:type="dxa"/>
            <w:noWrap w:val="0"/>
            <w:vAlign w:val="center"/>
          </w:tcPr>
          <w:p w14:paraId="0289AAE1">
            <w:pPr>
              <w:pStyle w:val="14"/>
              <w:adjustRightInd w:val="0"/>
              <w:snapToGrid w:val="0"/>
              <w:spacing w:line="360" w:lineRule="auto"/>
              <w:rPr>
                <w:rStyle w:val="6"/>
                <w:rFonts w:ascii="宋体" w:hAnsi="宋体"/>
                <w:szCs w:val="21"/>
              </w:rPr>
            </w:pPr>
            <w:r>
              <w:rPr>
                <w:rStyle w:val="6"/>
                <w:rFonts w:hint="eastAsia" w:ascii="宋体" w:hAnsi="宋体"/>
                <w:szCs w:val="21"/>
              </w:rPr>
              <w:t>甲方名称、地址</w:t>
            </w:r>
          </w:p>
        </w:tc>
        <w:tc>
          <w:tcPr>
            <w:tcW w:w="6645" w:type="dxa"/>
            <w:noWrap w:val="0"/>
            <w:vAlign w:val="center"/>
          </w:tcPr>
          <w:p w14:paraId="5F8839FF">
            <w:pPr>
              <w:pStyle w:val="14"/>
              <w:adjustRightInd w:val="0"/>
              <w:snapToGrid w:val="0"/>
              <w:spacing w:line="360" w:lineRule="auto"/>
              <w:rPr>
                <w:rStyle w:val="6"/>
                <w:rFonts w:ascii="Times New Roman" w:hAnsi="宋体"/>
                <w:szCs w:val="21"/>
              </w:rPr>
            </w:pPr>
            <w:r>
              <w:rPr>
                <w:rStyle w:val="6"/>
                <w:rFonts w:hint="eastAsia" w:ascii="Times New Roman" w:hAnsi="宋体"/>
                <w:bCs/>
                <w:szCs w:val="21"/>
              </w:rPr>
              <w:t>名称：湖南长沙市第一中学</w:t>
            </w:r>
          </w:p>
          <w:p w14:paraId="04A5E5C2">
            <w:pPr>
              <w:pStyle w:val="14"/>
              <w:adjustRightInd w:val="0"/>
              <w:snapToGrid w:val="0"/>
              <w:spacing w:line="360" w:lineRule="auto"/>
              <w:rPr>
                <w:rStyle w:val="6"/>
                <w:rFonts w:ascii="Times New Roman" w:hAnsi="宋体"/>
                <w:szCs w:val="21"/>
              </w:rPr>
            </w:pPr>
            <w:r>
              <w:rPr>
                <w:rStyle w:val="6"/>
                <w:rFonts w:hint="eastAsia" w:ascii="Times New Roman" w:hAnsi="宋体"/>
                <w:szCs w:val="21"/>
              </w:rPr>
              <w:t>地址：长沙市开福区清水塘路81号</w:t>
            </w:r>
          </w:p>
        </w:tc>
      </w:tr>
      <w:tr w14:paraId="61D0FD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1994" w:type="dxa"/>
            <w:noWrap w:val="0"/>
            <w:vAlign w:val="center"/>
          </w:tcPr>
          <w:p w14:paraId="5D6BC317">
            <w:pPr>
              <w:pStyle w:val="14"/>
              <w:adjustRightInd w:val="0"/>
              <w:snapToGrid w:val="0"/>
              <w:spacing w:line="360" w:lineRule="auto"/>
              <w:rPr>
                <w:rStyle w:val="6"/>
                <w:rFonts w:ascii="宋体" w:hAnsi="宋体"/>
                <w:szCs w:val="21"/>
              </w:rPr>
            </w:pPr>
            <w:r>
              <w:rPr>
                <w:rStyle w:val="6"/>
                <w:rFonts w:hint="eastAsia" w:ascii="宋体" w:hAnsi="宋体"/>
                <w:szCs w:val="21"/>
              </w:rPr>
              <w:t>项目现场</w:t>
            </w:r>
          </w:p>
        </w:tc>
        <w:tc>
          <w:tcPr>
            <w:tcW w:w="6645" w:type="dxa"/>
            <w:noWrap w:val="0"/>
            <w:vAlign w:val="center"/>
          </w:tcPr>
          <w:p w14:paraId="3173F0A7">
            <w:pPr>
              <w:pStyle w:val="14"/>
              <w:adjustRightInd w:val="0"/>
              <w:snapToGrid w:val="0"/>
              <w:spacing w:line="360" w:lineRule="auto"/>
              <w:rPr>
                <w:rStyle w:val="6"/>
                <w:rFonts w:ascii="宋体" w:hAnsi="宋体"/>
                <w:szCs w:val="21"/>
                <w:u w:val="single"/>
              </w:rPr>
            </w:pPr>
            <w:r>
              <w:rPr>
                <w:rStyle w:val="6"/>
                <w:rFonts w:hint="eastAsia" w:ascii="Times New Roman" w:hAnsi="宋体"/>
                <w:bCs/>
                <w:szCs w:val="21"/>
              </w:rPr>
              <w:t>湖南省长沙市第一中学</w:t>
            </w:r>
          </w:p>
        </w:tc>
      </w:tr>
      <w:tr w14:paraId="4D1C8A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93" w:hRule="atLeast"/>
          <w:jc w:val="center"/>
        </w:trPr>
        <w:tc>
          <w:tcPr>
            <w:tcW w:w="1994" w:type="dxa"/>
            <w:noWrap w:val="0"/>
            <w:vAlign w:val="center"/>
          </w:tcPr>
          <w:p w14:paraId="131D6052">
            <w:pPr>
              <w:pStyle w:val="14"/>
              <w:adjustRightInd w:val="0"/>
              <w:snapToGrid w:val="0"/>
              <w:spacing w:line="360" w:lineRule="auto"/>
              <w:rPr>
                <w:rStyle w:val="6"/>
                <w:rFonts w:ascii="宋体" w:hAnsi="宋体"/>
                <w:szCs w:val="21"/>
              </w:rPr>
            </w:pPr>
            <w:r>
              <w:rPr>
                <w:rStyle w:val="6"/>
                <w:rFonts w:hint="eastAsia" w:ascii="宋体" w:hAnsi="宋体"/>
                <w:szCs w:val="21"/>
              </w:rPr>
              <w:t>履行合同的时间、地点及方式</w:t>
            </w:r>
          </w:p>
        </w:tc>
        <w:tc>
          <w:tcPr>
            <w:tcW w:w="6645" w:type="dxa"/>
            <w:noWrap w:val="0"/>
            <w:vAlign w:val="center"/>
          </w:tcPr>
          <w:p w14:paraId="7ADD2E27">
            <w:pPr>
              <w:pStyle w:val="14"/>
              <w:spacing w:line="360" w:lineRule="auto"/>
              <w:rPr>
                <w:rStyle w:val="6"/>
                <w:rFonts w:hint="eastAsia" w:ascii="Times New Roman" w:hAnsi="Times New Roman"/>
                <w:szCs w:val="24"/>
              </w:rPr>
            </w:pPr>
            <w:r>
              <w:rPr>
                <w:rStyle w:val="6"/>
                <w:rFonts w:ascii="宋体" w:hAnsi="宋体" w:cs="宋体"/>
                <w:szCs w:val="21"/>
              </w:rPr>
              <w:t>交货时间：</w:t>
            </w:r>
            <w:r>
              <w:rPr>
                <w:rStyle w:val="6"/>
                <w:rFonts w:ascii="Times New Roman" w:hAnsi="Times New Roman"/>
                <w:szCs w:val="24"/>
              </w:rPr>
              <w:t> </w:t>
            </w:r>
            <w:r>
              <w:rPr>
                <w:rStyle w:val="6"/>
                <w:rFonts w:hint="eastAsia" w:ascii="宋体" w:hAnsi="宋体" w:cs="宋体"/>
                <w:szCs w:val="21"/>
              </w:rPr>
              <w:t>签订采购合同后30个日历日内交货并全部安装调试完成且验收合格。</w:t>
            </w:r>
          </w:p>
          <w:p w14:paraId="6A6A5EBA">
            <w:pPr>
              <w:pStyle w:val="14"/>
              <w:spacing w:line="360" w:lineRule="auto"/>
              <w:rPr>
                <w:rStyle w:val="6"/>
                <w:rFonts w:ascii="Times New Roman" w:hAnsi="Times New Roman"/>
                <w:szCs w:val="24"/>
              </w:rPr>
            </w:pPr>
            <w:r>
              <w:rPr>
                <w:rStyle w:val="6"/>
                <w:rFonts w:ascii="宋体" w:hAnsi="宋体" w:cs="宋体"/>
                <w:szCs w:val="21"/>
              </w:rPr>
              <w:t>交货或服务地点：</w:t>
            </w:r>
            <w:r>
              <w:rPr>
                <w:rStyle w:val="6"/>
                <w:rFonts w:ascii="Times New Roman" w:hAnsi="Times New Roman"/>
                <w:szCs w:val="24"/>
              </w:rPr>
              <w:t> </w:t>
            </w:r>
            <w:r>
              <w:rPr>
                <w:rStyle w:val="6"/>
                <w:rFonts w:hint="eastAsia" w:ascii="Times New Roman" w:hAnsi="宋体"/>
                <w:bCs/>
                <w:szCs w:val="21"/>
              </w:rPr>
              <w:t>湖南长沙市第一中学</w:t>
            </w:r>
          </w:p>
          <w:p w14:paraId="1A56E927">
            <w:pPr>
              <w:pStyle w:val="14"/>
              <w:spacing w:line="360" w:lineRule="auto"/>
              <w:rPr>
                <w:rStyle w:val="6"/>
                <w:rFonts w:ascii="宋体" w:hAnsi="宋体"/>
                <w:szCs w:val="21"/>
              </w:rPr>
            </w:pPr>
            <w:r>
              <w:rPr>
                <w:rStyle w:val="6"/>
                <w:rFonts w:ascii="宋体" w:hAnsi="宋体" w:cs="宋体"/>
                <w:szCs w:val="21"/>
              </w:rPr>
              <w:t>交货方式：货到指定地点且</w:t>
            </w:r>
            <w:r>
              <w:rPr>
                <w:rStyle w:val="6"/>
                <w:rFonts w:hint="eastAsia" w:ascii="Times New Roman" w:hAnsi="Times New Roman"/>
                <w:szCs w:val="24"/>
              </w:rPr>
              <w:t>完成全部安装调试，交钥匙项目。</w:t>
            </w:r>
          </w:p>
        </w:tc>
      </w:tr>
      <w:tr w14:paraId="611A25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0" w:hRule="atLeast"/>
          <w:jc w:val="center"/>
        </w:trPr>
        <w:tc>
          <w:tcPr>
            <w:tcW w:w="1994" w:type="dxa"/>
            <w:noWrap w:val="0"/>
            <w:vAlign w:val="center"/>
          </w:tcPr>
          <w:p w14:paraId="6FA33E11">
            <w:pPr>
              <w:pStyle w:val="14"/>
              <w:adjustRightInd w:val="0"/>
              <w:snapToGrid w:val="0"/>
              <w:spacing w:line="360" w:lineRule="auto"/>
              <w:jc w:val="left"/>
              <w:rPr>
                <w:rStyle w:val="6"/>
                <w:rFonts w:ascii="宋体" w:hAnsi="宋体"/>
                <w:szCs w:val="21"/>
              </w:rPr>
            </w:pPr>
            <w:bookmarkStart w:id="12" w:name="OLE_LINK30"/>
            <w:r>
              <w:rPr>
                <w:rStyle w:val="6"/>
                <w:rFonts w:hint="eastAsia" w:ascii="宋体" w:hAnsi="宋体"/>
                <w:szCs w:val="21"/>
              </w:rPr>
              <w:t>质量保证期</w:t>
            </w:r>
            <w:bookmarkEnd w:id="12"/>
          </w:p>
        </w:tc>
        <w:tc>
          <w:tcPr>
            <w:tcW w:w="6645" w:type="dxa"/>
            <w:noWrap w:val="0"/>
            <w:vAlign w:val="center"/>
          </w:tcPr>
          <w:p w14:paraId="37EC8BAD">
            <w:pPr>
              <w:pStyle w:val="14"/>
              <w:autoSpaceDE w:val="0"/>
              <w:autoSpaceDN w:val="0"/>
              <w:adjustRightInd w:val="0"/>
              <w:snapToGrid w:val="0"/>
              <w:spacing w:line="360" w:lineRule="auto"/>
              <w:jc w:val="left"/>
              <w:rPr>
                <w:rStyle w:val="6"/>
                <w:rFonts w:ascii="宋体" w:hAnsi="宋体"/>
                <w:szCs w:val="21"/>
                <w:u w:val="single"/>
              </w:rPr>
            </w:pPr>
            <w:r>
              <w:rPr>
                <w:rStyle w:val="6"/>
                <w:rFonts w:hint="eastAsia" w:ascii="宋体" w:hAnsi="宋体"/>
                <w:szCs w:val="21"/>
              </w:rPr>
              <w:t>项目整体质保三年</w:t>
            </w:r>
          </w:p>
        </w:tc>
      </w:tr>
      <w:tr w14:paraId="438574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6" w:hRule="atLeast"/>
          <w:jc w:val="center"/>
        </w:trPr>
        <w:tc>
          <w:tcPr>
            <w:tcW w:w="1994" w:type="dxa"/>
            <w:noWrap w:val="0"/>
            <w:vAlign w:val="center"/>
          </w:tcPr>
          <w:p w14:paraId="7537EAAE">
            <w:pPr>
              <w:pStyle w:val="14"/>
              <w:adjustRightInd w:val="0"/>
              <w:snapToGrid w:val="0"/>
              <w:spacing w:line="360" w:lineRule="auto"/>
              <w:rPr>
                <w:rStyle w:val="6"/>
                <w:rFonts w:ascii="宋体" w:hAnsi="宋体"/>
                <w:szCs w:val="21"/>
              </w:rPr>
            </w:pPr>
            <w:r>
              <w:rPr>
                <w:rStyle w:val="6"/>
                <w:rFonts w:hint="eastAsia" w:ascii="宋体" w:hAnsi="宋体"/>
                <w:szCs w:val="21"/>
              </w:rPr>
              <w:t>响应时间</w:t>
            </w:r>
          </w:p>
        </w:tc>
        <w:tc>
          <w:tcPr>
            <w:tcW w:w="6645" w:type="dxa"/>
            <w:noWrap w:val="0"/>
            <w:vAlign w:val="center"/>
          </w:tcPr>
          <w:p w14:paraId="41BCEF99">
            <w:pPr>
              <w:pStyle w:val="14"/>
              <w:adjustRightInd w:val="0"/>
              <w:snapToGrid w:val="0"/>
              <w:spacing w:line="360" w:lineRule="auto"/>
              <w:rPr>
                <w:rStyle w:val="6"/>
                <w:rFonts w:ascii="宋体" w:hAnsi="宋体"/>
                <w:szCs w:val="21"/>
                <w:u w:val="single"/>
              </w:rPr>
            </w:pPr>
            <w:r>
              <w:rPr>
                <w:rStyle w:val="6"/>
                <w:rFonts w:ascii="Times New Roman" w:hAnsi="Times New Roman"/>
                <w:szCs w:val="21"/>
              </w:rPr>
              <w:t>接采购人通知后</w:t>
            </w:r>
            <w:r>
              <w:rPr>
                <w:rStyle w:val="6"/>
                <w:rFonts w:hint="eastAsia" w:ascii="Times New Roman" w:hAnsi="Times New Roman"/>
                <w:szCs w:val="21"/>
              </w:rPr>
              <w:t>1</w:t>
            </w:r>
            <w:r>
              <w:rPr>
                <w:rStyle w:val="6"/>
                <w:rFonts w:ascii="Times New Roman" w:hAnsi="Times New Roman"/>
                <w:szCs w:val="21"/>
              </w:rPr>
              <w:t>小时内响应，</w:t>
            </w:r>
            <w:r>
              <w:rPr>
                <w:rStyle w:val="6"/>
                <w:rFonts w:hint="eastAsia" w:ascii="Times New Roman" w:hAnsi="Times New Roman"/>
                <w:szCs w:val="21"/>
              </w:rPr>
              <w:t>2</w:t>
            </w:r>
            <w:r>
              <w:rPr>
                <w:rStyle w:val="6"/>
                <w:rFonts w:ascii="Times New Roman" w:hAnsi="Times New Roman"/>
                <w:szCs w:val="21"/>
              </w:rPr>
              <w:t>小时内到达现场。</w:t>
            </w:r>
          </w:p>
        </w:tc>
      </w:tr>
      <w:tr w14:paraId="51A616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14" w:hRule="atLeast"/>
          <w:jc w:val="center"/>
        </w:trPr>
        <w:tc>
          <w:tcPr>
            <w:tcW w:w="1994" w:type="dxa"/>
            <w:noWrap w:val="0"/>
            <w:vAlign w:val="center"/>
          </w:tcPr>
          <w:p w14:paraId="5EEE07A6">
            <w:pPr>
              <w:pStyle w:val="14"/>
              <w:adjustRightInd w:val="0"/>
              <w:snapToGrid w:val="0"/>
              <w:spacing w:line="360" w:lineRule="auto"/>
              <w:rPr>
                <w:rStyle w:val="6"/>
                <w:rFonts w:ascii="宋体" w:hAnsi="宋体"/>
                <w:szCs w:val="21"/>
              </w:rPr>
            </w:pPr>
            <w:r>
              <w:rPr>
                <w:rStyle w:val="6"/>
                <w:rFonts w:hint="eastAsia" w:ascii="宋体" w:hAnsi="宋体"/>
                <w:szCs w:val="21"/>
              </w:rPr>
              <w:t>合同价款支付方式</w:t>
            </w:r>
            <w:r>
              <w:rPr>
                <w:rStyle w:val="6"/>
                <w:rFonts w:hint="eastAsia" w:ascii="宋体" w:hAnsi="宋体"/>
                <w:bCs/>
                <w:szCs w:val="21"/>
              </w:rPr>
              <w:t>和条件</w:t>
            </w:r>
          </w:p>
        </w:tc>
        <w:tc>
          <w:tcPr>
            <w:tcW w:w="6645" w:type="dxa"/>
            <w:noWrap w:val="0"/>
            <w:vAlign w:val="center"/>
          </w:tcPr>
          <w:p w14:paraId="41F6443B">
            <w:pPr>
              <w:pStyle w:val="14"/>
              <w:spacing w:line="360" w:lineRule="auto"/>
              <w:rPr>
                <w:rStyle w:val="6"/>
                <w:rFonts w:ascii="Times New Roman" w:hAnsi="Times New Roman"/>
                <w:szCs w:val="24"/>
              </w:rPr>
            </w:pPr>
            <w:r>
              <w:rPr>
                <w:rStyle w:val="6"/>
                <w:rFonts w:ascii="宋体" w:hAnsi="宋体" w:cs="宋体"/>
                <w:szCs w:val="21"/>
              </w:rPr>
              <w:t>支付方式：</w:t>
            </w:r>
            <w:r>
              <w:rPr>
                <w:rStyle w:val="6"/>
                <w:rFonts w:ascii="Times New Roman" w:hAnsi="Times New Roman"/>
                <w:szCs w:val="24"/>
              </w:rPr>
              <w:t> </w:t>
            </w:r>
            <w:r>
              <w:rPr>
                <w:rStyle w:val="6"/>
                <w:rFonts w:ascii="宋体" w:hAnsi="宋体" w:cs="宋体"/>
                <w:szCs w:val="21"/>
              </w:rPr>
              <w:t>国库集中支付</w:t>
            </w:r>
          </w:p>
          <w:p w14:paraId="6F62AA37">
            <w:pPr>
              <w:pStyle w:val="14"/>
              <w:adjustRightInd w:val="0"/>
              <w:snapToGrid w:val="0"/>
              <w:spacing w:line="360" w:lineRule="auto"/>
              <w:rPr>
                <w:rStyle w:val="6"/>
                <w:rFonts w:ascii="宋体" w:hAnsi="宋体"/>
                <w:szCs w:val="21"/>
              </w:rPr>
            </w:pPr>
            <w:r>
              <w:rPr>
                <w:rStyle w:val="6"/>
                <w:rFonts w:ascii="宋体" w:hAnsi="宋体" w:cs="宋体"/>
                <w:szCs w:val="21"/>
              </w:rPr>
              <w:t>付款条件：</w:t>
            </w:r>
            <w:r>
              <w:rPr>
                <w:rStyle w:val="6"/>
                <w:rFonts w:hint="eastAsia"/>
              </w:rPr>
              <w:t>交货后凭用户的验收证明单及中标人出具的相关票据15个工作日内支付至合同总金额97%，余款于质保期满（确无质量问题和其它争议）三年后的7个工作日内付清。</w:t>
            </w:r>
          </w:p>
        </w:tc>
      </w:tr>
      <w:tr w14:paraId="036135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4" w:hRule="atLeast"/>
          <w:jc w:val="center"/>
        </w:trPr>
        <w:tc>
          <w:tcPr>
            <w:tcW w:w="1994" w:type="dxa"/>
            <w:noWrap w:val="0"/>
            <w:vAlign w:val="center"/>
          </w:tcPr>
          <w:p w14:paraId="03DAD720">
            <w:pPr>
              <w:pStyle w:val="14"/>
              <w:adjustRightInd w:val="0"/>
              <w:snapToGrid w:val="0"/>
              <w:spacing w:line="360" w:lineRule="auto"/>
              <w:rPr>
                <w:rStyle w:val="6"/>
                <w:rFonts w:ascii="宋体" w:hAnsi="宋体"/>
                <w:szCs w:val="21"/>
              </w:rPr>
            </w:pPr>
            <w:r>
              <w:rPr>
                <w:rStyle w:val="6"/>
                <w:rFonts w:hint="eastAsia" w:ascii="宋体" w:hAnsi="宋体"/>
                <w:szCs w:val="21"/>
              </w:rPr>
              <w:t>乙方提供的其他服务</w:t>
            </w:r>
          </w:p>
        </w:tc>
        <w:tc>
          <w:tcPr>
            <w:tcW w:w="6645" w:type="dxa"/>
            <w:noWrap w:val="0"/>
            <w:vAlign w:val="center"/>
          </w:tcPr>
          <w:p w14:paraId="6304CD23">
            <w:pPr>
              <w:pStyle w:val="14"/>
              <w:adjustRightInd w:val="0"/>
              <w:snapToGrid w:val="0"/>
              <w:spacing w:line="360" w:lineRule="auto"/>
              <w:rPr>
                <w:rStyle w:val="6"/>
                <w:rFonts w:ascii="宋体" w:hAnsi="宋体"/>
                <w:szCs w:val="21"/>
              </w:rPr>
            </w:pPr>
            <w:r>
              <w:rPr>
                <w:rStyle w:val="6"/>
                <w:rFonts w:hint="eastAsia" w:ascii="宋体" w:hAnsi="宋体"/>
                <w:szCs w:val="21"/>
              </w:rPr>
              <w:t>第五章采购需求。</w:t>
            </w:r>
          </w:p>
        </w:tc>
      </w:tr>
      <w:tr w14:paraId="22026C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4" w:hRule="atLeast"/>
          <w:jc w:val="center"/>
        </w:trPr>
        <w:tc>
          <w:tcPr>
            <w:tcW w:w="1994" w:type="dxa"/>
            <w:noWrap w:val="0"/>
            <w:vAlign w:val="center"/>
          </w:tcPr>
          <w:p w14:paraId="744EE626">
            <w:pPr>
              <w:pStyle w:val="14"/>
              <w:adjustRightInd w:val="0"/>
              <w:snapToGrid w:val="0"/>
              <w:spacing w:line="360" w:lineRule="auto"/>
              <w:rPr>
                <w:rStyle w:val="6"/>
                <w:rFonts w:ascii="宋体" w:hAnsi="宋体"/>
                <w:bCs/>
                <w:szCs w:val="21"/>
              </w:rPr>
            </w:pPr>
            <w:r>
              <w:rPr>
                <w:rStyle w:val="6"/>
                <w:rFonts w:hint="eastAsia" w:ascii="宋体" w:hAnsi="宋体"/>
                <w:szCs w:val="21"/>
              </w:rPr>
              <w:t>解决争议的方式</w:t>
            </w:r>
          </w:p>
        </w:tc>
        <w:tc>
          <w:tcPr>
            <w:tcW w:w="6645" w:type="dxa"/>
            <w:noWrap w:val="0"/>
            <w:vAlign w:val="center"/>
          </w:tcPr>
          <w:p w14:paraId="7DEFB0F5">
            <w:pPr>
              <w:pStyle w:val="14"/>
              <w:adjustRightInd w:val="0"/>
              <w:snapToGrid w:val="0"/>
              <w:spacing w:line="360" w:lineRule="auto"/>
              <w:rPr>
                <w:rStyle w:val="6"/>
                <w:rFonts w:ascii="宋体" w:hAnsi="宋体"/>
                <w:szCs w:val="21"/>
              </w:rPr>
            </w:pPr>
            <w:r>
              <w:rPr>
                <w:rStyle w:val="6"/>
                <w:rFonts w:hint="eastAsia" w:ascii="宋体" w:hAnsi="宋体"/>
                <w:szCs w:val="21"/>
              </w:rPr>
              <w:t>□ 诉讼</w:t>
            </w:r>
          </w:p>
          <w:p w14:paraId="6B98CEF3">
            <w:pPr>
              <w:pStyle w:val="14"/>
              <w:adjustRightInd w:val="0"/>
              <w:snapToGrid w:val="0"/>
              <w:spacing w:line="360" w:lineRule="auto"/>
              <w:rPr>
                <w:rStyle w:val="6"/>
                <w:rFonts w:ascii="宋体" w:hAnsi="宋体"/>
                <w:szCs w:val="21"/>
              </w:rPr>
            </w:pPr>
            <w:r>
              <w:rPr>
                <w:rStyle w:val="6"/>
                <w:rFonts w:hint="eastAsia" w:ascii="宋体" w:hAnsi="宋体"/>
                <w:szCs w:val="21"/>
              </w:rPr>
              <w:t>■ 仲裁</w:t>
            </w:r>
          </w:p>
        </w:tc>
      </w:tr>
      <w:tr w14:paraId="3838D6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94" w:type="dxa"/>
            <w:noWrap w:val="0"/>
            <w:vAlign w:val="center"/>
          </w:tcPr>
          <w:p w14:paraId="578F1142">
            <w:pPr>
              <w:pStyle w:val="14"/>
              <w:adjustRightInd w:val="0"/>
              <w:snapToGrid w:val="0"/>
              <w:spacing w:line="360" w:lineRule="auto"/>
              <w:rPr>
                <w:rStyle w:val="6"/>
                <w:rFonts w:ascii="宋体" w:hAnsi="宋体"/>
                <w:szCs w:val="21"/>
              </w:rPr>
            </w:pPr>
            <w:r>
              <w:rPr>
                <w:rStyle w:val="6"/>
                <w:rFonts w:hint="eastAsia" w:ascii="宋体" w:hAnsi="宋体"/>
                <w:bCs/>
                <w:szCs w:val="21"/>
              </w:rPr>
              <w:t>合同未尽事项</w:t>
            </w:r>
          </w:p>
        </w:tc>
        <w:tc>
          <w:tcPr>
            <w:tcW w:w="6645" w:type="dxa"/>
            <w:noWrap w:val="0"/>
            <w:vAlign w:val="center"/>
          </w:tcPr>
          <w:p w14:paraId="79598A2B">
            <w:pPr>
              <w:pStyle w:val="14"/>
              <w:adjustRightInd w:val="0"/>
              <w:snapToGrid w:val="0"/>
              <w:spacing w:line="360" w:lineRule="auto"/>
              <w:rPr>
                <w:rStyle w:val="6"/>
                <w:rFonts w:ascii="宋体" w:hAnsi="宋体"/>
                <w:szCs w:val="21"/>
                <w:u w:val="single"/>
              </w:rPr>
            </w:pPr>
            <w:r>
              <w:rPr>
                <w:rStyle w:val="6"/>
                <w:rFonts w:hint="eastAsia" w:ascii="宋体" w:hAnsi="宋体"/>
                <w:szCs w:val="21"/>
              </w:rPr>
              <w:t>另行约定</w:t>
            </w:r>
          </w:p>
        </w:tc>
      </w:tr>
    </w:tbl>
    <w:p w14:paraId="2B445152">
      <w:pPr>
        <w:pStyle w:val="12"/>
        <w:rPr>
          <w:rStyle w:val="6"/>
          <w:highlight w:val="white"/>
        </w:rPr>
      </w:pPr>
    </w:p>
    <w:p w14:paraId="4775ACCD">
      <w:pPr>
        <w:pStyle w:val="15"/>
        <w:numPr>
          <w:ilvl w:val="0"/>
          <w:numId w:val="3"/>
        </w:numPr>
        <w:spacing w:line="360" w:lineRule="exact"/>
        <w:ind w:firstLine="422" w:firstLineChars="200"/>
        <w:rPr>
          <w:rStyle w:val="6"/>
          <w:rFonts w:hint="eastAsia" w:ascii="宋体" w:hAnsi="宋体" w:cs="宋体"/>
          <w:b/>
          <w:bCs/>
          <w:szCs w:val="21"/>
        </w:rPr>
      </w:pPr>
      <w:r>
        <w:rPr>
          <w:rStyle w:val="6"/>
          <w:rFonts w:hint="eastAsia" w:ascii="宋体" w:hAnsi="宋体" w:cs="宋体"/>
          <w:b/>
          <w:bCs/>
          <w:szCs w:val="21"/>
        </w:rPr>
        <w:t>质量标准</w:t>
      </w:r>
    </w:p>
    <w:p w14:paraId="1E175447">
      <w:pPr>
        <w:pStyle w:val="12"/>
        <w:spacing w:line="360" w:lineRule="exact"/>
        <w:ind w:firstLine="420" w:firstLineChars="200"/>
        <w:rPr>
          <w:rStyle w:val="6"/>
          <w:rFonts w:hint="eastAsia" w:ascii="宋体" w:hAnsi="宋体" w:cs="宋体"/>
          <w:szCs w:val="21"/>
        </w:rPr>
      </w:pPr>
      <w:r>
        <w:rPr>
          <w:rStyle w:val="6"/>
          <w:rFonts w:hint="eastAsia" w:ascii="宋体" w:hAnsi="宋体" w:cs="宋体"/>
          <w:szCs w:val="21"/>
        </w:rPr>
        <w:t>1、所有产品及安装服务均遵照国家与行业相关标准。</w:t>
      </w:r>
    </w:p>
    <w:p w14:paraId="580247B6">
      <w:pPr>
        <w:pStyle w:val="12"/>
        <w:spacing w:line="360" w:lineRule="exact"/>
        <w:ind w:firstLine="420" w:firstLineChars="200"/>
        <w:rPr>
          <w:rStyle w:val="6"/>
          <w:rFonts w:hint="eastAsia" w:ascii="宋体" w:hAnsi="宋体" w:cs="宋体"/>
          <w:szCs w:val="21"/>
        </w:rPr>
      </w:pPr>
      <w:r>
        <w:rPr>
          <w:rStyle w:val="6"/>
          <w:rFonts w:hint="eastAsia" w:ascii="宋体" w:hAnsi="宋体" w:cs="宋体"/>
          <w:szCs w:val="21"/>
        </w:rPr>
        <w:t>2、投标人提供的产品应是原装正品，符合国家质量技术检测标准，具有出厂合格证或国家鉴定合格证。</w:t>
      </w:r>
    </w:p>
    <w:p w14:paraId="0F8C1C1F">
      <w:pPr>
        <w:pStyle w:val="15"/>
        <w:spacing w:line="360" w:lineRule="exact"/>
        <w:ind w:firstLine="422" w:firstLineChars="200"/>
        <w:rPr>
          <w:rStyle w:val="6"/>
          <w:rFonts w:hint="eastAsia" w:ascii="宋体" w:hAnsi="宋体" w:cs="宋体"/>
          <w:szCs w:val="21"/>
        </w:rPr>
      </w:pPr>
      <w:r>
        <w:rPr>
          <w:rStyle w:val="6"/>
          <w:rFonts w:hint="eastAsia" w:ascii="宋体" w:hAnsi="宋体" w:cs="宋体"/>
          <w:b/>
          <w:bCs/>
          <w:szCs w:val="21"/>
        </w:rPr>
        <w:t>三、产品运输、保管保险</w:t>
      </w:r>
    </w:p>
    <w:p w14:paraId="5C800468">
      <w:pPr>
        <w:pStyle w:val="12"/>
        <w:spacing w:line="360" w:lineRule="exact"/>
        <w:ind w:firstLine="420" w:firstLineChars="200"/>
        <w:rPr>
          <w:rStyle w:val="6"/>
          <w:rFonts w:hint="eastAsia" w:ascii="宋体" w:hAnsi="宋体" w:cs="宋体"/>
          <w:szCs w:val="21"/>
        </w:rPr>
      </w:pPr>
      <w:r>
        <w:rPr>
          <w:rStyle w:val="6"/>
          <w:rFonts w:hint="eastAsia" w:ascii="宋体" w:hAnsi="宋体" w:cs="宋体"/>
          <w:szCs w:val="21"/>
        </w:rPr>
        <w:t>1、投标人负责产品到施工地点的全部运输，包括装卸及现场搬运等。</w:t>
      </w:r>
    </w:p>
    <w:p w14:paraId="046FC634">
      <w:pPr>
        <w:pStyle w:val="12"/>
        <w:spacing w:line="360" w:lineRule="exact"/>
        <w:ind w:firstLine="420" w:firstLineChars="200"/>
        <w:rPr>
          <w:rStyle w:val="6"/>
          <w:rFonts w:hint="eastAsia" w:ascii="宋体" w:hAnsi="宋体" w:cs="宋体"/>
          <w:szCs w:val="21"/>
        </w:rPr>
      </w:pPr>
      <w:r>
        <w:rPr>
          <w:rStyle w:val="6"/>
          <w:rFonts w:hint="eastAsia" w:ascii="宋体" w:hAnsi="宋体" w:cs="宋体"/>
          <w:szCs w:val="21"/>
        </w:rPr>
        <w:t>2、投标人负责产品在施工地点的保管，直至项目验收合格。</w:t>
      </w:r>
    </w:p>
    <w:p w14:paraId="558D5225">
      <w:pPr>
        <w:pStyle w:val="12"/>
        <w:spacing w:line="360" w:lineRule="exact"/>
        <w:ind w:firstLine="420" w:firstLineChars="200"/>
        <w:rPr>
          <w:rStyle w:val="6"/>
          <w:rFonts w:ascii="宋体" w:hAnsi="宋体" w:cs="宋体"/>
          <w:szCs w:val="21"/>
        </w:rPr>
      </w:pPr>
      <w:r>
        <w:rPr>
          <w:rStyle w:val="6"/>
          <w:rFonts w:hint="eastAsia" w:ascii="宋体" w:hAnsi="宋体" w:cs="宋体"/>
          <w:szCs w:val="21"/>
        </w:rPr>
        <w:t>3、投标人负责其派出的施工人员的人身意外保险。</w:t>
      </w:r>
    </w:p>
    <w:p w14:paraId="6951F33B">
      <w:pPr>
        <w:pStyle w:val="15"/>
        <w:spacing w:line="360" w:lineRule="exact"/>
        <w:ind w:firstLine="422" w:firstLineChars="200"/>
        <w:rPr>
          <w:rStyle w:val="6"/>
          <w:rFonts w:hint="eastAsia" w:ascii="宋体" w:hAnsi="宋体" w:cs="宋体"/>
          <w:b/>
          <w:bCs/>
          <w:szCs w:val="21"/>
        </w:rPr>
      </w:pPr>
      <w:r>
        <w:rPr>
          <w:rStyle w:val="6"/>
          <w:rFonts w:hint="eastAsia" w:ascii="宋体" w:hAnsi="宋体" w:cs="宋体"/>
          <w:b/>
          <w:bCs/>
          <w:szCs w:val="21"/>
        </w:rPr>
        <w:t>四、其他要求</w:t>
      </w:r>
    </w:p>
    <w:p w14:paraId="0A4BC45C">
      <w:pPr>
        <w:pStyle w:val="12"/>
        <w:spacing w:line="360" w:lineRule="exact"/>
        <w:ind w:firstLine="420" w:firstLineChars="200"/>
        <w:rPr>
          <w:rStyle w:val="6"/>
          <w:rFonts w:hint="eastAsia" w:ascii="宋体" w:hAnsi="宋体" w:cs="宋体"/>
          <w:szCs w:val="21"/>
        </w:rPr>
      </w:pPr>
      <w:r>
        <w:rPr>
          <w:rStyle w:val="6"/>
          <w:rFonts w:hint="eastAsia" w:ascii="宋体" w:hAnsi="宋体" w:cs="宋体"/>
          <w:szCs w:val="21"/>
        </w:rPr>
        <w:t>1、本项目采用费用包干方式（交钥匙项目），投标报价包含产品运输、安装、管理费、税金等所有费用，投标人应根据项目要求和现场情况，详细列明项目所有费用，如一旦中标，在项目实施中出现任何遗漏，均由中标人免费提供，采购人不再支付任何费用。</w:t>
      </w:r>
    </w:p>
    <w:p w14:paraId="06956DD3">
      <w:pPr>
        <w:pStyle w:val="12"/>
        <w:spacing w:line="360" w:lineRule="exact"/>
        <w:ind w:firstLine="420" w:firstLineChars="200"/>
        <w:rPr>
          <w:rStyle w:val="6"/>
          <w:rFonts w:hint="eastAsia" w:ascii="宋体" w:hAnsi="宋体" w:cs="宋体"/>
          <w:szCs w:val="21"/>
        </w:rPr>
      </w:pPr>
      <w:r>
        <w:rPr>
          <w:rStyle w:val="6"/>
          <w:rFonts w:hint="eastAsia" w:ascii="宋体" w:hAnsi="宋体" w:cs="宋体"/>
          <w:szCs w:val="21"/>
        </w:rPr>
        <w:t>2、采购人不组织统一现场踏勘，投标人可自行踏勘现场，有关费用自理，踏勘期间发生的意外自负。</w:t>
      </w:r>
    </w:p>
    <w:p w14:paraId="3940130A">
      <w:pPr>
        <w:pStyle w:val="13"/>
        <w:rPr>
          <w:rStyle w:val="6"/>
          <w:rFonts w:hint="eastAsia" w:ascii="Calibri" w:hAnsi="Calibri" w:eastAsia="宋体" w:cs="Times New Roman"/>
          <w:color w:val="000080"/>
          <w:sz w:val="20"/>
          <w:highlight w:val="white"/>
        </w:rPr>
      </w:pPr>
      <w:r>
        <w:rPr>
          <w:rStyle w:val="6"/>
          <w:rFonts w:hint="eastAsia" w:ascii="Calibri" w:hAnsi="Calibri" w:eastAsia="宋体" w:cs="Times New Roman"/>
          <w:color w:val="000080"/>
          <w:sz w:val="20"/>
          <w:highlight w:val="white"/>
        </w:rPr>
        <w:t xml:space="preserve"> </w:t>
      </w:r>
      <w:bookmarkEnd w:id="3"/>
    </w:p>
    <w:p w14:paraId="7D614BB4">
      <w:pPr>
        <w:rPr>
          <w:rFonts w:hint="eastAsia"/>
          <w:color w:val="000080"/>
          <w:sz w:val="20"/>
          <w:highlight w:val="white"/>
        </w:rPr>
      </w:pPr>
      <w:r>
        <w:rPr>
          <w:rFonts w:hint="eastAsia"/>
          <w:color w:val="000080"/>
          <w:sz w:val="20"/>
          <w:highlight w:val="white"/>
        </w:rPr>
        <w:t xml:space="preserve"> </w:t>
      </w:r>
      <w:bookmarkEnd w:id="0"/>
    </w:p>
    <w:p w14:paraId="0840C43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9958A4"/>
    <w:multiLevelType w:val="multilevel"/>
    <w:tmpl w:val="7C9958A4"/>
    <w:lvl w:ilvl="0" w:tentative="0">
      <w:start w:val="1"/>
      <w:numFmt w:val="chineseCounting"/>
      <w:suff w:val="space"/>
      <w:lvlText w:val="第%1节"/>
      <w:lvlJc w:val="left"/>
      <w:rPr>
        <w:rFonts w:hint="eastAsia"/>
      </w:rPr>
    </w:lvl>
    <w:lvl w:ilvl="1" w:tentative="0">
      <w:start w:val="1"/>
      <w:numFmt w:val="decimal"/>
      <w:lvlText w:val="%1.%2."/>
      <w:lvlJc w:val="left"/>
      <w:pPr>
        <w:tabs>
          <w:tab w:val="left" w:pos="-273"/>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
    <w:nsid w:val="7C9958A5"/>
    <w:multiLevelType w:val="multilevel"/>
    <w:tmpl w:val="7C9958A5"/>
    <w:lvl w:ilvl="0" w:tentative="0">
      <w:start w:val="4"/>
      <w:numFmt w:val="chineseCounting"/>
      <w:suff w:val="nothing"/>
      <w:lvlText w:val="%1、"/>
      <w:lvlJc w:val="left"/>
      <w:rPr>
        <w:rFonts w:hint="eastAsia"/>
      </w:rPr>
    </w:lvl>
    <w:lvl w:ilvl="1" w:tentative="0">
      <w:start w:val="1"/>
      <w:numFmt w:val="decimal"/>
      <w:lvlText w:val="%1.%2."/>
      <w:lvlJc w:val="left"/>
      <w:pPr>
        <w:tabs>
          <w:tab w:val="left" w:pos="-273"/>
        </w:tabs>
        <w:ind w:left="567" w:hanging="567"/>
      </w:pPr>
    </w:lvl>
    <w:lvl w:ilvl="2" w:tentative="0">
      <w:start w:val="1"/>
      <w:numFmt w:val="decimal"/>
      <w:lvlText w:val="%1.%2.%3."/>
      <w:lvlJc w:val="left"/>
      <w:pPr>
        <w:tabs>
          <w:tab w:val="left" w:pos="709"/>
        </w:tabs>
        <w:ind w:left="709" w:hanging="709"/>
      </w:pPr>
    </w:lvl>
    <w:lvl w:ilvl="3" w:tentative="0">
      <w:start w:val="1"/>
      <w:numFmt w:val="decimal"/>
      <w:pStyle w:val="11"/>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
    <w:nsid w:val="7C9958A6"/>
    <w:multiLevelType w:val="singleLevel"/>
    <w:tmpl w:val="7C9958A6"/>
    <w:lvl w:ilvl="0" w:tentative="0">
      <w:start w:val="2"/>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806F49"/>
    <w:rsid w:val="2F490622"/>
    <w:rsid w:val="34F12F90"/>
    <w:rsid w:val="3AFD5C26"/>
    <w:rsid w:val="45C27A86"/>
    <w:rsid w:val="53EC2463"/>
    <w:rsid w:val="5AA955EF"/>
    <w:rsid w:val="5CB72A83"/>
    <w:rsid w:val="62755174"/>
    <w:rsid w:val="63A06151"/>
    <w:rsid w:val="70AD5D4D"/>
    <w:rsid w:val="7943341B"/>
    <w:rsid w:val="7F065AB7"/>
    <w:rsid w:val="7F7919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240" w:lineRule="auto"/>
      <w:jc w:val="center"/>
      <w:outlineLvl w:val="0"/>
    </w:pPr>
    <w:rPr>
      <w:rFonts w:ascii="Calibri" w:hAnsi="Calibri" w:eastAsia="仿宋" w:cs="Times New Roman"/>
      <w:b/>
      <w:kern w:val="44"/>
      <w:sz w:val="32"/>
    </w:rPr>
  </w:style>
  <w:style w:type="paragraph" w:styleId="3">
    <w:name w:val="heading 2"/>
    <w:basedOn w:val="1"/>
    <w:next w:val="1"/>
    <w:link w:val="7"/>
    <w:semiHidden/>
    <w:unhideWhenUsed/>
    <w:qFormat/>
    <w:uiPriority w:val="0"/>
    <w:pPr>
      <w:keepNext/>
      <w:keepLines/>
      <w:spacing w:before="260" w:beforeLines="0" w:beforeAutospacing="0" w:after="260" w:afterLines="0" w:afterAutospacing="0" w:line="240" w:lineRule="auto"/>
      <w:jc w:val="center"/>
      <w:outlineLvl w:val="1"/>
    </w:pPr>
    <w:rPr>
      <w:rFonts w:ascii="Arial" w:hAnsi="Arial" w:eastAsia="仿宋" w:cs="Times New Roman"/>
      <w:b/>
      <w:sz w:val="28"/>
    </w:rPr>
  </w:style>
  <w:style w:type="paragraph" w:styleId="4">
    <w:name w:val="heading 3"/>
    <w:basedOn w:val="1"/>
    <w:next w:val="1"/>
    <w:semiHidden/>
    <w:unhideWhenUsed/>
    <w:qFormat/>
    <w:uiPriority w:val="0"/>
    <w:pPr>
      <w:keepNext/>
      <w:keepLines/>
      <w:spacing w:beforeLines="0" w:beforeAutospacing="0" w:afterLines="0" w:afterAutospacing="0" w:line="240" w:lineRule="auto"/>
      <w:outlineLvl w:val="2"/>
    </w:pPr>
    <w:rPr>
      <w:rFonts w:eastAsia="仿宋" w:asciiTheme="minorAscii" w:hAnsiTheme="minorAscii"/>
      <w:b/>
      <w:sz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customStyle="1" w:styleId="7">
    <w:name w:val="标题 2 Char"/>
    <w:link w:val="3"/>
    <w:qFormat/>
    <w:uiPriority w:val="0"/>
    <w:rPr>
      <w:rFonts w:ascii="Arial" w:hAnsi="Arial" w:eastAsia="黑体" w:cs="Times New Roman"/>
      <w:b/>
      <w:sz w:val="44"/>
    </w:rPr>
  </w:style>
  <w:style w:type="paragraph" w:customStyle="1" w:styleId="8">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
    <w:name w:val="正文_0_0"/>
    <w:basedOn w:val="10"/>
    <w:next w:val="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
    <w:name w:val="标题 4_0_0"/>
    <w:basedOn w:val="9"/>
    <w:next w:val="9"/>
    <w:qFormat/>
    <w:uiPriority w:val="9"/>
    <w:pPr>
      <w:keepNext/>
      <w:keepLines/>
      <w:numPr>
        <w:ilvl w:val="3"/>
        <w:numId w:val="1"/>
      </w:numPr>
      <w:spacing w:before="280" w:after="290" w:line="376" w:lineRule="auto"/>
      <w:outlineLvl w:val="3"/>
    </w:pPr>
    <w:rPr>
      <w:b/>
      <w:bCs/>
      <w:sz w:val="30"/>
      <w:szCs w:val="28"/>
    </w:rPr>
  </w:style>
  <w:style w:type="paragraph" w:customStyle="1" w:styleId="12">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
    <w:name w:val="正文_0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
    <w:name w:val="正文_2_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2025-12-15T02:37:00Z</dcterms:created>
  <dc:creator>abc</dc:creator>
  <cp:lastModifiedBy>abc</cp:lastModifiedBy>
  <dcterms:modified xsi:type="dcterms:W3CDTF">2026-06-12T07:26:12Z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8E4BF5A051134D0D8C69B6DEFD65FE25_12</vt:lpwstr>
  </property>
  <property fmtid="{D5CDD505-2E9C-101B-9397-08002B2CF9AE}" pid="4" name="KSOTemplateDocerSaveRecord">
    <vt:lpwstr>eyJoZGlkIjoiZTYxNDFmZTU5M2U1MTUwNmIzYjAzNGI0OTNhMWQ2NmQiLCJ1c2VySWQiOiI0MjMyMzEyMTgifQ==</vt:lpwstr>
  </property>
</Properties>
</file>