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20.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1F1D9">
      <w:pPr>
        <w:rPr>
          <w:rFonts w:eastAsia="宋体" w:cs="宋体"/>
          <w:color w:val="auto"/>
        </w:rPr>
      </w:pPr>
      <w:r>
        <w:rPr>
          <w:rFonts w:hint="eastAsia" w:ascii="华文中宋" w:hAnsi="华文中宋" w:eastAsia="华文中宋" w:cs="宋体"/>
          <w:b/>
          <w:color w:val="auto"/>
          <w:sz w:val="24"/>
        </w:rPr>
        <w:t>政府采购品目分类：</w:t>
      </w:r>
      <w:r>
        <w:rPr>
          <w:rFonts w:hint="eastAsia" w:ascii="华文中宋" w:hAnsi="华文中宋" w:eastAsia="华文中宋" w:cs="宋体"/>
          <w:b/>
          <w:color w:val="auto"/>
          <w:sz w:val="24"/>
          <w:lang w:val="en-US" w:eastAsia="zh-CN"/>
        </w:rPr>
        <w:t>A</w:t>
      </w:r>
      <w:r>
        <w:rPr>
          <w:rFonts w:hint="eastAsia" w:ascii="华文中宋" w:hAnsi="华文中宋" w:eastAsia="华文中宋" w:cs="宋体"/>
          <w:b/>
          <w:color w:val="auto"/>
          <w:sz w:val="24"/>
        </w:rPr>
        <w:t xml:space="preserve">                    </w:t>
      </w:r>
    </w:p>
    <w:p w14:paraId="3550A3F2">
      <w:pPr>
        <w:widowControl w:val="0"/>
        <w:spacing w:line="440" w:lineRule="exact"/>
        <w:jc w:val="center"/>
        <w:rPr>
          <w:rFonts w:ascii="隶书" w:hAnsi="华文中宋" w:eastAsia="隶书" w:cs="Courier New"/>
          <w:color w:val="auto"/>
          <w:kern w:val="2"/>
          <w:sz w:val="84"/>
          <w:szCs w:val="84"/>
          <w:lang w:val="en-US" w:eastAsia="zh-CN" w:bidi="ar-SA"/>
        </w:rPr>
      </w:pPr>
    </w:p>
    <w:p w14:paraId="6F931CDD">
      <w:pPr>
        <w:widowControl w:val="0"/>
        <w:spacing w:line="440" w:lineRule="exact"/>
        <w:jc w:val="center"/>
        <w:rPr>
          <w:rFonts w:ascii="隶书" w:hAnsi="华文中宋" w:eastAsia="隶书" w:cs="Courier New"/>
          <w:color w:val="auto"/>
          <w:kern w:val="2"/>
          <w:sz w:val="84"/>
          <w:szCs w:val="84"/>
          <w:lang w:val="en-US" w:eastAsia="zh-CN" w:bidi="ar-SA"/>
        </w:rPr>
      </w:pPr>
    </w:p>
    <w:p w14:paraId="2C30D004">
      <w:pPr>
        <w:widowControl w:val="0"/>
        <w:spacing w:line="440" w:lineRule="exact"/>
        <w:jc w:val="center"/>
        <w:rPr>
          <w:rFonts w:ascii="隶书" w:hAnsi="华文中宋" w:eastAsia="隶书" w:cs="Courier New"/>
          <w:color w:val="auto"/>
          <w:kern w:val="2"/>
          <w:sz w:val="84"/>
          <w:szCs w:val="84"/>
          <w:lang w:val="en-US" w:eastAsia="zh-CN" w:bidi="ar-SA"/>
        </w:rPr>
      </w:pPr>
    </w:p>
    <w:p w14:paraId="5A64B92F">
      <w:pPr>
        <w:keepNext w:val="0"/>
        <w:keepLines w:val="0"/>
        <w:pageBreakBefore w:val="0"/>
        <w:widowControl w:val="0"/>
        <w:kinsoku/>
        <w:wordWrap/>
        <w:overflowPunct/>
        <w:topLinePunct w:val="0"/>
        <w:autoSpaceDE/>
        <w:autoSpaceDN/>
        <w:bidi w:val="0"/>
        <w:spacing w:line="1360" w:lineRule="exact"/>
        <w:jc w:val="center"/>
        <w:textAlignment w:val="auto"/>
        <w:rPr>
          <w:rFonts w:ascii="华文中宋" w:hAnsi="华文中宋" w:eastAsia="华文中宋" w:cs="Courier New"/>
          <w:b/>
          <w:color w:val="auto"/>
          <w:kern w:val="2"/>
          <w:sz w:val="84"/>
          <w:szCs w:val="84"/>
          <w:lang w:val="en-US" w:eastAsia="zh-CN" w:bidi="ar-SA"/>
        </w:rPr>
      </w:pPr>
      <w:r>
        <w:rPr>
          <w:rFonts w:hint="eastAsia" w:ascii="华文中宋" w:hAnsi="华文中宋" w:eastAsia="华文中宋" w:cs="Courier New"/>
          <w:b/>
          <w:color w:val="auto"/>
          <w:kern w:val="2"/>
          <w:sz w:val="84"/>
          <w:szCs w:val="84"/>
          <w:lang w:val="en-US" w:eastAsia="zh-CN" w:bidi="ar-SA"/>
        </w:rPr>
        <w:t>张家界市政府采购</w:t>
      </w:r>
    </w:p>
    <w:p w14:paraId="480D9026">
      <w:pPr>
        <w:keepNext w:val="0"/>
        <w:keepLines w:val="0"/>
        <w:pageBreakBefore w:val="0"/>
        <w:widowControl w:val="0"/>
        <w:kinsoku/>
        <w:wordWrap/>
        <w:overflowPunct/>
        <w:topLinePunct w:val="0"/>
        <w:autoSpaceDE/>
        <w:autoSpaceDN/>
        <w:bidi w:val="0"/>
        <w:adjustRightInd w:val="0"/>
        <w:snapToGrid w:val="0"/>
        <w:spacing w:line="1360" w:lineRule="exact"/>
        <w:jc w:val="center"/>
        <w:textAlignment w:val="auto"/>
        <w:rPr>
          <w:rFonts w:ascii="华文中宋" w:hAnsi="华文中宋" w:eastAsia="华文中宋" w:cs="Courier New"/>
          <w:b/>
          <w:color w:val="auto"/>
          <w:kern w:val="2"/>
          <w:sz w:val="84"/>
          <w:szCs w:val="84"/>
          <w:lang w:val="en-US" w:eastAsia="zh-CN" w:bidi="ar-SA"/>
        </w:rPr>
      </w:pPr>
      <w:r>
        <w:rPr>
          <w:rFonts w:hint="eastAsia" w:ascii="华文中宋" w:hAnsi="华文中宋" w:eastAsia="华文中宋" w:cs="Courier New"/>
          <w:b/>
          <w:color w:val="auto"/>
          <w:kern w:val="2"/>
          <w:sz w:val="84"/>
          <w:szCs w:val="84"/>
          <w:lang w:val="en-US" w:eastAsia="zh-CN" w:bidi="ar-SA"/>
        </w:rPr>
        <w:t>竞争性谈判文件</w:t>
      </w:r>
    </w:p>
    <w:p w14:paraId="6C125395">
      <w:pPr>
        <w:widowControl w:val="0"/>
        <w:adjustRightInd w:val="0"/>
        <w:snapToGrid w:val="0"/>
        <w:spacing w:line="360" w:lineRule="auto"/>
        <w:jc w:val="both"/>
        <w:rPr>
          <w:rFonts w:ascii="Tahoma" w:hAnsi="Tahoma" w:eastAsia="宋体" w:cs="Tahoma"/>
          <w:color w:val="auto"/>
          <w:kern w:val="2"/>
          <w:sz w:val="20"/>
          <w:szCs w:val="20"/>
          <w:lang w:val="en-US" w:eastAsia="zh-CN" w:bidi="ar-SA"/>
        </w:rPr>
      </w:pPr>
    </w:p>
    <w:p w14:paraId="2898445D">
      <w:pPr>
        <w:widowControl w:val="0"/>
        <w:adjustRightInd w:val="0"/>
        <w:snapToGrid w:val="0"/>
        <w:spacing w:line="360" w:lineRule="auto"/>
        <w:ind w:left="2730" w:leftChars="554" w:hanging="1400" w:hangingChars="700"/>
        <w:jc w:val="both"/>
        <w:rPr>
          <w:rFonts w:ascii="Tahoma" w:hAnsi="Tahoma" w:eastAsia="宋体" w:cs="Tahoma"/>
          <w:color w:val="auto"/>
          <w:kern w:val="2"/>
          <w:sz w:val="20"/>
          <w:szCs w:val="20"/>
          <w:lang w:val="en-US" w:eastAsia="zh-CN" w:bidi="ar-SA"/>
        </w:rPr>
      </w:pPr>
    </w:p>
    <w:p w14:paraId="7FCA399A">
      <w:pPr>
        <w:widowControl w:val="0"/>
        <w:adjustRightInd w:val="0"/>
        <w:snapToGrid w:val="0"/>
        <w:spacing w:line="360" w:lineRule="auto"/>
        <w:ind w:left="2730" w:leftChars="554" w:hanging="1400" w:hangingChars="700"/>
        <w:jc w:val="both"/>
        <w:rPr>
          <w:rFonts w:ascii="Tahoma" w:hAnsi="Tahoma" w:eastAsia="宋体" w:cs="Tahoma"/>
          <w:color w:val="auto"/>
          <w:kern w:val="2"/>
          <w:sz w:val="20"/>
          <w:szCs w:val="20"/>
          <w:lang w:val="en-US" w:eastAsia="zh-CN" w:bidi="ar-SA"/>
        </w:rPr>
      </w:pPr>
    </w:p>
    <w:p w14:paraId="23E2A748">
      <w:pPr>
        <w:widowControl w:val="0"/>
        <w:adjustRightInd w:val="0"/>
        <w:snapToGrid w:val="0"/>
        <w:spacing w:line="360" w:lineRule="auto"/>
        <w:jc w:val="both"/>
        <w:rPr>
          <w:rFonts w:ascii="Tahoma" w:hAnsi="Tahoma" w:eastAsia="宋体" w:cs="Tahoma"/>
          <w:color w:val="auto"/>
          <w:kern w:val="2"/>
          <w:sz w:val="20"/>
          <w:szCs w:val="20"/>
          <w:lang w:val="en-US" w:eastAsia="zh-CN" w:bidi="ar-SA"/>
        </w:rPr>
      </w:pPr>
    </w:p>
    <w:p w14:paraId="08A16B00">
      <w:pPr>
        <w:widowControl w:val="0"/>
        <w:adjustRightInd w:val="0"/>
        <w:snapToGrid w:val="0"/>
        <w:spacing w:line="360" w:lineRule="auto"/>
        <w:ind w:left="2730" w:leftChars="554" w:hanging="1400" w:hangingChars="700"/>
        <w:jc w:val="both"/>
        <w:rPr>
          <w:rFonts w:ascii="华文中宋" w:hAnsi="华文中宋" w:eastAsia="华文中宋" w:cs="Tahoma"/>
          <w:color w:val="auto"/>
          <w:kern w:val="2"/>
          <w:sz w:val="20"/>
          <w:szCs w:val="20"/>
          <w:lang w:val="en-US" w:eastAsia="zh-CN" w:bidi="ar-SA"/>
        </w:rPr>
      </w:pPr>
    </w:p>
    <w:p w14:paraId="5E8A76DC">
      <w:pPr>
        <w:adjustRightInd w:val="0"/>
        <w:snapToGrid w:val="0"/>
        <w:spacing w:line="360" w:lineRule="auto"/>
        <w:ind w:left="3461" w:leftChars="532" w:hanging="2184"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w w:val="98"/>
          <w:sz w:val="32"/>
          <w:szCs w:val="32"/>
        </w:rPr>
        <w:t>采购项目名称：</w:t>
      </w:r>
      <w:r>
        <w:rPr>
          <w:rFonts w:hint="eastAsia" w:ascii="华文中宋" w:hAnsi="华文中宋" w:eastAsia="华文中宋" w:cs="宋体"/>
          <w:b/>
          <w:color w:val="auto"/>
          <w:sz w:val="32"/>
          <w:szCs w:val="32"/>
          <w:lang w:val="en-US" w:eastAsia="zh-CN"/>
        </w:rPr>
        <w:t>第十一届全省少数民族传统运动会自动除颤器（AED）采购项目</w:t>
      </w:r>
    </w:p>
    <w:p w14:paraId="0BF4F980">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sz w:val="32"/>
          <w:szCs w:val="32"/>
        </w:rPr>
        <w:t>政府采购</w:t>
      </w:r>
      <w:r>
        <w:rPr>
          <w:rFonts w:hint="eastAsia" w:ascii="华文中宋" w:hAnsi="华文中宋" w:eastAsia="华文中宋" w:cs="宋体"/>
          <w:b/>
          <w:color w:val="auto"/>
          <w:sz w:val="32"/>
          <w:szCs w:val="32"/>
          <w:lang w:val="en-US" w:eastAsia="zh-CN"/>
        </w:rPr>
        <w:t>计划</w:t>
      </w:r>
      <w:r>
        <w:rPr>
          <w:rFonts w:hint="eastAsia" w:ascii="华文中宋" w:hAnsi="华文中宋" w:eastAsia="华文中宋" w:cs="宋体"/>
          <w:b/>
          <w:color w:val="auto"/>
          <w:sz w:val="32"/>
          <w:szCs w:val="32"/>
        </w:rPr>
        <w:t>编号：</w:t>
      </w:r>
      <w:r>
        <w:rPr>
          <w:rFonts w:hint="eastAsia" w:ascii="华文中宋" w:hAnsi="华文中宋" w:eastAsia="华文中宋" w:cs="宋体"/>
          <w:b/>
          <w:color w:val="auto"/>
          <w:sz w:val="32"/>
          <w:szCs w:val="32"/>
          <w:lang w:val="en-US" w:eastAsia="zh-CN"/>
        </w:rPr>
        <w:t xml:space="preserve">(2026)430800000024-1   </w:t>
      </w:r>
    </w:p>
    <w:p w14:paraId="14388691">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val="en-US" w:eastAsia="zh-CN"/>
        </w:rPr>
      </w:pPr>
      <w:r>
        <w:rPr>
          <w:rFonts w:hint="eastAsia" w:ascii="华文中宋" w:hAnsi="华文中宋" w:eastAsia="华文中宋" w:cs="宋体"/>
          <w:b/>
          <w:color w:val="auto"/>
          <w:sz w:val="32"/>
          <w:szCs w:val="32"/>
        </w:rPr>
        <w:t>采购代理编号：</w:t>
      </w:r>
      <w:r>
        <w:rPr>
          <w:rFonts w:hint="eastAsia" w:ascii="华文中宋" w:hAnsi="华文中宋" w:eastAsia="华文中宋" w:cs="宋体"/>
          <w:b/>
          <w:color w:val="auto"/>
          <w:sz w:val="32"/>
          <w:szCs w:val="32"/>
          <w:lang w:val="en-US" w:eastAsia="zh-CN"/>
        </w:rPr>
        <w:t xml:space="preserve">TPPCZ（2026）223 </w:t>
      </w:r>
    </w:p>
    <w:p w14:paraId="1958D939">
      <w:pPr>
        <w:adjustRightInd w:val="0"/>
        <w:snapToGrid w:val="0"/>
        <w:spacing w:line="360" w:lineRule="auto"/>
        <w:ind w:left="3510" w:leftChars="532" w:hanging="2233" w:hangingChars="695"/>
        <w:rPr>
          <w:rFonts w:hint="eastAsia" w:ascii="华文中宋" w:hAnsi="华文中宋" w:eastAsia="华文中宋" w:cs="宋体"/>
          <w:b/>
          <w:color w:val="auto"/>
          <w:sz w:val="32"/>
          <w:szCs w:val="32"/>
          <w:lang w:eastAsia="zh-CN"/>
        </w:rPr>
      </w:pPr>
      <w:r>
        <w:rPr>
          <w:rFonts w:hint="eastAsia" w:ascii="华文中宋" w:hAnsi="华文中宋" w:eastAsia="华文中宋" w:cs="宋体"/>
          <w:b/>
          <w:color w:val="auto"/>
          <w:sz w:val="32"/>
          <w:szCs w:val="32"/>
        </w:rPr>
        <w:t>采</w:t>
      </w:r>
      <w:r>
        <w:rPr>
          <w:rFonts w:hint="eastAsia" w:ascii="华文中宋" w:hAnsi="华文中宋" w:eastAsia="华文中宋" w:cs="宋体"/>
          <w:b/>
          <w:color w:val="auto"/>
          <w:sz w:val="32"/>
          <w:szCs w:val="32"/>
          <w:lang w:val="en-US" w:eastAsia="zh-CN"/>
        </w:rPr>
        <w:t xml:space="preserve">   </w:t>
      </w:r>
      <w:r>
        <w:rPr>
          <w:rFonts w:hint="eastAsia" w:ascii="华文中宋" w:hAnsi="华文中宋" w:eastAsia="华文中宋" w:cs="宋体"/>
          <w:b/>
          <w:color w:val="auto"/>
          <w:sz w:val="32"/>
          <w:szCs w:val="32"/>
        </w:rPr>
        <w:t>购</w:t>
      </w:r>
      <w:r>
        <w:rPr>
          <w:rFonts w:hint="eastAsia" w:ascii="华文中宋" w:hAnsi="华文中宋" w:eastAsia="华文中宋" w:cs="宋体"/>
          <w:b/>
          <w:color w:val="auto"/>
          <w:sz w:val="32"/>
          <w:szCs w:val="32"/>
          <w:lang w:val="en-US" w:eastAsia="zh-CN"/>
        </w:rPr>
        <w:t xml:space="preserve">   </w:t>
      </w:r>
      <w:r>
        <w:rPr>
          <w:rFonts w:hint="eastAsia" w:ascii="华文中宋" w:hAnsi="华文中宋" w:eastAsia="华文中宋" w:cs="宋体"/>
          <w:b/>
          <w:color w:val="auto"/>
          <w:sz w:val="32"/>
          <w:szCs w:val="32"/>
        </w:rPr>
        <w:t>人：</w:t>
      </w:r>
      <w:r>
        <w:rPr>
          <w:rFonts w:hint="eastAsia" w:ascii="华文中宋" w:hAnsi="华文中宋" w:eastAsia="华文中宋" w:cs="宋体"/>
          <w:b/>
          <w:color w:val="auto"/>
          <w:sz w:val="32"/>
          <w:szCs w:val="32"/>
          <w:lang w:eastAsia="zh-CN"/>
        </w:rPr>
        <w:t>张家界市卫生健康委员会</w:t>
      </w:r>
    </w:p>
    <w:p w14:paraId="3EB3A8B5">
      <w:pPr>
        <w:adjustRightInd w:val="0"/>
        <w:snapToGrid w:val="0"/>
        <w:spacing w:line="360" w:lineRule="auto"/>
        <w:ind w:left="3510" w:leftChars="532" w:hanging="2233" w:hangingChars="695"/>
        <w:rPr>
          <w:rFonts w:hint="eastAsia" w:ascii="华文中宋" w:hAnsi="华文中宋" w:eastAsia="华文中宋" w:cs="宋体"/>
          <w:color w:val="auto"/>
          <w:sz w:val="32"/>
          <w:szCs w:val="32"/>
          <w:lang w:eastAsia="zh-CN"/>
        </w:rPr>
      </w:pPr>
      <w:r>
        <w:rPr>
          <w:rFonts w:hint="eastAsia" w:ascii="华文中宋" w:hAnsi="华文中宋" w:eastAsia="华文中宋" w:cs="宋体"/>
          <w:b/>
          <w:color w:val="auto"/>
          <w:sz w:val="32"/>
          <w:szCs w:val="21"/>
        </w:rPr>
        <w:t>采购代理机构：</w:t>
      </w:r>
      <w:r>
        <w:rPr>
          <w:rFonts w:hint="eastAsia" w:ascii="华文中宋" w:hAnsi="华文中宋" w:eastAsia="华文中宋" w:cs="宋体"/>
          <w:b/>
          <w:color w:val="auto"/>
          <w:sz w:val="32"/>
          <w:szCs w:val="21"/>
          <w:lang w:eastAsia="zh-CN"/>
        </w:rPr>
        <w:t>湖南省天平项目管理有限公司</w:t>
      </w:r>
    </w:p>
    <w:p w14:paraId="3CF0B59E">
      <w:pPr>
        <w:widowControl w:val="0"/>
        <w:adjustRightInd w:val="0"/>
        <w:snapToGrid w:val="0"/>
        <w:spacing w:line="360" w:lineRule="auto"/>
        <w:jc w:val="both"/>
        <w:rPr>
          <w:rFonts w:ascii="仿宋_GB2312" w:hAnsi="宋体" w:eastAsia="仿宋_GB2312" w:cs="Courier New"/>
          <w:b/>
          <w:color w:val="auto"/>
          <w:kern w:val="2"/>
          <w:sz w:val="32"/>
          <w:szCs w:val="21"/>
          <w:lang w:val="en-US" w:eastAsia="zh-CN" w:bidi="ar-SA"/>
        </w:rPr>
      </w:pPr>
    </w:p>
    <w:p w14:paraId="69DED56F">
      <w:pPr>
        <w:widowControl w:val="0"/>
        <w:tabs>
          <w:tab w:val="left" w:pos="6440"/>
        </w:tabs>
        <w:adjustRightInd w:val="0"/>
        <w:snapToGrid w:val="0"/>
        <w:spacing w:line="360" w:lineRule="auto"/>
        <w:jc w:val="left"/>
        <w:rPr>
          <w:rFonts w:ascii="仿宋_GB2312" w:hAnsi="宋体" w:eastAsia="仿宋_GB2312" w:cs="Courier New"/>
          <w:b/>
          <w:color w:val="auto"/>
          <w:kern w:val="2"/>
          <w:sz w:val="32"/>
          <w:szCs w:val="21"/>
          <w:lang w:val="en-US" w:eastAsia="zh-CN" w:bidi="ar-SA"/>
        </w:rPr>
      </w:pPr>
      <w:r>
        <w:rPr>
          <w:rFonts w:ascii="仿宋_GB2312" w:hAnsi="宋体" w:eastAsia="仿宋_GB2312" w:cs="Courier New"/>
          <w:b/>
          <w:color w:val="auto"/>
          <w:kern w:val="2"/>
          <w:sz w:val="32"/>
          <w:szCs w:val="21"/>
          <w:lang w:val="en-US" w:eastAsia="zh-CN" w:bidi="ar-SA"/>
        </w:rPr>
        <w:tab/>
      </w:r>
    </w:p>
    <w:p w14:paraId="2811803E">
      <w:pPr>
        <w:widowControl w:val="0"/>
        <w:tabs>
          <w:tab w:val="left" w:pos="6440"/>
        </w:tabs>
        <w:adjustRightInd w:val="0"/>
        <w:snapToGrid w:val="0"/>
        <w:spacing w:line="360" w:lineRule="auto"/>
        <w:jc w:val="left"/>
        <w:rPr>
          <w:rFonts w:ascii="仿宋_GB2312" w:hAnsi="宋体" w:eastAsia="仿宋_GB2312" w:cs="Courier New"/>
          <w:b/>
          <w:color w:val="auto"/>
          <w:kern w:val="2"/>
          <w:sz w:val="32"/>
          <w:szCs w:val="21"/>
          <w:lang w:val="en-US" w:eastAsia="zh-CN" w:bidi="ar-SA"/>
        </w:rPr>
      </w:pPr>
    </w:p>
    <w:p w14:paraId="09AE577D">
      <w:pPr>
        <w:widowControl w:val="0"/>
        <w:adjustRightInd w:val="0"/>
        <w:snapToGrid w:val="0"/>
        <w:spacing w:line="360" w:lineRule="auto"/>
        <w:jc w:val="center"/>
        <w:rPr>
          <w:rFonts w:ascii="华文中宋" w:hAnsi="华文中宋" w:eastAsia="华文中宋" w:cs="Courier New"/>
          <w:b/>
          <w:color w:val="auto"/>
          <w:kern w:val="2"/>
          <w:sz w:val="32"/>
          <w:szCs w:val="21"/>
          <w:lang w:val="en-US" w:eastAsia="zh-CN" w:bidi="ar-SA"/>
        </w:rPr>
      </w:pPr>
      <w:r>
        <w:rPr>
          <w:rFonts w:hint="eastAsia" w:ascii="华文中宋" w:hAnsi="华文中宋" w:eastAsia="华文中宋" w:cs="Courier New"/>
          <w:b/>
          <w:color w:val="auto"/>
          <w:kern w:val="2"/>
          <w:sz w:val="32"/>
          <w:szCs w:val="21"/>
          <w:lang w:val="en-US" w:eastAsia="zh-CN" w:bidi="ar-SA"/>
        </w:rPr>
        <w:t>2026年9月</w:t>
      </w:r>
    </w:p>
    <w:p w14:paraId="19E8D691">
      <w:pPr>
        <w:tabs>
          <w:tab w:val="left" w:pos="0"/>
        </w:tabs>
        <w:rPr>
          <w:rFonts w:eastAsia="宋体" w:cs="宋体"/>
          <w:color w:val="auto"/>
          <w:highlight w:val="none"/>
        </w:rPr>
      </w:pPr>
    </w:p>
    <w:p w14:paraId="6EE33BB5">
      <w:pPr>
        <w:pStyle w:val="40"/>
        <w:rPr>
          <w:color w:val="auto"/>
          <w:highlight w:val="none"/>
        </w:rPr>
        <w:sectPr>
          <w:footerReference r:id="rId5"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titlePg/>
          <w:rtlGutter w:val="0"/>
          <w:docGrid w:type="lines" w:linePitch="312" w:charSpace="0"/>
        </w:sectPr>
      </w:pPr>
    </w:p>
    <w:p w14:paraId="293DF719">
      <w:pPr>
        <w:pStyle w:val="40"/>
        <w:rPr>
          <w:color w:val="auto"/>
          <w:highlight w:val="none"/>
        </w:rPr>
      </w:pPr>
    </w:p>
    <w:p w14:paraId="5C3D5376">
      <w:pPr>
        <w:pStyle w:val="40"/>
        <w:ind w:firstLine="480"/>
        <w:rPr>
          <w:color w:val="auto"/>
          <w:highlight w:val="none"/>
        </w:rPr>
      </w:pPr>
    </w:p>
    <w:p w14:paraId="1A629DB6">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公文小标宋" w:hAnsi="方正公文小标宋" w:eastAsia="方正公文小标宋" w:cs="方正公文小标宋"/>
          <w:color w:val="auto"/>
          <w:sz w:val="44"/>
          <w:szCs w:val="44"/>
          <w:lang w:val="en-US" w:eastAsia="zh-CN"/>
        </w:rPr>
      </w:pPr>
      <w:r>
        <w:rPr>
          <w:rFonts w:hint="eastAsia" w:ascii="方正公文小标宋" w:hAnsi="方正公文小标宋" w:eastAsia="方正公文小标宋" w:cs="方正公文小标宋"/>
          <w:color w:val="auto"/>
          <w:sz w:val="44"/>
          <w:szCs w:val="44"/>
          <w:lang w:val="en-US" w:eastAsia="zh-CN"/>
        </w:rPr>
        <w:t>报价风险告知书</w:t>
      </w:r>
    </w:p>
    <w:p w14:paraId="6E954CD5">
      <w:pPr>
        <w:spacing w:line="560" w:lineRule="exact"/>
        <w:ind w:firstLine="771"/>
        <w:rPr>
          <w:rFonts w:hint="eastAsia" w:ascii="宋体" w:hAnsi="宋体" w:eastAsia="宋体" w:cs="宋体"/>
          <w:color w:val="auto"/>
          <w:sz w:val="30"/>
          <w:szCs w:val="30"/>
          <w:lang w:val="en-US" w:eastAsia="zh-CN"/>
        </w:rPr>
      </w:pPr>
    </w:p>
    <w:p w14:paraId="7FB5DD1D">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低价风险高，报价须谨慎。</w:t>
      </w:r>
    </w:p>
    <w:p w14:paraId="1FD8DF19">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本项目按照张政办发【2024】21号文件精神，实行最低评标价法，请务必仔细阅读谈判文件，知悉违约的严重后果，理性报价。现将有关竞价风险提示如下：</w:t>
      </w:r>
    </w:p>
    <w:p w14:paraId="412117B6">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1.履约担保金</w:t>
      </w:r>
      <w:r>
        <w:rPr>
          <w:rFonts w:hint="default" w:ascii="宋体" w:hAnsi="宋体" w:eastAsia="宋体" w:cs="宋体"/>
          <w:color w:val="auto"/>
          <w:sz w:val="30"/>
          <w:szCs w:val="30"/>
          <w:lang w:val="en-US" w:eastAsia="zh-CN"/>
        </w:rPr>
        <w:t>额</w:t>
      </w:r>
      <w:r>
        <w:rPr>
          <w:rFonts w:hint="eastAsia" w:ascii="宋体" w:hAnsi="宋体" w:eastAsia="宋体" w:cs="宋体"/>
          <w:color w:val="auto"/>
          <w:sz w:val="30"/>
          <w:szCs w:val="30"/>
          <w:lang w:val="en-US" w:eastAsia="zh-CN"/>
        </w:rPr>
        <w:t>。中标金额降价幅度不超过采购预算10% 的，履约保证金为中标金额的10%;中标金额降价幅度超过采购预算10%以上的，履约保证金为采购预算减去中标金额的差额。</w:t>
      </w:r>
    </w:p>
    <w:p w14:paraId="017FFB18">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2.履约担保提交期限。供应商自领取中标通知书后7个工作日内提交履约保证金，最长不超过14个工作日。</w:t>
      </w:r>
    </w:p>
    <w:p w14:paraId="340C4D9D">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3.履约担保提交逾期风险。</w:t>
      </w:r>
    </w:p>
    <w:p w14:paraId="63F7C43C">
      <w:pPr>
        <w:spacing w:line="560" w:lineRule="exact"/>
        <w:ind w:firstLine="771"/>
        <w:rPr>
          <w:rFonts w:hint="eastAsia" w:ascii="宋体" w:hAnsi="宋体" w:eastAsia="宋体" w:cs="宋体"/>
          <w:color w:val="auto"/>
          <w:sz w:val="30"/>
          <w:szCs w:val="30"/>
          <w:lang w:val="en-US" w:eastAsia="zh-CN"/>
        </w:rPr>
      </w:pPr>
      <w:r>
        <w:rPr>
          <w:rFonts w:hint="eastAsia" w:ascii="宋体" w:hAnsi="宋体" w:eastAsia="宋体" w:cs="宋体"/>
          <w:color w:val="auto"/>
          <w:sz w:val="30"/>
          <w:szCs w:val="30"/>
          <w:lang w:val="en-US" w:eastAsia="zh-CN"/>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cs="宋体"/>
          <w:color w:val="auto"/>
          <w:sz w:val="30"/>
          <w:szCs w:val="30"/>
          <w:lang w:val="en-US" w:eastAsia="zh-CN"/>
        </w:rPr>
        <w:tab/>
      </w:r>
    </w:p>
    <w:p w14:paraId="17411EAB">
      <w:pPr>
        <w:spacing w:line="560" w:lineRule="exact"/>
        <w:ind w:firstLine="771"/>
        <w:rPr>
          <w:rFonts w:hint="eastAsia" w:ascii="宋体" w:hAnsi="宋体" w:eastAsia="宋体"/>
          <w:color w:val="auto"/>
          <w:sz w:val="30"/>
          <w:szCs w:val="30"/>
          <w:lang w:val="en-US" w:eastAsia="zh-CN"/>
        </w:rPr>
        <w:sectPr>
          <w:footerReference r:id="rId7" w:type="first"/>
          <w:footerReference r:id="rId6" w:type="default"/>
          <w:pgSz w:w="11906" w:h="16838"/>
          <w:pgMar w:top="1417" w:right="1003" w:bottom="1701" w:left="1003" w:header="1134" w:footer="680" w:gutter="0"/>
          <w:pgBorders>
            <w:top w:val="none" w:sz="0" w:space="0"/>
            <w:left w:val="none" w:sz="0" w:space="0"/>
            <w:bottom w:val="none" w:sz="0" w:space="0"/>
            <w:right w:val="none" w:sz="0" w:space="0"/>
          </w:pgBorders>
          <w:pgNumType w:fmt="decimal" w:start="1"/>
          <w:cols w:space="425" w:num="1"/>
          <w:titlePg/>
          <w:rtlGutter w:val="0"/>
          <w:docGrid w:type="lines" w:linePitch="312" w:charSpace="0"/>
        </w:sectPr>
      </w:pPr>
      <w:r>
        <w:rPr>
          <w:rFonts w:hint="eastAsia" w:ascii="宋体" w:hAnsi="宋体" w:eastAsia="宋体" w:cs="宋体"/>
          <w:color w:val="auto"/>
          <w:sz w:val="30"/>
          <w:szCs w:val="30"/>
          <w:lang w:val="en-US" w:eastAsia="zh-CN"/>
        </w:rPr>
        <w:t>风险包括但不限于以上内容。</w:t>
      </w:r>
    </w:p>
    <w:p w14:paraId="7F86C4F8">
      <w:pPr>
        <w:pStyle w:val="40"/>
        <w:ind w:firstLine="480"/>
        <w:rPr>
          <w:color w:val="auto"/>
          <w:highlight w:val="none"/>
        </w:rPr>
      </w:pPr>
    </w:p>
    <w:p w14:paraId="2AF34116">
      <w:pPr>
        <w:spacing w:line="240" w:lineRule="auto"/>
        <w:jc w:val="center"/>
        <w:rPr>
          <w:rFonts w:ascii="微软雅黑" w:hAnsi="微软雅黑" w:eastAsia="微软雅黑" w:cs="微软雅黑"/>
          <w:b/>
          <w:bCs/>
          <w:color w:val="auto"/>
          <w:sz w:val="44"/>
          <w:szCs w:val="44"/>
          <w:highlight w:val="none"/>
        </w:rPr>
      </w:pPr>
      <w:r>
        <w:rPr>
          <w:rFonts w:hint="eastAsia" w:ascii="微软雅黑" w:hAnsi="微软雅黑" w:eastAsia="微软雅黑" w:cs="微软雅黑"/>
          <w:b/>
          <w:bCs/>
          <w:color w:val="auto"/>
          <w:sz w:val="44"/>
          <w:szCs w:val="44"/>
          <w:highlight w:val="none"/>
        </w:rPr>
        <w:t>目  录</w:t>
      </w:r>
    </w:p>
    <w:p w14:paraId="0F1631E9">
      <w:pPr>
        <w:pStyle w:val="25"/>
        <w:tabs>
          <w:tab w:val="right" w:leader="dot" w:pos="9900"/>
          <w:tab w:val="clear" w:pos="0"/>
        </w:tabs>
        <w:rPr>
          <w:color w:val="auto"/>
          <w:highlight w:val="none"/>
        </w:rPr>
      </w:pPr>
      <w:r>
        <w:rPr>
          <w:rFonts w:hint="eastAsia"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TOC \o "1-2" \h \u </w:instrText>
      </w:r>
      <w:r>
        <w:rPr>
          <w:rFonts w:hint="eastAsia" w:ascii="黑体" w:hAnsi="黑体" w:eastAsia="黑体" w:cs="黑体"/>
          <w:color w:val="auto"/>
          <w:szCs w:val="36"/>
          <w:highlight w:val="none"/>
        </w:rPr>
        <w:fldChar w:fldCharType="separate"/>
      </w:r>
      <w:r>
        <w:rPr>
          <w:rFonts w:hint="eastAsia" w:ascii="黑体" w:hAnsi="黑体" w:eastAsia="黑体" w:cs="黑体"/>
          <w:color w:val="auto"/>
          <w:szCs w:val="36"/>
          <w:highlight w:val="none"/>
        </w:rPr>
        <w:fldChar w:fldCharType="begin"/>
      </w:r>
      <w:r>
        <w:rPr>
          <w:rFonts w:hint="eastAsia" w:ascii="黑体" w:hAnsi="黑体" w:eastAsia="黑体" w:cs="黑体"/>
          <w:color w:val="auto"/>
          <w:szCs w:val="36"/>
          <w:highlight w:val="none"/>
        </w:rPr>
        <w:instrText xml:space="preserve"> HYPERLINK \l _Toc3531 </w:instrText>
      </w:r>
      <w:r>
        <w:rPr>
          <w:rFonts w:hint="eastAsia" w:ascii="黑体" w:hAnsi="黑体" w:eastAsia="黑体" w:cs="黑体"/>
          <w:color w:val="auto"/>
          <w:szCs w:val="36"/>
          <w:highlight w:val="none"/>
        </w:rPr>
        <w:fldChar w:fldCharType="separate"/>
      </w:r>
      <w:r>
        <w:rPr>
          <w:color w:val="auto"/>
          <w:highlight w:val="none"/>
        </w:rPr>
        <w:t xml:space="preserve">第一章 </w:t>
      </w:r>
      <w:r>
        <w:rPr>
          <w:rFonts w:hint="eastAsia"/>
          <w:color w:val="auto"/>
          <w:highlight w:val="none"/>
          <w:lang w:val="en-US" w:eastAsia="zh-CN"/>
        </w:rPr>
        <w:t>竞争性谈判</w:t>
      </w:r>
      <w:r>
        <w:rPr>
          <w:color w:val="auto"/>
          <w:highlight w:val="none"/>
        </w:rPr>
        <w:t>公告</w:t>
      </w:r>
      <w:r>
        <w:rPr>
          <w:color w:val="auto"/>
          <w:highlight w:val="none"/>
        </w:rPr>
        <w:tab/>
      </w:r>
      <w:r>
        <w:rPr>
          <w:color w:val="auto"/>
          <w:highlight w:val="none"/>
        </w:rPr>
        <w:fldChar w:fldCharType="begin"/>
      </w:r>
      <w:r>
        <w:rPr>
          <w:color w:val="auto"/>
          <w:highlight w:val="none"/>
        </w:rPr>
        <w:instrText xml:space="preserve"> PAGEREF _Toc3531 \h </w:instrText>
      </w:r>
      <w:r>
        <w:rPr>
          <w:color w:val="auto"/>
          <w:highlight w:val="none"/>
        </w:rPr>
        <w:fldChar w:fldCharType="separate"/>
      </w:r>
      <w:r>
        <w:rPr>
          <w:color w:val="auto"/>
          <w:highlight w:val="none"/>
        </w:rPr>
        <w:t>1</w:t>
      </w:r>
      <w:r>
        <w:rPr>
          <w:color w:val="auto"/>
          <w:highlight w:val="none"/>
        </w:rPr>
        <w:fldChar w:fldCharType="end"/>
      </w:r>
      <w:r>
        <w:rPr>
          <w:rFonts w:hint="eastAsia" w:ascii="黑体" w:hAnsi="黑体" w:eastAsia="黑体" w:cs="黑体"/>
          <w:color w:val="auto"/>
          <w:szCs w:val="36"/>
          <w:highlight w:val="none"/>
        </w:rPr>
        <w:fldChar w:fldCharType="end"/>
      </w:r>
    </w:p>
    <w:p w14:paraId="31DC6924">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_Toc29297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一、采购项目信息</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_Toc29297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2A557165">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_Toc3978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二、采购人的采购需求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_Toc3978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135D575E">
      <w:pPr>
        <w:pStyle w:val="27"/>
        <w:tabs>
          <w:tab w:val="right" w:leader="dot" w:pos="9900"/>
        </w:tabs>
        <w:rPr>
          <w:rFonts w:hint="default"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t>三、中标供应商的确定</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1</w:t>
      </w:r>
    </w:p>
    <w:p w14:paraId="63F485E6">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t>四、网上报价起始价、保证金、报价幅度要求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2</w:t>
      </w:r>
    </w:p>
    <w:p w14:paraId="0EEEA534">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_Toc5136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五、供应商的资格要求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_Toc5136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29FF906D">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_Toc31804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六、获取谈判文件的时间、地点及方式</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_Toc31804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89C6EB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_Toc1774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七、提交首次响应文件的截止时间、谈判时间及地点</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_Toc1774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96DE7FD">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_Toc28649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八、询问及质疑</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_Toc28649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4</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59F894E">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_Toc25013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九、采购项目联系人姓名和电话</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_Toc25013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4</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EE75966">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_Toc28234 </w:instrText>
      </w:r>
      <w:r>
        <w:rPr>
          <w:rFonts w:ascii="黑体" w:hAnsi="黑体" w:eastAsia="黑体" w:cs="黑体"/>
          <w:color w:val="auto"/>
          <w:szCs w:val="36"/>
          <w:highlight w:val="none"/>
        </w:rPr>
        <w:fldChar w:fldCharType="separate"/>
      </w:r>
      <w:r>
        <w:rPr>
          <w:color w:val="auto"/>
          <w:highlight w:val="none"/>
        </w:rPr>
        <w:t xml:space="preserve">第二章 </w:t>
      </w:r>
      <w:r>
        <w:rPr>
          <w:rFonts w:hint="eastAsia"/>
          <w:color w:val="auto"/>
          <w:highlight w:val="none"/>
          <w:lang w:eastAsia="zh-CN"/>
        </w:rPr>
        <w:t>供应商</w:t>
      </w:r>
      <w:r>
        <w:rPr>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_Toc28234 \h </w:instrText>
      </w:r>
      <w:r>
        <w:rPr>
          <w:color w:val="auto"/>
          <w:highlight w:val="none"/>
        </w:rPr>
        <w:fldChar w:fldCharType="separate"/>
      </w:r>
      <w:r>
        <w:rPr>
          <w:color w:val="auto"/>
          <w:highlight w:val="none"/>
        </w:rPr>
        <w:t>5</w:t>
      </w:r>
      <w:r>
        <w:rPr>
          <w:color w:val="auto"/>
          <w:highlight w:val="none"/>
        </w:rPr>
        <w:fldChar w:fldCharType="end"/>
      </w:r>
      <w:r>
        <w:rPr>
          <w:rFonts w:ascii="黑体" w:hAnsi="黑体" w:eastAsia="黑体" w:cs="黑体"/>
          <w:color w:val="auto"/>
          <w:szCs w:val="36"/>
          <w:highlight w:val="none"/>
        </w:rPr>
        <w:fldChar w:fldCharType="end"/>
      </w:r>
    </w:p>
    <w:p w14:paraId="0A218CD0">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_Toc10762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第一节 供应商须知前附表</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_Toc10762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5</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D5B08BC">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_Toc31744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第二节 供应商须知正文</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_Toc31744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7</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6D853582">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_Toc14706 </w:instrText>
      </w:r>
      <w:r>
        <w:rPr>
          <w:rFonts w:ascii="黑体" w:hAnsi="黑体" w:eastAsia="黑体" w:cs="黑体"/>
          <w:color w:val="auto"/>
          <w:szCs w:val="36"/>
          <w:highlight w:val="none"/>
        </w:rPr>
        <w:fldChar w:fldCharType="separate"/>
      </w:r>
      <w:r>
        <w:rPr>
          <w:rFonts w:ascii="微软雅黑" w:hAnsi="微软雅黑" w:eastAsia="微软雅黑" w:cs="微软雅黑"/>
          <w:color w:val="auto"/>
          <w:highlight w:val="none"/>
        </w:rPr>
        <w:t>第三章 项目需求</w:t>
      </w:r>
      <w:r>
        <w:rPr>
          <w:color w:val="auto"/>
          <w:highlight w:val="none"/>
        </w:rPr>
        <w:tab/>
      </w:r>
      <w:r>
        <w:rPr>
          <w:color w:val="auto"/>
          <w:highlight w:val="none"/>
        </w:rPr>
        <w:fldChar w:fldCharType="begin"/>
      </w:r>
      <w:r>
        <w:rPr>
          <w:color w:val="auto"/>
          <w:highlight w:val="none"/>
        </w:rPr>
        <w:instrText xml:space="preserve"> PAGEREF _Toc14706 \h </w:instrText>
      </w:r>
      <w:r>
        <w:rPr>
          <w:color w:val="auto"/>
          <w:highlight w:val="none"/>
        </w:rPr>
        <w:fldChar w:fldCharType="separate"/>
      </w:r>
      <w:r>
        <w:rPr>
          <w:color w:val="auto"/>
          <w:highlight w:val="none"/>
        </w:rPr>
        <w:t>23</w:t>
      </w:r>
      <w:r>
        <w:rPr>
          <w:color w:val="auto"/>
          <w:highlight w:val="none"/>
        </w:rPr>
        <w:fldChar w:fldCharType="end"/>
      </w:r>
      <w:r>
        <w:rPr>
          <w:rFonts w:ascii="黑体" w:hAnsi="黑体" w:eastAsia="黑体" w:cs="黑体"/>
          <w:color w:val="auto"/>
          <w:szCs w:val="36"/>
          <w:highlight w:val="none"/>
        </w:rPr>
        <w:fldChar w:fldCharType="end"/>
      </w:r>
    </w:p>
    <w:p w14:paraId="763DD16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_Toc24142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（一） 项目概况</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_Toc24142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4AF98D61">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_Toc12943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（二） 采购项目预（概）算</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_Toc12943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4E4DEF9C">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_Toc7680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（三） 采购标的汇总表</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_Toc7680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34895FC">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_Toc20741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（四） 技术要求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_Toc20741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23</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4FF3EEF">
      <w:pPr>
        <w:pStyle w:val="27"/>
        <w:tabs>
          <w:tab w:val="right" w:leader="dot" w:pos="9900"/>
        </w:tabs>
        <w:rPr>
          <w:rFonts w:hint="default"/>
          <w:color w:val="auto"/>
          <w:highlight w:val="none"/>
          <w:lang w:val="en-US"/>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_Toc3615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（五） 商务要求</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t>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t>3</w:t>
      </w:r>
    </w:p>
    <w:p w14:paraId="46102E9F">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_Toc24227 </w:instrText>
      </w:r>
      <w:r>
        <w:rPr>
          <w:rFonts w:ascii="黑体" w:hAnsi="黑体" w:eastAsia="黑体" w:cs="黑体"/>
          <w:color w:val="auto"/>
          <w:szCs w:val="36"/>
          <w:highlight w:val="none"/>
        </w:rPr>
        <w:fldChar w:fldCharType="separate"/>
      </w:r>
      <w:r>
        <w:rPr>
          <w:color w:val="auto"/>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_Toc24227 \h </w:instrText>
      </w:r>
      <w:r>
        <w:rPr>
          <w:color w:val="auto"/>
          <w:highlight w:val="none"/>
        </w:rPr>
        <w:fldChar w:fldCharType="separate"/>
      </w:r>
      <w:r>
        <w:rPr>
          <w:color w:val="auto"/>
          <w:highlight w:val="none"/>
        </w:rPr>
        <w:t>23</w:t>
      </w:r>
      <w:r>
        <w:rPr>
          <w:color w:val="auto"/>
          <w:highlight w:val="none"/>
        </w:rPr>
        <w:fldChar w:fldCharType="end"/>
      </w:r>
      <w:r>
        <w:rPr>
          <w:rFonts w:ascii="黑体" w:hAnsi="黑体" w:eastAsia="黑体" w:cs="黑体"/>
          <w:color w:val="auto"/>
          <w:szCs w:val="36"/>
          <w:highlight w:val="none"/>
        </w:rPr>
        <w:fldChar w:fldCharType="end"/>
      </w:r>
    </w:p>
    <w:p w14:paraId="45996449">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_Toc13095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第一节 资格审查</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_Toc13095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29</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0609D76">
      <w:pPr>
        <w:pStyle w:val="27"/>
        <w:tabs>
          <w:tab w:val="right" w:leader="dot" w:pos="9900"/>
        </w:tabs>
        <w:rPr>
          <w:rFonts w:hint="eastAsia" w:ascii="黑体" w:hAnsi="黑体" w:eastAsia="黑体" w:cs="黑体"/>
          <w:color w:val="auto"/>
          <w:szCs w:val="36"/>
          <w:highlight w:val="none"/>
          <w:lang w:val="en-US" w:eastAsia="zh-CN"/>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_Toc32574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第二节 符合性审查</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_Toc32574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31</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7A59DD86">
      <w:pPr>
        <w:pStyle w:val="27"/>
        <w:tabs>
          <w:tab w:val="right" w:leader="dot" w:pos="9900"/>
        </w:tabs>
        <w:rPr>
          <w:color w:val="auto"/>
          <w:highlight w:val="none"/>
        </w:rPr>
      </w:pP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HYPERLINK \l _Toc3262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第三节 报价</w:t>
      </w:r>
      <w:r>
        <w:rPr>
          <w:rFonts w:hint="eastAsia" w:ascii="黑体" w:hAnsi="黑体" w:eastAsia="黑体" w:cs="黑体"/>
          <w:color w:val="auto"/>
          <w:szCs w:val="36"/>
          <w:highlight w:val="none"/>
          <w:lang w:val="en-US" w:eastAsia="zh-CN"/>
        </w:rPr>
        <w:tab/>
      </w:r>
      <w:r>
        <w:rPr>
          <w:rFonts w:hint="eastAsia" w:ascii="黑体" w:hAnsi="黑体" w:eastAsia="黑体" w:cs="黑体"/>
          <w:color w:val="auto"/>
          <w:szCs w:val="36"/>
          <w:highlight w:val="none"/>
          <w:lang w:val="en-US" w:eastAsia="zh-CN"/>
        </w:rPr>
        <w:fldChar w:fldCharType="begin"/>
      </w:r>
      <w:r>
        <w:rPr>
          <w:rFonts w:hint="eastAsia" w:ascii="黑体" w:hAnsi="黑体" w:eastAsia="黑体" w:cs="黑体"/>
          <w:color w:val="auto"/>
          <w:szCs w:val="36"/>
          <w:highlight w:val="none"/>
          <w:lang w:val="en-US" w:eastAsia="zh-CN"/>
        </w:rPr>
        <w:instrText xml:space="preserve"> PAGEREF _Toc3262 \h </w:instrText>
      </w:r>
      <w:r>
        <w:rPr>
          <w:rFonts w:hint="eastAsia" w:ascii="黑体" w:hAnsi="黑体" w:eastAsia="黑体" w:cs="黑体"/>
          <w:color w:val="auto"/>
          <w:szCs w:val="36"/>
          <w:highlight w:val="none"/>
          <w:lang w:val="en-US" w:eastAsia="zh-CN"/>
        </w:rPr>
        <w:fldChar w:fldCharType="separate"/>
      </w:r>
      <w:r>
        <w:rPr>
          <w:rFonts w:hint="eastAsia" w:ascii="黑体" w:hAnsi="黑体" w:eastAsia="黑体" w:cs="黑体"/>
          <w:color w:val="auto"/>
          <w:szCs w:val="36"/>
          <w:highlight w:val="none"/>
          <w:lang w:val="en-US" w:eastAsia="zh-CN"/>
        </w:rPr>
        <w:t>32</w:t>
      </w:r>
      <w:r>
        <w:rPr>
          <w:rFonts w:hint="eastAsia" w:ascii="黑体" w:hAnsi="黑体" w:eastAsia="黑体" w:cs="黑体"/>
          <w:color w:val="auto"/>
          <w:szCs w:val="36"/>
          <w:highlight w:val="none"/>
          <w:lang w:val="en-US" w:eastAsia="zh-CN"/>
        </w:rPr>
        <w:fldChar w:fldCharType="end"/>
      </w:r>
      <w:r>
        <w:rPr>
          <w:rFonts w:hint="eastAsia" w:ascii="黑体" w:hAnsi="黑体" w:eastAsia="黑体" w:cs="黑体"/>
          <w:color w:val="auto"/>
          <w:szCs w:val="36"/>
          <w:highlight w:val="none"/>
          <w:lang w:val="en-US" w:eastAsia="zh-CN"/>
        </w:rPr>
        <w:fldChar w:fldCharType="end"/>
      </w:r>
    </w:p>
    <w:p w14:paraId="38D2B93F">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_Toc25314 </w:instrText>
      </w:r>
      <w:r>
        <w:rPr>
          <w:rFonts w:ascii="黑体" w:hAnsi="黑体" w:eastAsia="黑体" w:cs="黑体"/>
          <w:color w:val="auto"/>
          <w:szCs w:val="36"/>
          <w:highlight w:val="none"/>
        </w:rPr>
        <w:fldChar w:fldCharType="separate"/>
      </w:r>
      <w:r>
        <w:rPr>
          <w:color w:val="auto"/>
          <w:highlight w:val="none"/>
        </w:rPr>
        <w:t xml:space="preserve">第五章 </w:t>
      </w:r>
      <w:r>
        <w:rPr>
          <w:rFonts w:hint="eastAsia"/>
          <w:color w:val="auto"/>
          <w:highlight w:val="none"/>
        </w:rPr>
        <w:t>政府采购合同</w:t>
      </w:r>
      <w:r>
        <w:rPr>
          <w:rFonts w:hint="eastAsia"/>
          <w:color w:val="auto"/>
          <w:highlight w:val="none"/>
          <w:lang w:val="en-US" w:eastAsia="zh-CN"/>
        </w:rPr>
        <w:t>参考范本</w:t>
      </w:r>
      <w:r>
        <w:rPr>
          <w:color w:val="auto"/>
          <w:highlight w:val="none"/>
        </w:rPr>
        <w:tab/>
      </w:r>
      <w:r>
        <w:rPr>
          <w:color w:val="auto"/>
          <w:highlight w:val="none"/>
        </w:rPr>
        <w:fldChar w:fldCharType="begin"/>
      </w:r>
      <w:r>
        <w:rPr>
          <w:color w:val="auto"/>
          <w:highlight w:val="none"/>
        </w:rPr>
        <w:instrText xml:space="preserve"> PAGEREF _Toc25314 \h </w:instrText>
      </w:r>
      <w:r>
        <w:rPr>
          <w:color w:val="auto"/>
          <w:highlight w:val="none"/>
        </w:rPr>
        <w:fldChar w:fldCharType="separate"/>
      </w:r>
      <w:r>
        <w:rPr>
          <w:color w:val="auto"/>
          <w:highlight w:val="none"/>
        </w:rPr>
        <w:t>33</w:t>
      </w:r>
      <w:r>
        <w:rPr>
          <w:color w:val="auto"/>
          <w:highlight w:val="none"/>
        </w:rPr>
        <w:fldChar w:fldCharType="end"/>
      </w:r>
      <w:r>
        <w:rPr>
          <w:rFonts w:ascii="黑体" w:hAnsi="黑体" w:eastAsia="黑体" w:cs="黑体"/>
          <w:color w:val="auto"/>
          <w:szCs w:val="36"/>
          <w:highlight w:val="none"/>
        </w:rPr>
        <w:fldChar w:fldCharType="end"/>
      </w:r>
    </w:p>
    <w:p w14:paraId="4CB17BB0">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_Toc18902 </w:instrText>
      </w:r>
      <w:r>
        <w:rPr>
          <w:rFonts w:ascii="黑体" w:hAnsi="黑体" w:eastAsia="黑体" w:cs="黑体"/>
          <w:color w:val="auto"/>
          <w:szCs w:val="36"/>
          <w:highlight w:val="none"/>
        </w:rPr>
        <w:fldChar w:fldCharType="separate"/>
      </w:r>
      <w:r>
        <w:rPr>
          <w:color w:val="auto"/>
          <w:highlight w:val="none"/>
        </w:rPr>
        <w:t>第六章 响应文件组成</w:t>
      </w:r>
      <w:r>
        <w:rPr>
          <w:color w:val="auto"/>
          <w:highlight w:val="none"/>
        </w:rPr>
        <w:tab/>
      </w:r>
      <w:r>
        <w:rPr>
          <w:color w:val="auto"/>
          <w:highlight w:val="none"/>
        </w:rPr>
        <w:fldChar w:fldCharType="begin"/>
      </w:r>
      <w:r>
        <w:rPr>
          <w:color w:val="auto"/>
          <w:highlight w:val="none"/>
        </w:rPr>
        <w:instrText xml:space="preserve"> PAGEREF _Toc18902 \h </w:instrText>
      </w:r>
      <w:r>
        <w:rPr>
          <w:color w:val="auto"/>
          <w:highlight w:val="none"/>
        </w:rPr>
        <w:fldChar w:fldCharType="separate"/>
      </w:r>
      <w:r>
        <w:rPr>
          <w:color w:val="auto"/>
          <w:highlight w:val="none"/>
        </w:rPr>
        <w:t>33</w:t>
      </w:r>
      <w:r>
        <w:rPr>
          <w:color w:val="auto"/>
          <w:highlight w:val="none"/>
        </w:rPr>
        <w:fldChar w:fldCharType="end"/>
      </w:r>
      <w:r>
        <w:rPr>
          <w:rFonts w:ascii="黑体" w:hAnsi="黑体" w:eastAsia="黑体" w:cs="黑体"/>
          <w:color w:val="auto"/>
          <w:szCs w:val="36"/>
          <w:highlight w:val="none"/>
        </w:rPr>
        <w:fldChar w:fldCharType="end"/>
      </w:r>
    </w:p>
    <w:p w14:paraId="3F5B18A6">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_Toc7343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一、谈判响应声明（格式）</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_Toc7343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46</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4A17D9CD">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_Toc10697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二、授权委托书（格式）</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_Toc10697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47</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53630FF6">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_Toc7744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三、供应商的资格证明资料</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_Toc7744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49</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32C8A442">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_Toc10106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四、谈判响应表</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_Toc10106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57</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5920294">
      <w:pPr>
        <w:pStyle w:val="27"/>
        <w:tabs>
          <w:tab w:val="right" w:leader="dot" w:pos="9900"/>
        </w:tabs>
        <w:rPr>
          <w:rFonts w:hint="default"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t>五、服务人员配备和管理方案</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t>72</w:t>
      </w:r>
    </w:p>
    <w:p w14:paraId="7FBC0D46">
      <w:pPr>
        <w:pStyle w:val="27"/>
        <w:tabs>
          <w:tab w:val="right" w:leader="dot" w:pos="9900"/>
        </w:tabs>
        <w:rPr>
          <w:rFonts w:hint="default"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t>六、服务承诺及落实措施</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t>80</w:t>
      </w:r>
    </w:p>
    <w:p w14:paraId="04349DB5">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_Toc4266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七、谈判承诺书</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_Toc4266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61</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4AA2DB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_Toc30037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八、投标保证金</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_Toc30037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62</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764279C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_Toc5774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九、响应标的符合谈判文件规定的证明文件</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_Toc5774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63</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405EA648">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_Toc29103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十、供应商认为需提供的其他资料</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_Toc29103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64</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19A94FED">
      <w:pPr>
        <w:pStyle w:val="27"/>
        <w:tabs>
          <w:tab w:val="right" w:leader="dot" w:pos="9900"/>
        </w:tabs>
        <w:rPr>
          <w:rFonts w:hint="eastAsia" w:ascii="Arial" w:hAnsi="Arial" w:eastAsia="黑体" w:cs="Times New Roman"/>
          <w:color w:val="auto"/>
          <w:kern w:val="2"/>
          <w:szCs w:val="24"/>
          <w:highlight w:val="none"/>
          <w:lang w:val="en-US" w:eastAsia="zh-CN" w:bidi="ar-SA"/>
        </w:rPr>
      </w:pP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HYPERLINK \l _Toc31875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十一、送达方式确认函</w:t>
      </w:r>
      <w:r>
        <w:rPr>
          <w:rFonts w:hint="eastAsia" w:ascii="Arial" w:hAnsi="Arial" w:eastAsia="黑体" w:cs="Times New Roman"/>
          <w:color w:val="auto"/>
          <w:kern w:val="2"/>
          <w:szCs w:val="24"/>
          <w:highlight w:val="none"/>
          <w:lang w:val="en-US" w:eastAsia="zh-CN" w:bidi="ar-SA"/>
        </w:rPr>
        <w:tab/>
      </w:r>
      <w:r>
        <w:rPr>
          <w:rFonts w:hint="eastAsia" w:ascii="Arial" w:hAnsi="Arial" w:eastAsia="黑体" w:cs="Times New Roman"/>
          <w:color w:val="auto"/>
          <w:kern w:val="2"/>
          <w:szCs w:val="24"/>
          <w:highlight w:val="none"/>
          <w:lang w:val="en-US" w:eastAsia="zh-CN" w:bidi="ar-SA"/>
        </w:rPr>
        <w:fldChar w:fldCharType="begin"/>
      </w:r>
      <w:r>
        <w:rPr>
          <w:rFonts w:hint="eastAsia" w:ascii="Arial" w:hAnsi="Arial" w:eastAsia="黑体" w:cs="Times New Roman"/>
          <w:color w:val="auto"/>
          <w:kern w:val="2"/>
          <w:szCs w:val="24"/>
          <w:highlight w:val="none"/>
          <w:lang w:val="en-US" w:eastAsia="zh-CN" w:bidi="ar-SA"/>
        </w:rPr>
        <w:instrText xml:space="preserve"> PAGEREF _Toc31875 \h </w:instrText>
      </w:r>
      <w:r>
        <w:rPr>
          <w:rFonts w:hint="eastAsia" w:ascii="Arial" w:hAnsi="Arial" w:eastAsia="黑体" w:cs="Times New Roman"/>
          <w:color w:val="auto"/>
          <w:kern w:val="2"/>
          <w:szCs w:val="24"/>
          <w:highlight w:val="none"/>
          <w:lang w:val="en-US" w:eastAsia="zh-CN" w:bidi="ar-SA"/>
        </w:rPr>
        <w:fldChar w:fldCharType="separate"/>
      </w:r>
      <w:r>
        <w:rPr>
          <w:rFonts w:hint="eastAsia" w:ascii="Arial" w:hAnsi="Arial" w:eastAsia="黑体" w:cs="Times New Roman"/>
          <w:color w:val="auto"/>
          <w:kern w:val="2"/>
          <w:szCs w:val="24"/>
          <w:highlight w:val="none"/>
          <w:lang w:val="en-US" w:eastAsia="zh-CN" w:bidi="ar-SA"/>
        </w:rPr>
        <w:t>65</w:t>
      </w:r>
      <w:r>
        <w:rPr>
          <w:rFonts w:hint="eastAsia" w:ascii="Arial" w:hAnsi="Arial" w:eastAsia="黑体" w:cs="Times New Roman"/>
          <w:color w:val="auto"/>
          <w:kern w:val="2"/>
          <w:szCs w:val="24"/>
          <w:highlight w:val="none"/>
          <w:lang w:val="en-US" w:eastAsia="zh-CN" w:bidi="ar-SA"/>
        </w:rPr>
        <w:fldChar w:fldCharType="end"/>
      </w:r>
      <w:r>
        <w:rPr>
          <w:rFonts w:hint="eastAsia" w:ascii="Arial" w:hAnsi="Arial" w:eastAsia="黑体" w:cs="Times New Roman"/>
          <w:color w:val="auto"/>
          <w:kern w:val="2"/>
          <w:szCs w:val="24"/>
          <w:highlight w:val="none"/>
          <w:lang w:val="en-US" w:eastAsia="zh-CN" w:bidi="ar-SA"/>
        </w:rPr>
        <w:fldChar w:fldCharType="end"/>
      </w:r>
    </w:p>
    <w:p w14:paraId="60ABFF32">
      <w:pPr>
        <w:pStyle w:val="27"/>
        <w:tabs>
          <w:tab w:val="right" w:leader="dot" w:pos="9900"/>
        </w:tabs>
        <w:rPr>
          <w:rFonts w:hint="default" w:ascii="黑体" w:hAnsi="黑体" w:eastAsia="宋体" w:cs="黑体"/>
          <w:color w:val="auto"/>
          <w:szCs w:val="36"/>
          <w:highlight w:val="none"/>
          <w:lang w:val="en-US" w:eastAsia="zh-CN"/>
        </w:rPr>
      </w:pPr>
      <w:r>
        <w:rPr>
          <w:rFonts w:hint="eastAsia" w:ascii="黑体" w:hAnsi="黑体" w:eastAsia="黑体" w:cs="黑体"/>
          <w:color w:val="auto"/>
          <w:szCs w:val="36"/>
          <w:highlight w:val="none"/>
          <w:lang w:val="en-US" w:eastAsia="zh-CN"/>
        </w:rPr>
        <w:t>十二、 中小企业声明函</w:t>
      </w:r>
      <w:r>
        <w:rPr>
          <w:color w:val="auto"/>
          <w:highlight w:val="none"/>
        </w:rPr>
        <w:tab/>
      </w:r>
      <w:r>
        <w:rPr>
          <w:rFonts w:hint="eastAsia" w:ascii="Arial" w:hAnsi="Arial" w:eastAsia="黑体" w:cs="Times New Roman"/>
          <w:color w:val="auto"/>
          <w:kern w:val="2"/>
          <w:szCs w:val="24"/>
          <w:highlight w:val="none"/>
          <w:lang w:val="en-US" w:eastAsia="zh-CN" w:bidi="ar-SA"/>
        </w:rPr>
        <w:t>84</w:t>
      </w:r>
    </w:p>
    <w:p w14:paraId="28C3AACA">
      <w:pPr>
        <w:pStyle w:val="25"/>
        <w:tabs>
          <w:tab w:val="right" w:leader="dot" w:pos="9900"/>
          <w:tab w:val="clear" w:pos="0"/>
        </w:tabs>
        <w:rPr>
          <w:color w:val="auto"/>
          <w:highlight w:val="none"/>
        </w:rPr>
      </w:pPr>
      <w:r>
        <w:rPr>
          <w:rFonts w:ascii="黑体" w:hAnsi="黑体" w:eastAsia="黑体" w:cs="黑体"/>
          <w:color w:val="auto"/>
          <w:szCs w:val="36"/>
          <w:highlight w:val="none"/>
        </w:rPr>
        <w:fldChar w:fldCharType="begin"/>
      </w:r>
      <w:r>
        <w:rPr>
          <w:rFonts w:ascii="黑体" w:hAnsi="黑体" w:eastAsia="黑体" w:cs="黑体"/>
          <w:color w:val="auto"/>
          <w:szCs w:val="36"/>
          <w:highlight w:val="none"/>
        </w:rPr>
        <w:instrText xml:space="preserve"> HYPERLINK \l _Toc26447 </w:instrText>
      </w:r>
      <w:r>
        <w:rPr>
          <w:rFonts w:ascii="黑体" w:hAnsi="黑体" w:eastAsia="黑体" w:cs="黑体"/>
          <w:color w:val="auto"/>
          <w:szCs w:val="36"/>
          <w:highlight w:val="none"/>
        </w:rPr>
        <w:fldChar w:fldCharType="separate"/>
      </w:r>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r>
        <w:rPr>
          <w:color w:val="auto"/>
          <w:highlight w:val="none"/>
        </w:rPr>
        <w:tab/>
      </w:r>
      <w:r>
        <w:rPr>
          <w:color w:val="auto"/>
          <w:highlight w:val="none"/>
        </w:rPr>
        <w:fldChar w:fldCharType="begin"/>
      </w:r>
      <w:r>
        <w:rPr>
          <w:color w:val="auto"/>
          <w:highlight w:val="none"/>
        </w:rPr>
        <w:instrText xml:space="preserve"> PAGEREF _Toc26447 \h </w:instrText>
      </w:r>
      <w:r>
        <w:rPr>
          <w:color w:val="auto"/>
          <w:highlight w:val="none"/>
        </w:rPr>
        <w:fldChar w:fldCharType="separate"/>
      </w:r>
      <w:r>
        <w:rPr>
          <w:color w:val="auto"/>
          <w:highlight w:val="none"/>
        </w:rPr>
        <w:t>67</w:t>
      </w:r>
      <w:r>
        <w:rPr>
          <w:color w:val="auto"/>
          <w:highlight w:val="none"/>
        </w:rPr>
        <w:fldChar w:fldCharType="end"/>
      </w:r>
      <w:r>
        <w:rPr>
          <w:rFonts w:ascii="黑体" w:hAnsi="黑体" w:eastAsia="黑体" w:cs="黑体"/>
          <w:color w:val="auto"/>
          <w:szCs w:val="36"/>
          <w:highlight w:val="none"/>
        </w:rPr>
        <w:fldChar w:fldCharType="end"/>
      </w:r>
    </w:p>
    <w:p w14:paraId="09FBEA26">
      <w:pPr>
        <w:pStyle w:val="3"/>
        <w:widowControl/>
        <w:spacing w:before="156" w:after="156" w:line="400" w:lineRule="exact"/>
        <w:outlineLvl w:val="9"/>
        <w:rPr>
          <w:rFonts w:hint="default" w:ascii="黑体" w:hAnsi="黑体" w:eastAsia="黑体" w:cs="黑体"/>
          <w:color w:val="auto"/>
          <w:szCs w:val="36"/>
          <w:highlight w:val="none"/>
        </w:rPr>
        <w:sectPr>
          <w:headerReference r:id="rId8" w:type="default"/>
          <w:footerReference r:id="rId9" w:type="default"/>
          <w:pgSz w:w="11906" w:h="16838"/>
          <w:pgMar w:top="1230" w:right="1003" w:bottom="1174" w:left="1003" w:header="850" w:footer="992" w:gutter="0"/>
          <w:pgBorders>
            <w:top w:val="none" w:sz="0" w:space="0"/>
            <w:left w:val="none" w:sz="0" w:space="0"/>
            <w:bottom w:val="none" w:sz="0" w:space="0"/>
            <w:right w:val="none" w:sz="0" w:space="0"/>
          </w:pgBorders>
          <w:pgNumType w:start="1"/>
          <w:cols w:space="0" w:num="1"/>
          <w:docGrid w:type="lines" w:linePitch="312" w:charSpace="0"/>
        </w:sectPr>
      </w:pPr>
      <w:r>
        <w:rPr>
          <w:rFonts w:ascii="黑体" w:hAnsi="黑体" w:eastAsia="黑体" w:cs="黑体"/>
          <w:color w:val="auto"/>
          <w:szCs w:val="36"/>
          <w:highlight w:val="none"/>
        </w:rPr>
        <w:fldChar w:fldCharType="end"/>
      </w:r>
      <w:bookmarkStart w:id="0" w:name="_Toc3531"/>
      <w:bookmarkStart w:id="1" w:name="_Toc16164"/>
    </w:p>
    <w:p w14:paraId="72DE54F4">
      <w:pPr>
        <w:pStyle w:val="3"/>
        <w:widowControl/>
        <w:spacing w:before="156" w:after="156" w:line="400" w:lineRule="exact"/>
        <w:outlineLvl w:val="9"/>
        <w:rPr>
          <w:rFonts w:hint="default"/>
          <w:color w:val="auto"/>
          <w:highlight w:val="none"/>
        </w:rPr>
      </w:pPr>
      <w:r>
        <w:rPr>
          <w:color w:val="auto"/>
          <w:highlight w:val="none"/>
        </w:rPr>
        <w:t xml:space="preserve">第一章 </w:t>
      </w:r>
      <w:r>
        <w:rPr>
          <w:rFonts w:hint="eastAsia"/>
          <w:color w:val="auto"/>
          <w:highlight w:val="none"/>
          <w:lang w:val="en-US" w:eastAsia="zh-CN"/>
        </w:rPr>
        <w:t>竞争性谈判</w:t>
      </w:r>
      <w:r>
        <w:rPr>
          <w:color w:val="auto"/>
          <w:highlight w:val="none"/>
        </w:rPr>
        <w:t>公告</w:t>
      </w:r>
      <w:bookmarkEnd w:id="0"/>
      <w:bookmarkEnd w:id="1"/>
    </w:p>
    <w:p w14:paraId="634B8AC6">
      <w:pPr>
        <w:pStyle w:val="45"/>
        <w:spacing w:before="156"/>
        <w:ind w:firstLine="480"/>
        <w:rPr>
          <w:rFonts w:hint="eastAsia" w:eastAsia="宋体"/>
          <w:color w:val="auto"/>
          <w:highlight w:val="none"/>
          <w:lang w:eastAsia="zh-CN"/>
        </w:rPr>
      </w:pPr>
      <w:r>
        <w:rPr>
          <w:rFonts w:hint="eastAsia" w:cs="Times New Roman"/>
          <w:color w:val="auto"/>
          <w:highlight w:val="none"/>
          <w:lang w:val="en-US" w:eastAsia="zh-CN"/>
        </w:rPr>
        <w:t>张家界市卫生健康委员会</w:t>
      </w:r>
      <w:r>
        <w:rPr>
          <w:rFonts w:hint="eastAsia"/>
          <w:color w:val="auto"/>
          <w:highlight w:val="none"/>
          <w:lang w:val="en-US" w:eastAsia="zh-CN"/>
        </w:rPr>
        <w:t>的第十一届全省少数民族传统运动会自动除颤器（AED）采购项目</w:t>
      </w:r>
      <w:r>
        <w:rPr>
          <w:rFonts w:hint="eastAsia"/>
          <w:color w:val="auto"/>
          <w:highlight w:val="none"/>
        </w:rPr>
        <w:t>进行竞争性谈判采购，</w:t>
      </w:r>
      <w:r>
        <w:rPr>
          <w:rFonts w:hint="eastAsia"/>
          <w:color w:val="auto"/>
          <w:highlight w:val="none"/>
          <w:lang w:val="en-US" w:eastAsia="zh-CN"/>
        </w:rPr>
        <w:t>现</w:t>
      </w:r>
      <w:r>
        <w:rPr>
          <w:rFonts w:hint="eastAsia"/>
          <w:color w:val="auto"/>
          <w:highlight w:val="none"/>
        </w:rPr>
        <w:t>邀请你单位参加谈判采购活动。</w:t>
      </w:r>
    </w:p>
    <w:p w14:paraId="0178D4AF">
      <w:pPr>
        <w:pStyle w:val="4"/>
        <w:numPr>
          <w:ilvl w:val="0"/>
          <w:numId w:val="0"/>
        </w:numPr>
        <w:ind w:left="0" w:leftChars="0" w:firstLine="400" w:firstLineChars="0"/>
        <w:jc w:val="left"/>
        <w:rPr>
          <w:color w:val="auto"/>
          <w:highlight w:val="none"/>
        </w:rPr>
      </w:pPr>
      <w:bookmarkStart w:id="2" w:name="_Toc14974"/>
      <w:bookmarkStart w:id="3" w:name="_Toc29297"/>
      <w:bookmarkStart w:id="4" w:name="_Toc492"/>
      <w:bookmarkStart w:id="5" w:name="_Toc30765"/>
      <w:bookmarkStart w:id="6" w:name="_Toc15248"/>
      <w:bookmarkStart w:id="7" w:name="_Toc25910"/>
      <w:r>
        <w:rPr>
          <w:rFonts w:hint="eastAsia" w:ascii="Arial" w:hAnsi="Arial" w:eastAsia="黑体" w:cs="Times New Roman"/>
          <w:color w:val="auto"/>
          <w:kern w:val="2"/>
          <w:sz w:val="30"/>
          <w:szCs w:val="24"/>
          <w:highlight w:val="none"/>
          <w:lang w:val="en-US" w:eastAsia="zh-CN" w:bidi="ar-SA"/>
        </w:rPr>
        <w:t>一、</w:t>
      </w:r>
      <w:r>
        <w:rPr>
          <w:rFonts w:hint="eastAsia"/>
          <w:color w:val="auto"/>
          <w:highlight w:val="none"/>
        </w:rPr>
        <w:t>采购项目信息</w:t>
      </w:r>
      <w:bookmarkEnd w:id="2"/>
      <w:bookmarkEnd w:id="3"/>
      <w:bookmarkEnd w:id="4"/>
      <w:bookmarkEnd w:id="5"/>
      <w:bookmarkEnd w:id="6"/>
    </w:p>
    <w:tbl>
      <w:tblPr>
        <w:tblStyle w:val="35"/>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7605"/>
      </w:tblGrid>
      <w:tr w14:paraId="4DD3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0EEBD545">
            <w:pPr>
              <w:pStyle w:val="45"/>
              <w:spacing w:before="120" w:beforeLines="50" w:line="300" w:lineRule="exact"/>
              <w:ind w:firstLine="0" w:firstLineChars="0"/>
              <w:jc w:val="distribute"/>
              <w:rPr>
                <w:color w:val="auto"/>
                <w:highlight w:val="none"/>
              </w:rPr>
            </w:pPr>
            <w:r>
              <w:rPr>
                <w:color w:val="auto"/>
                <w:highlight w:val="none"/>
              </w:rPr>
              <w:t>项目名称</w:t>
            </w:r>
            <w:r>
              <w:rPr>
                <w:rFonts w:hint="eastAsia"/>
                <w:color w:val="auto"/>
                <w:highlight w:val="none"/>
              </w:rPr>
              <w:t>：</w:t>
            </w:r>
          </w:p>
        </w:tc>
        <w:tc>
          <w:tcPr>
            <w:tcW w:w="7605" w:type="dxa"/>
            <w:tcBorders>
              <w:top w:val="nil"/>
              <w:left w:val="nil"/>
              <w:bottom w:val="nil"/>
              <w:right w:val="nil"/>
            </w:tcBorders>
            <w:vAlign w:val="center"/>
          </w:tcPr>
          <w:p w14:paraId="5865BCE9">
            <w:pPr>
              <w:pStyle w:val="45"/>
              <w:spacing w:before="120" w:beforeLines="50" w:line="300" w:lineRule="exact"/>
              <w:ind w:firstLine="0" w:firstLineChars="0"/>
              <w:jc w:val="left"/>
              <w:rPr>
                <w:rFonts w:hint="default" w:eastAsia="宋体"/>
                <w:color w:val="auto"/>
                <w:highlight w:val="none"/>
                <w:lang w:val="en-US" w:eastAsia="zh-CN"/>
              </w:rPr>
            </w:pPr>
            <w:r>
              <w:rPr>
                <w:rFonts w:hint="eastAsia" w:cs="Times New Roman"/>
                <w:color w:val="auto"/>
                <w:highlight w:val="none"/>
                <w:lang w:val="en-US" w:eastAsia="zh-CN"/>
              </w:rPr>
              <w:t>第十一届全省少数民族传统运动会自动除颤器（AED）采购项目</w:t>
            </w:r>
          </w:p>
        </w:tc>
      </w:tr>
      <w:tr w14:paraId="48D1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7F87F82A">
            <w:pPr>
              <w:pStyle w:val="45"/>
              <w:spacing w:before="120" w:beforeLines="50" w:line="300" w:lineRule="exact"/>
              <w:ind w:firstLine="0" w:firstLineChars="0"/>
              <w:jc w:val="distribute"/>
              <w:rPr>
                <w:color w:val="auto"/>
                <w:highlight w:val="none"/>
              </w:rPr>
            </w:pPr>
            <w:r>
              <w:rPr>
                <w:color w:val="auto"/>
                <w:highlight w:val="none"/>
              </w:rPr>
              <w:t>采购计划编号：</w:t>
            </w:r>
          </w:p>
        </w:tc>
        <w:tc>
          <w:tcPr>
            <w:tcW w:w="7605" w:type="dxa"/>
            <w:tcBorders>
              <w:top w:val="nil"/>
              <w:left w:val="nil"/>
              <w:bottom w:val="nil"/>
              <w:right w:val="nil"/>
            </w:tcBorders>
            <w:vAlign w:val="center"/>
          </w:tcPr>
          <w:p w14:paraId="0AAE487A">
            <w:pPr>
              <w:pStyle w:val="45"/>
              <w:spacing w:before="120" w:beforeLines="50" w:line="300" w:lineRule="exact"/>
              <w:ind w:firstLine="0" w:firstLineChars="0"/>
              <w:jc w:val="left"/>
              <w:rPr>
                <w:rFonts w:hint="eastAsia" w:eastAsia="宋体"/>
                <w:color w:val="auto"/>
                <w:highlight w:val="none"/>
                <w:lang w:eastAsia="zh-CN"/>
              </w:rPr>
            </w:pPr>
            <w:r>
              <w:rPr>
                <w:rFonts w:hint="eastAsia" w:ascii="Times New Roman" w:hAnsi="Times New Roman" w:eastAsia="宋体" w:cs="Times New Roman"/>
                <w:color w:val="auto"/>
                <w:highlight w:val="none"/>
                <w:lang w:val="en-US" w:eastAsia="zh-CN"/>
              </w:rPr>
              <w:t>(2026)430800000024</w:t>
            </w:r>
            <w:r>
              <w:rPr>
                <w:rFonts w:hint="eastAsia" w:cs="Times New Roman"/>
                <w:color w:val="auto"/>
                <w:highlight w:val="none"/>
                <w:lang w:val="en-US" w:eastAsia="zh-CN"/>
              </w:rPr>
              <w:t xml:space="preserve">-1   </w:t>
            </w:r>
          </w:p>
        </w:tc>
      </w:tr>
      <w:tr w14:paraId="27F1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40BB6495">
            <w:pPr>
              <w:pStyle w:val="45"/>
              <w:spacing w:before="120" w:beforeLines="50" w:line="300" w:lineRule="exact"/>
              <w:ind w:firstLine="0" w:firstLineChars="0"/>
              <w:jc w:val="distribute"/>
              <w:rPr>
                <w:color w:val="auto"/>
                <w:highlight w:val="none"/>
              </w:rPr>
            </w:pPr>
            <w:r>
              <w:rPr>
                <w:rFonts w:hint="eastAsia"/>
                <w:color w:val="auto"/>
                <w:highlight w:val="none"/>
              </w:rPr>
              <w:t>委托代理编号</w:t>
            </w:r>
            <w:r>
              <w:rPr>
                <w:color w:val="auto"/>
                <w:highlight w:val="none"/>
              </w:rPr>
              <w:t>：</w:t>
            </w:r>
          </w:p>
        </w:tc>
        <w:tc>
          <w:tcPr>
            <w:tcW w:w="7605" w:type="dxa"/>
            <w:tcBorders>
              <w:top w:val="nil"/>
              <w:left w:val="nil"/>
              <w:bottom w:val="nil"/>
              <w:right w:val="nil"/>
            </w:tcBorders>
            <w:vAlign w:val="center"/>
          </w:tcPr>
          <w:p w14:paraId="139A56A7">
            <w:pPr>
              <w:pStyle w:val="45"/>
              <w:spacing w:before="120" w:beforeLines="50" w:line="300" w:lineRule="exact"/>
              <w:ind w:firstLine="0" w:firstLineChars="0"/>
              <w:jc w:val="left"/>
              <w:rPr>
                <w:rFonts w:hint="default" w:eastAsia="宋体"/>
                <w:color w:val="auto"/>
                <w:highlight w:val="none"/>
                <w:lang w:val="en-US" w:eastAsia="zh-CN"/>
              </w:rPr>
            </w:pPr>
            <w:r>
              <w:rPr>
                <w:rFonts w:hint="eastAsia"/>
                <w:color w:val="auto"/>
                <w:highlight w:val="none"/>
                <w:lang w:val="en-US" w:eastAsia="zh-CN"/>
              </w:rPr>
              <w:t>TPPCZ（2026）223</w:t>
            </w:r>
          </w:p>
        </w:tc>
      </w:tr>
      <w:tr w14:paraId="51A3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652EEC21">
            <w:pPr>
              <w:pStyle w:val="45"/>
              <w:spacing w:before="120" w:beforeLines="50" w:line="300" w:lineRule="exact"/>
              <w:ind w:firstLine="0" w:firstLineChars="0"/>
              <w:jc w:val="distribute"/>
              <w:rPr>
                <w:color w:val="auto"/>
                <w:highlight w:val="none"/>
              </w:rPr>
            </w:pPr>
            <w:r>
              <w:rPr>
                <w:color w:val="auto"/>
                <w:highlight w:val="none"/>
              </w:rPr>
              <w:t>采购预算：</w:t>
            </w:r>
          </w:p>
        </w:tc>
        <w:tc>
          <w:tcPr>
            <w:tcW w:w="7605" w:type="dxa"/>
            <w:tcBorders>
              <w:top w:val="nil"/>
              <w:left w:val="nil"/>
              <w:bottom w:val="nil"/>
              <w:right w:val="nil"/>
            </w:tcBorders>
            <w:vAlign w:val="center"/>
          </w:tcPr>
          <w:p w14:paraId="07F716F5">
            <w:pPr>
              <w:pStyle w:val="45"/>
              <w:spacing w:before="120" w:beforeLines="50" w:line="300" w:lineRule="exact"/>
              <w:ind w:firstLine="0" w:firstLineChars="0"/>
              <w:jc w:val="left"/>
              <w:rPr>
                <w:color w:val="auto"/>
                <w:highlight w:val="none"/>
              </w:rPr>
            </w:pPr>
            <w:r>
              <w:rPr>
                <w:rFonts w:hint="eastAsia" w:ascii="宋体" w:hAnsi="宋体" w:cs="宋体"/>
                <w:color w:val="auto"/>
                <w:sz w:val="24"/>
                <w:szCs w:val="24"/>
                <w:highlight w:val="none"/>
                <w:lang w:val="en-US" w:eastAsia="zh-CN"/>
              </w:rPr>
              <w:t>546000.00</w:t>
            </w:r>
            <w:r>
              <w:rPr>
                <w:rFonts w:hint="eastAsia"/>
                <w:color w:val="auto"/>
                <w:highlight w:val="none"/>
              </w:rPr>
              <w:t>元</w:t>
            </w:r>
          </w:p>
        </w:tc>
      </w:tr>
      <w:tr w14:paraId="733B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368CA3E0">
            <w:pPr>
              <w:pStyle w:val="45"/>
              <w:spacing w:before="120" w:beforeLines="50" w:line="300" w:lineRule="exact"/>
              <w:ind w:firstLine="0" w:firstLineChars="0"/>
              <w:jc w:val="distribute"/>
              <w:rPr>
                <w:color w:val="auto"/>
                <w:highlight w:val="none"/>
              </w:rPr>
            </w:pPr>
          </w:p>
        </w:tc>
        <w:tc>
          <w:tcPr>
            <w:tcW w:w="7605" w:type="dxa"/>
            <w:tcBorders>
              <w:top w:val="nil"/>
              <w:left w:val="nil"/>
              <w:bottom w:val="nil"/>
              <w:right w:val="nil"/>
            </w:tcBorders>
            <w:vAlign w:val="center"/>
          </w:tcPr>
          <w:p w14:paraId="05546D0F">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支持预付款，预付比例：</w:t>
            </w:r>
            <w:r>
              <w:rPr>
                <w:rFonts w:hint="eastAsia"/>
                <w:color w:val="auto"/>
                <w:highlight w:val="none"/>
                <w:u w:val="single"/>
                <w:lang w:val="en-US" w:eastAsia="zh-CN"/>
              </w:rPr>
              <w:t xml:space="preserve"> </w:t>
            </w:r>
            <w:r>
              <w:rPr>
                <w:rFonts w:hint="eastAsia"/>
                <w:color w:val="auto"/>
                <w:highlight w:val="none"/>
              </w:rPr>
              <w:t>%</w:t>
            </w:r>
          </w:p>
        </w:tc>
      </w:tr>
      <w:tr w14:paraId="4190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5" w:type="dxa"/>
            <w:tcBorders>
              <w:top w:val="nil"/>
              <w:left w:val="nil"/>
              <w:bottom w:val="nil"/>
              <w:right w:val="nil"/>
            </w:tcBorders>
            <w:vAlign w:val="center"/>
          </w:tcPr>
          <w:p w14:paraId="589E78F6">
            <w:pPr>
              <w:pStyle w:val="45"/>
              <w:spacing w:before="120" w:beforeLines="50" w:line="300" w:lineRule="exact"/>
              <w:ind w:firstLine="0" w:firstLineChars="0"/>
              <w:jc w:val="distribute"/>
              <w:rPr>
                <w:color w:val="auto"/>
                <w:highlight w:val="none"/>
              </w:rPr>
            </w:pPr>
            <w:r>
              <w:rPr>
                <w:rFonts w:hint="eastAsia"/>
                <w:color w:val="auto"/>
                <w:highlight w:val="none"/>
              </w:rPr>
              <w:t>本项目对应的中小企业划分标准所属行业：</w:t>
            </w:r>
          </w:p>
        </w:tc>
        <w:tc>
          <w:tcPr>
            <w:tcW w:w="7605" w:type="dxa"/>
            <w:tcBorders>
              <w:top w:val="nil"/>
              <w:left w:val="nil"/>
              <w:bottom w:val="nil"/>
              <w:right w:val="nil"/>
            </w:tcBorders>
            <w:vAlign w:val="center"/>
          </w:tcPr>
          <w:p w14:paraId="6A0EDF61">
            <w:pPr>
              <w:pStyle w:val="45"/>
              <w:spacing w:before="120" w:beforeLines="50" w:line="300" w:lineRule="exact"/>
              <w:ind w:firstLine="0" w:firstLineChars="0"/>
              <w:jc w:val="left"/>
              <w:rPr>
                <w:rFonts w:hint="eastAsia" w:eastAsia="宋体"/>
                <w:color w:val="auto"/>
                <w:highlight w:val="none"/>
                <w:lang w:val="en-US" w:eastAsia="zh-CN"/>
              </w:rPr>
            </w:pPr>
            <w:r>
              <w:rPr>
                <w:rFonts w:hint="eastAsia"/>
                <w:color w:val="auto"/>
                <w:highlight w:val="none"/>
              </w:rPr>
              <w:t xml:space="preserve"> </w:t>
            </w:r>
            <w:r>
              <w:rPr>
                <w:rFonts w:ascii="Segoe UI" w:hAnsi="Segoe UI" w:eastAsia="Segoe UI" w:cs="Segoe UI"/>
                <w:b/>
                <w:bCs/>
                <w:i w:val="0"/>
                <w:iCs w:val="0"/>
                <w:caps w:val="0"/>
                <w:color w:val="auto"/>
                <w:spacing w:val="0"/>
                <w:sz w:val="24"/>
                <w:szCs w:val="24"/>
                <w:shd w:val="clear" w:fill="FFFFFF"/>
              </w:rPr>
              <w:t>工业（制造业）</w:t>
            </w:r>
            <w:r>
              <w:rPr>
                <w:rFonts w:hint="eastAsia" w:ascii="Segoe UI" w:hAnsi="Segoe UI" w:eastAsia="宋体" w:cs="Segoe UI"/>
                <w:b/>
                <w:bCs/>
                <w:i w:val="0"/>
                <w:iCs w:val="0"/>
                <w:caps w:val="0"/>
                <w:color w:val="auto"/>
                <w:spacing w:val="0"/>
                <w:sz w:val="24"/>
                <w:szCs w:val="24"/>
                <w:shd w:val="clear" w:fill="FFFFFF"/>
                <w:lang w:eastAsia="zh-CN"/>
              </w:rPr>
              <w:t>。</w:t>
            </w:r>
          </w:p>
        </w:tc>
      </w:tr>
      <w:tr w14:paraId="5F18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65" w:type="dxa"/>
            <w:tcBorders>
              <w:top w:val="nil"/>
              <w:left w:val="nil"/>
              <w:bottom w:val="nil"/>
              <w:right w:val="nil"/>
            </w:tcBorders>
            <w:vAlign w:val="center"/>
          </w:tcPr>
          <w:p w14:paraId="4A5208DC">
            <w:pPr>
              <w:pStyle w:val="45"/>
              <w:spacing w:before="120" w:beforeLines="50" w:line="300" w:lineRule="exact"/>
              <w:ind w:firstLine="0" w:firstLineChars="0"/>
              <w:jc w:val="distribute"/>
              <w:rPr>
                <w:color w:val="auto"/>
                <w:highlight w:val="none"/>
              </w:rPr>
            </w:pPr>
            <w:r>
              <w:rPr>
                <w:rFonts w:hint="eastAsia"/>
                <w:color w:val="auto"/>
                <w:highlight w:val="none"/>
              </w:rPr>
              <w:t>合同履行期限：</w:t>
            </w:r>
          </w:p>
        </w:tc>
        <w:tc>
          <w:tcPr>
            <w:tcW w:w="7605" w:type="dxa"/>
            <w:tcBorders>
              <w:top w:val="nil"/>
              <w:left w:val="nil"/>
              <w:bottom w:val="nil"/>
              <w:right w:val="nil"/>
            </w:tcBorders>
            <w:vAlign w:val="center"/>
          </w:tcPr>
          <w:p w14:paraId="296F48E6">
            <w:pPr>
              <w:pStyle w:val="45"/>
              <w:spacing w:before="120" w:beforeLines="50" w:line="300" w:lineRule="exact"/>
              <w:ind w:firstLine="0" w:firstLineChars="0"/>
              <w:jc w:val="left"/>
              <w:rPr>
                <w:rFonts w:hint="eastAsia" w:eastAsia="宋体"/>
                <w:color w:val="auto"/>
                <w:highlight w:val="none"/>
                <w:lang w:val="en-US" w:eastAsia="zh-CN"/>
              </w:rPr>
            </w:pPr>
            <w:r>
              <w:rPr>
                <w:rFonts w:hint="eastAsia" w:cs="宋体"/>
                <w:color w:val="auto"/>
                <w:u w:val="none"/>
                <w:lang w:eastAsia="zh-CN"/>
              </w:rPr>
              <w:t>自合同签订之日起10天内完成交货。</w:t>
            </w:r>
          </w:p>
        </w:tc>
      </w:tr>
      <w:tr w14:paraId="0D03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265" w:type="dxa"/>
            <w:tcBorders>
              <w:top w:val="nil"/>
              <w:left w:val="nil"/>
              <w:bottom w:val="nil"/>
              <w:right w:val="nil"/>
            </w:tcBorders>
            <w:vAlign w:val="center"/>
          </w:tcPr>
          <w:p w14:paraId="14BFAB8C">
            <w:pPr>
              <w:pStyle w:val="45"/>
              <w:spacing w:before="120" w:beforeLines="50" w:line="300" w:lineRule="exact"/>
              <w:ind w:firstLine="0" w:firstLineChars="0"/>
              <w:jc w:val="distribute"/>
              <w:rPr>
                <w:color w:val="auto"/>
                <w:highlight w:val="none"/>
              </w:rPr>
            </w:pPr>
            <w:r>
              <w:rPr>
                <w:rFonts w:hint="eastAsia"/>
                <w:color w:val="auto"/>
                <w:highlight w:val="none"/>
              </w:rPr>
              <w:t>本项目分阶段要求供应商提供以下保证：</w:t>
            </w:r>
          </w:p>
        </w:tc>
        <w:tc>
          <w:tcPr>
            <w:tcW w:w="7605" w:type="dxa"/>
            <w:tcBorders>
              <w:top w:val="nil"/>
              <w:left w:val="nil"/>
              <w:bottom w:val="nil"/>
              <w:right w:val="nil"/>
            </w:tcBorders>
            <w:vAlign w:val="center"/>
          </w:tcPr>
          <w:p w14:paraId="629B408C">
            <w:pPr>
              <w:pStyle w:val="45"/>
              <w:spacing w:before="120" w:beforeLines="50" w:line="300" w:lineRule="exact"/>
              <w:ind w:firstLine="0" w:firstLineChars="0"/>
              <w:jc w:val="left"/>
              <w:rPr>
                <w:rFonts w:hint="eastAsia"/>
                <w:color w:val="auto"/>
                <w:highlight w:val="none"/>
                <w:lang w:val="en-US" w:eastAsia="zh-CN"/>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投标保证金：</w:t>
            </w:r>
            <w:r>
              <w:rPr>
                <w:rFonts w:hint="eastAsia"/>
                <w:color w:val="auto"/>
                <w:highlight w:val="none"/>
                <w:lang w:eastAsia="zh-CN"/>
              </w:rPr>
              <w:t>人民币</w:t>
            </w:r>
            <w:r>
              <w:rPr>
                <w:rFonts w:hint="eastAsia"/>
                <w:color w:val="auto"/>
                <w:highlight w:val="none"/>
                <w:u w:val="single"/>
                <w:lang w:val="en-US" w:eastAsia="zh-CN"/>
              </w:rPr>
              <w:t>1</w:t>
            </w:r>
            <w:r>
              <w:rPr>
                <w:rFonts w:hint="eastAsia"/>
                <w:color w:val="auto"/>
                <w:highlight w:val="none"/>
                <w:lang w:val="en-US" w:eastAsia="zh-CN"/>
              </w:rPr>
              <w:t>元</w:t>
            </w:r>
          </w:p>
          <w:p w14:paraId="02F194E8">
            <w:pPr>
              <w:pStyle w:val="45"/>
              <w:spacing w:before="120" w:beforeLines="50" w:line="300" w:lineRule="exact"/>
              <w:ind w:firstLine="0" w:firstLineChars="0"/>
              <w:jc w:val="left"/>
              <w:rPr>
                <w:rFonts w:hint="default" w:eastAsia="宋体"/>
                <w:color w:val="auto"/>
                <w:highlight w:val="none"/>
                <w:lang w:val="en-US" w:eastAsia="zh-CN"/>
              </w:rPr>
            </w:pPr>
            <w:r>
              <w:rPr>
                <w:rFonts w:hint="eastAsia"/>
                <w:color w:val="auto"/>
                <w:highlight w:val="none"/>
                <w:lang w:val="en-US" w:eastAsia="zh-CN"/>
              </w:rPr>
              <w:t>（备注：根据张政办发〔2024〕21号文件规定，采购400万以下的货物、服务和工程免收取投标保证金，但因系统设置银行转账额度不能少于1元钱，需缴纳1元作为保证金）</w:t>
            </w:r>
          </w:p>
          <w:p w14:paraId="77F06102">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履约保证金：中标、成交金额降价幅度不超过采购预算10% 的，履约保证金为中标、成交金额的10%</w:t>
            </w:r>
            <w:r>
              <w:rPr>
                <w:rFonts w:hint="eastAsia"/>
                <w:color w:val="auto"/>
                <w:highlight w:val="none"/>
                <w:lang w:eastAsia="zh-CN"/>
              </w:rPr>
              <w:t>；</w:t>
            </w:r>
            <w:r>
              <w:rPr>
                <w:rFonts w:hint="eastAsia"/>
                <w:color w:val="auto"/>
                <w:highlight w:val="none"/>
              </w:rPr>
              <w:t>中标、成交金额降价 幅度超过采购预算10%以上的，履约保证金为采购预算减去中标、 成交金额的差额；</w:t>
            </w:r>
          </w:p>
          <w:p w14:paraId="012A3334">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预付款保证金：预付款的</w:t>
            </w:r>
            <w:r>
              <w:rPr>
                <w:rFonts w:hint="eastAsia"/>
                <w:color w:val="auto"/>
                <w:highlight w:val="none"/>
                <w:u w:val="single"/>
              </w:rPr>
              <w:t xml:space="preserve">  </w:t>
            </w:r>
            <w:r>
              <w:rPr>
                <w:rFonts w:hint="eastAsia"/>
                <w:color w:val="auto"/>
                <w:highlight w:val="none"/>
              </w:rPr>
              <w:t>%；</w:t>
            </w:r>
          </w:p>
          <w:p w14:paraId="1AA93B38">
            <w:pPr>
              <w:pStyle w:val="45"/>
              <w:spacing w:before="120" w:beforeLines="50" w:line="300" w:lineRule="exact"/>
              <w:ind w:firstLine="0" w:firstLineChars="0"/>
              <w:jc w:val="left"/>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质量保证金：合同金额的</w:t>
            </w:r>
            <w:r>
              <w:rPr>
                <w:rFonts w:hint="eastAsia"/>
                <w:color w:val="auto"/>
                <w:highlight w:val="none"/>
                <w:u w:val="single"/>
              </w:rPr>
              <w:t xml:space="preserve">  </w:t>
            </w:r>
            <w:r>
              <w:rPr>
                <w:rFonts w:hint="eastAsia"/>
                <w:color w:val="auto"/>
                <w:highlight w:val="none"/>
              </w:rPr>
              <w:t>%；</w:t>
            </w:r>
          </w:p>
        </w:tc>
      </w:tr>
    </w:tbl>
    <w:p w14:paraId="353B53E2">
      <w:pPr>
        <w:pStyle w:val="4"/>
        <w:numPr>
          <w:ilvl w:val="0"/>
          <w:numId w:val="0"/>
        </w:numPr>
        <w:ind w:left="0" w:leftChars="0" w:firstLine="400" w:firstLineChars="0"/>
        <w:jc w:val="left"/>
        <w:rPr>
          <w:rFonts w:hint="eastAsia" w:cs="Times New Roman"/>
          <w:color w:val="auto"/>
          <w:highlight w:val="none"/>
        </w:rPr>
      </w:pPr>
      <w:bookmarkStart w:id="8" w:name="_Toc3978"/>
      <w:bookmarkStart w:id="9" w:name="_Toc16219"/>
      <w:bookmarkStart w:id="10" w:name="_Toc12734"/>
      <w:r>
        <w:rPr>
          <w:rFonts w:hint="eastAsia" w:ascii="Arial" w:hAnsi="Arial" w:eastAsia="黑体" w:cs="Times New Roman"/>
          <w:color w:val="auto"/>
          <w:kern w:val="2"/>
          <w:sz w:val="30"/>
          <w:szCs w:val="24"/>
          <w:highlight w:val="none"/>
          <w:lang w:val="en-US" w:eastAsia="zh-CN" w:bidi="ar-SA"/>
        </w:rPr>
        <w:t>二、</w:t>
      </w:r>
      <w:r>
        <w:rPr>
          <w:rFonts w:hint="eastAsia" w:cs="Times New Roman"/>
          <w:color w:val="auto"/>
          <w:highlight w:val="none"/>
        </w:rPr>
        <w:t>采购人的采购需求</w:t>
      </w:r>
      <w:bookmarkEnd w:id="8"/>
      <w:bookmarkEnd w:id="9"/>
      <w:bookmarkEnd w:id="10"/>
    </w:p>
    <w:tbl>
      <w:tblPr>
        <w:tblStyle w:val="35"/>
        <w:tblW w:w="9870" w:type="dxa"/>
        <w:tblInd w:w="18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658"/>
        <w:gridCol w:w="1755"/>
        <w:gridCol w:w="1856"/>
        <w:gridCol w:w="840"/>
        <w:gridCol w:w="1601"/>
        <w:gridCol w:w="742"/>
        <w:gridCol w:w="758"/>
      </w:tblGrid>
      <w:tr w14:paraId="448A2B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660" w:type="dxa"/>
            <w:tcBorders>
              <w:tl2br w:val="nil"/>
              <w:tr2bl w:val="nil"/>
            </w:tcBorders>
            <w:shd w:val="pct10" w:color="8DB3E2" w:themeColor="text2" w:themeTint="66" w:fill="DCE6F2" w:themeFill="accent1" w:themeFillTint="32"/>
            <w:vAlign w:val="center"/>
          </w:tcPr>
          <w:p w14:paraId="5CB57D0D">
            <w:pPr>
              <w:pStyle w:val="44"/>
              <w:rPr>
                <w:color w:val="auto"/>
                <w:szCs w:val="22"/>
                <w:highlight w:val="none"/>
              </w:rPr>
            </w:pPr>
            <w:r>
              <w:rPr>
                <w:rFonts w:hint="eastAsia"/>
                <w:color w:val="auto"/>
                <w:szCs w:val="22"/>
                <w:highlight w:val="none"/>
              </w:rPr>
              <w:t>包名</w:t>
            </w:r>
          </w:p>
        </w:tc>
        <w:tc>
          <w:tcPr>
            <w:tcW w:w="1658" w:type="dxa"/>
            <w:tcBorders>
              <w:tl2br w:val="nil"/>
              <w:tr2bl w:val="nil"/>
            </w:tcBorders>
            <w:shd w:val="pct10" w:color="8DB3E2" w:themeColor="text2" w:themeTint="66" w:fill="DCE6F2" w:themeFill="accent1" w:themeFillTint="32"/>
            <w:vAlign w:val="center"/>
          </w:tcPr>
          <w:p w14:paraId="13DC4413">
            <w:pPr>
              <w:pStyle w:val="44"/>
              <w:rPr>
                <w:color w:val="auto"/>
                <w:szCs w:val="22"/>
                <w:highlight w:val="none"/>
              </w:rPr>
            </w:pPr>
            <w:r>
              <w:rPr>
                <w:rFonts w:hint="eastAsia"/>
                <w:color w:val="auto"/>
                <w:szCs w:val="22"/>
                <w:highlight w:val="none"/>
              </w:rPr>
              <w:t>最高限价（元）</w:t>
            </w:r>
          </w:p>
        </w:tc>
        <w:tc>
          <w:tcPr>
            <w:tcW w:w="1755" w:type="dxa"/>
            <w:tcBorders>
              <w:tl2br w:val="nil"/>
              <w:tr2bl w:val="nil"/>
            </w:tcBorders>
            <w:shd w:val="pct10" w:color="8DB3E2" w:themeColor="text2" w:themeTint="66" w:fill="DCE6F2" w:themeFill="accent1" w:themeFillTint="32"/>
            <w:vAlign w:val="center"/>
          </w:tcPr>
          <w:p w14:paraId="3B300F36">
            <w:pPr>
              <w:pStyle w:val="44"/>
              <w:rPr>
                <w:color w:val="auto"/>
                <w:szCs w:val="22"/>
                <w:highlight w:val="none"/>
              </w:rPr>
            </w:pPr>
            <w:r>
              <w:rPr>
                <w:color w:val="auto"/>
                <w:szCs w:val="22"/>
                <w:highlight w:val="none"/>
              </w:rPr>
              <w:t>标的名称</w:t>
            </w:r>
          </w:p>
        </w:tc>
        <w:tc>
          <w:tcPr>
            <w:tcW w:w="1856" w:type="dxa"/>
            <w:tcBorders>
              <w:tl2br w:val="nil"/>
              <w:tr2bl w:val="nil"/>
            </w:tcBorders>
            <w:shd w:val="pct10" w:color="8DB3E2" w:themeColor="text2" w:themeTint="66" w:fill="DCE6F2" w:themeFill="accent1" w:themeFillTint="32"/>
            <w:vAlign w:val="center"/>
          </w:tcPr>
          <w:p w14:paraId="4DF63A10">
            <w:pPr>
              <w:pStyle w:val="44"/>
              <w:rPr>
                <w:color w:val="auto"/>
                <w:szCs w:val="22"/>
                <w:highlight w:val="none"/>
              </w:rPr>
            </w:pPr>
            <w:r>
              <w:rPr>
                <w:rFonts w:hint="eastAsia"/>
                <w:color w:val="auto"/>
                <w:szCs w:val="22"/>
                <w:highlight w:val="none"/>
              </w:rPr>
              <w:t>简要技术要求</w:t>
            </w:r>
          </w:p>
        </w:tc>
        <w:tc>
          <w:tcPr>
            <w:tcW w:w="840" w:type="dxa"/>
            <w:tcBorders>
              <w:tl2br w:val="nil"/>
              <w:tr2bl w:val="nil"/>
            </w:tcBorders>
            <w:shd w:val="pct10" w:color="8DB3E2" w:themeColor="text2" w:themeTint="66" w:fill="DCE6F2" w:themeFill="accent1" w:themeFillTint="32"/>
            <w:vAlign w:val="center"/>
          </w:tcPr>
          <w:p w14:paraId="413869E0">
            <w:pPr>
              <w:pStyle w:val="44"/>
              <w:rPr>
                <w:color w:val="auto"/>
                <w:szCs w:val="22"/>
                <w:highlight w:val="none"/>
              </w:rPr>
            </w:pPr>
            <w:r>
              <w:rPr>
                <w:rFonts w:hint="eastAsia"/>
                <w:color w:val="auto"/>
                <w:szCs w:val="22"/>
                <w:highlight w:val="none"/>
                <w:shd w:val="clear" w:fill="D6DCE5"/>
              </w:rPr>
              <w:t>数量</w:t>
            </w:r>
          </w:p>
        </w:tc>
        <w:tc>
          <w:tcPr>
            <w:tcW w:w="1601" w:type="dxa"/>
            <w:tcBorders>
              <w:tl2br w:val="nil"/>
              <w:tr2bl w:val="nil"/>
            </w:tcBorders>
            <w:shd w:val="pct10" w:color="8DB3E2" w:themeColor="text2" w:themeTint="66" w:fill="DCE6F2" w:themeFill="accent1" w:themeFillTint="32"/>
            <w:vAlign w:val="center"/>
          </w:tcPr>
          <w:p w14:paraId="4130242D">
            <w:pPr>
              <w:pStyle w:val="44"/>
              <w:rPr>
                <w:color w:val="auto"/>
                <w:szCs w:val="22"/>
                <w:highlight w:val="none"/>
              </w:rPr>
            </w:pPr>
            <w:r>
              <w:rPr>
                <w:rFonts w:hint="eastAsia"/>
                <w:color w:val="auto"/>
                <w:szCs w:val="22"/>
                <w:highlight w:val="none"/>
              </w:rPr>
              <w:t>预算金额（元）</w:t>
            </w:r>
          </w:p>
        </w:tc>
        <w:tc>
          <w:tcPr>
            <w:tcW w:w="742" w:type="dxa"/>
            <w:tcBorders>
              <w:tl2br w:val="nil"/>
              <w:tr2bl w:val="nil"/>
            </w:tcBorders>
            <w:shd w:val="pct10" w:color="8DB3E2" w:themeColor="text2" w:themeTint="66" w:fill="DCE6F2" w:themeFill="accent1" w:themeFillTint="32"/>
            <w:vAlign w:val="center"/>
          </w:tcPr>
          <w:p w14:paraId="17580A08">
            <w:pPr>
              <w:pStyle w:val="44"/>
              <w:rPr>
                <w:color w:val="auto"/>
                <w:szCs w:val="22"/>
                <w:highlight w:val="none"/>
              </w:rPr>
            </w:pPr>
            <w:r>
              <w:rPr>
                <w:rFonts w:hint="eastAsia"/>
                <w:color w:val="auto"/>
                <w:szCs w:val="22"/>
                <w:highlight w:val="none"/>
              </w:rPr>
              <w:t>节能产品</w:t>
            </w:r>
          </w:p>
        </w:tc>
        <w:tc>
          <w:tcPr>
            <w:tcW w:w="758" w:type="dxa"/>
            <w:tcBorders>
              <w:tl2br w:val="nil"/>
              <w:tr2bl w:val="nil"/>
            </w:tcBorders>
            <w:shd w:val="pct10" w:color="8DB3E2" w:themeColor="text2" w:themeTint="66" w:fill="DCE6F2" w:themeFill="accent1" w:themeFillTint="32"/>
            <w:vAlign w:val="center"/>
          </w:tcPr>
          <w:p w14:paraId="6F73C323">
            <w:pPr>
              <w:pStyle w:val="44"/>
              <w:rPr>
                <w:color w:val="auto"/>
                <w:szCs w:val="22"/>
                <w:highlight w:val="none"/>
              </w:rPr>
            </w:pPr>
            <w:r>
              <w:rPr>
                <w:rFonts w:hint="eastAsia"/>
                <w:color w:val="auto"/>
                <w:szCs w:val="22"/>
                <w:highlight w:val="none"/>
              </w:rPr>
              <w:t>进口产品</w:t>
            </w:r>
          </w:p>
        </w:tc>
      </w:tr>
      <w:tr w14:paraId="6D79EC5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60" w:type="dxa"/>
            <w:tcBorders>
              <w:tl2br w:val="nil"/>
              <w:tr2bl w:val="nil"/>
            </w:tcBorders>
            <w:vAlign w:val="center"/>
          </w:tcPr>
          <w:p w14:paraId="059E68C4">
            <w:pPr>
              <w:pStyle w:val="59"/>
              <w:numPr>
                <w:ilvl w:val="0"/>
                <w:numId w:val="0"/>
              </w:numPr>
              <w:bidi w:val="0"/>
              <w:spacing w:line="480" w:lineRule="auto"/>
              <w:ind w:left="0" w:leftChars="0" w:firstLine="0" w:firstLineChars="0"/>
              <w:jc w:val="center"/>
              <w:rPr>
                <w:rFonts w:hint="eastAsia"/>
                <w:b/>
                <w:bCs w:val="0"/>
                <w:color w:val="auto"/>
                <w:highlight w:val="none"/>
                <w:lang w:val="en-US" w:eastAsia="zh-CN"/>
              </w:rPr>
            </w:pPr>
            <w:r>
              <w:rPr>
                <w:rFonts w:hint="eastAsia" w:ascii="微软雅黑" w:hAnsi="微软雅黑" w:eastAsia="微软雅黑" w:cs="微软雅黑"/>
                <w:b w:val="0"/>
                <w:bCs w:val="0"/>
                <w:i w:val="0"/>
                <w:iCs w:val="0"/>
                <w:sz w:val="22"/>
                <w:szCs w:val="21"/>
                <w:vertAlign w:val="baseline"/>
                <w:lang w:val="en-US" w:eastAsia="zh-CN"/>
              </w:rPr>
              <w:t>包1</w:t>
            </w:r>
          </w:p>
        </w:tc>
        <w:tc>
          <w:tcPr>
            <w:tcW w:w="1658" w:type="dxa"/>
            <w:tcBorders>
              <w:tl2br w:val="nil"/>
              <w:tr2bl w:val="nil"/>
            </w:tcBorders>
            <w:vAlign w:val="center"/>
          </w:tcPr>
          <w:p w14:paraId="2C7CD893">
            <w:pPr>
              <w:pStyle w:val="48"/>
              <w:rPr>
                <w:rFonts w:hint="eastAsia" w:ascii="Times New Roman" w:hAnsi="Times New Roman" w:cs="Times New Roman"/>
                <w:b/>
                <w:bCs w:val="0"/>
                <w:color w:val="auto"/>
                <w:highlight w:val="none"/>
                <w:lang w:val="en-US" w:eastAsia="zh-CN"/>
              </w:rPr>
            </w:pPr>
            <w:r>
              <w:rPr>
                <w:rFonts w:hint="eastAsia" w:cs="Times New Roman"/>
                <w:b/>
                <w:bCs w:val="0"/>
                <w:color w:val="auto"/>
                <w:highlight w:val="none"/>
                <w:lang w:val="en-US" w:eastAsia="zh-CN"/>
              </w:rPr>
              <w:t>546000.00</w:t>
            </w:r>
          </w:p>
        </w:tc>
        <w:tc>
          <w:tcPr>
            <w:tcW w:w="1755" w:type="dxa"/>
            <w:tcBorders>
              <w:tl2br w:val="nil"/>
              <w:tr2bl w:val="nil"/>
            </w:tcBorders>
            <w:vAlign w:val="center"/>
          </w:tcPr>
          <w:p w14:paraId="675F92AB">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eastAsia="微软雅黑"/>
                <w:b/>
                <w:bCs w:val="0"/>
                <w:color w:val="auto"/>
                <w:highlight w:val="none"/>
                <w:lang w:val="en-US" w:eastAsia="zh-CN"/>
              </w:rPr>
            </w:pPr>
            <w:r>
              <w:rPr>
                <w:rFonts w:hint="eastAsia" w:cs="Times New Roman"/>
                <w:color w:val="auto"/>
                <w:highlight w:val="none"/>
                <w:lang w:val="en-US" w:eastAsia="zh-CN"/>
              </w:rPr>
              <w:t>第十一届全省少数民族传统运动会自动除颤器（AED）采购项目</w:t>
            </w:r>
          </w:p>
        </w:tc>
        <w:tc>
          <w:tcPr>
            <w:tcW w:w="1856" w:type="dxa"/>
            <w:tcBorders>
              <w:tl2br w:val="nil"/>
              <w:tr2bl w:val="nil"/>
            </w:tcBorders>
            <w:vAlign w:val="center"/>
          </w:tcPr>
          <w:p w14:paraId="158DC815">
            <w:pPr>
              <w:rPr>
                <w:rFonts w:hint="eastAsia"/>
                <w:b/>
                <w:bCs w:val="0"/>
                <w:color w:val="auto"/>
                <w:highlight w:val="none"/>
              </w:rPr>
            </w:pPr>
            <w:r>
              <w:rPr>
                <w:rFonts w:hint="eastAsia"/>
                <w:b/>
                <w:bCs w:val="0"/>
                <w:color w:val="auto"/>
                <w:highlight w:val="none"/>
              </w:rPr>
              <w:t>详见</w:t>
            </w:r>
            <w:r>
              <w:rPr>
                <w:rFonts w:hint="eastAsia"/>
                <w:b/>
                <w:bCs w:val="0"/>
                <w:color w:val="auto"/>
                <w:highlight w:val="none"/>
                <w:lang w:val="en-US" w:eastAsia="zh-CN"/>
              </w:rPr>
              <w:t>项目</w:t>
            </w:r>
            <w:r>
              <w:rPr>
                <w:rFonts w:hint="eastAsia"/>
                <w:b/>
                <w:bCs w:val="0"/>
                <w:color w:val="auto"/>
                <w:highlight w:val="none"/>
              </w:rPr>
              <w:t>需求</w:t>
            </w:r>
          </w:p>
        </w:tc>
        <w:tc>
          <w:tcPr>
            <w:tcW w:w="840" w:type="dxa"/>
            <w:tcBorders>
              <w:tl2br w:val="nil"/>
              <w:tr2bl w:val="nil"/>
            </w:tcBorders>
            <w:vAlign w:val="center"/>
          </w:tcPr>
          <w:p w14:paraId="2C88F64E">
            <w:pPr>
              <w:pStyle w:val="58"/>
              <w:numPr>
                <w:ilvl w:val="0"/>
                <w:numId w:val="0"/>
              </w:numPr>
              <w:tabs>
                <w:tab w:val="clear" w:pos="0"/>
              </w:tabs>
              <w:bidi w:val="0"/>
              <w:ind w:left="240" w:leftChars="100" w:right="-55" w:rightChars="-23" w:firstLine="0" w:firstLineChars="0"/>
              <w:jc w:val="both"/>
              <w:rPr>
                <w:rFonts w:hint="default"/>
                <w:b/>
                <w:bCs w:val="0"/>
                <w:color w:val="auto"/>
                <w:highlight w:val="none"/>
                <w:lang w:val="en-US" w:eastAsia="zh-CN"/>
              </w:rPr>
            </w:pPr>
            <w:r>
              <w:rPr>
                <w:rFonts w:hint="eastAsia" w:ascii="微软雅黑" w:hAnsi="微软雅黑" w:cs="微软雅黑"/>
                <w:i w:val="0"/>
                <w:iCs w:val="0"/>
                <w:u w:val="none"/>
                <w:lang w:val="en-US" w:eastAsia="zh-CN"/>
              </w:rPr>
              <w:t>21台</w:t>
            </w:r>
          </w:p>
        </w:tc>
        <w:tc>
          <w:tcPr>
            <w:tcW w:w="1601" w:type="dxa"/>
            <w:tcBorders>
              <w:tl2br w:val="nil"/>
              <w:tr2bl w:val="nil"/>
            </w:tcBorders>
            <w:vAlign w:val="center"/>
          </w:tcPr>
          <w:p w14:paraId="3A2CC6C2">
            <w:pPr>
              <w:pStyle w:val="48"/>
              <w:rPr>
                <w:rFonts w:hint="eastAsia"/>
                <w:b/>
                <w:bCs w:val="0"/>
                <w:color w:val="auto"/>
                <w:highlight w:val="none"/>
                <w:lang w:val="en-US" w:eastAsia="zh-CN"/>
              </w:rPr>
            </w:pPr>
            <w:r>
              <w:rPr>
                <w:rFonts w:hint="eastAsia" w:cs="Times New Roman"/>
                <w:b/>
                <w:bCs w:val="0"/>
                <w:color w:val="auto"/>
                <w:highlight w:val="none"/>
                <w:lang w:val="en-US" w:eastAsia="zh-CN"/>
              </w:rPr>
              <w:t>546000.00</w:t>
            </w:r>
          </w:p>
        </w:tc>
        <w:tc>
          <w:tcPr>
            <w:tcW w:w="742" w:type="dxa"/>
            <w:tcBorders>
              <w:tl2br w:val="nil"/>
              <w:tr2bl w:val="nil"/>
            </w:tcBorders>
            <w:vAlign w:val="center"/>
          </w:tcPr>
          <w:p w14:paraId="02DEFFFB">
            <w:pPr>
              <w:pStyle w:val="48"/>
              <w:rPr>
                <w:rFonts w:hint="eastAsia"/>
                <w:b/>
                <w:bCs w:val="0"/>
                <w:color w:val="auto"/>
                <w:highlight w:val="none"/>
              </w:rPr>
            </w:pPr>
            <w:r>
              <w:rPr>
                <w:rFonts w:ascii="宋体" w:hAnsi="宋体" w:eastAsia="宋体" w:cs="宋体"/>
                <w:color w:val="auto"/>
                <w:kern w:val="0"/>
                <w:sz w:val="24"/>
                <w:szCs w:val="24"/>
                <w:highlight w:val="none"/>
                <w:lang w:val="en-US" w:eastAsia="zh-CN" w:bidi="ar"/>
              </w:rPr>
              <w:sym w:font="Wingdings" w:char="00A8"/>
            </w:r>
          </w:p>
        </w:tc>
        <w:tc>
          <w:tcPr>
            <w:tcW w:w="758" w:type="dxa"/>
            <w:tcBorders>
              <w:tl2br w:val="nil"/>
              <w:tr2bl w:val="nil"/>
            </w:tcBorders>
            <w:vAlign w:val="center"/>
          </w:tcPr>
          <w:p w14:paraId="49BEFC50">
            <w:pPr>
              <w:pStyle w:val="58"/>
              <w:numPr>
                <w:ilvl w:val="0"/>
                <w:numId w:val="0"/>
              </w:numPr>
              <w:tabs>
                <w:tab w:val="clear" w:pos="0"/>
              </w:tabs>
              <w:bidi w:val="0"/>
              <w:ind w:left="240" w:leftChars="100" w:right="-55" w:rightChars="-23" w:firstLine="0" w:firstLineChars="0"/>
              <w:jc w:val="center"/>
              <w:rPr>
                <w:rFonts w:hint="eastAsia"/>
                <w:b/>
                <w:bCs w:val="0"/>
                <w:color w:val="auto"/>
                <w:highlight w:val="none"/>
              </w:rPr>
            </w:pPr>
            <w:r>
              <w:rPr>
                <w:rFonts w:ascii="宋体" w:hAnsi="宋体" w:eastAsia="宋体" w:cs="宋体"/>
                <w:color w:val="auto"/>
                <w:kern w:val="0"/>
                <w:sz w:val="24"/>
                <w:szCs w:val="24"/>
                <w:highlight w:val="none"/>
                <w:lang w:val="en-US" w:eastAsia="zh-CN" w:bidi="ar"/>
              </w:rPr>
              <w:sym w:font="Wingdings" w:char="00A8"/>
            </w:r>
          </w:p>
        </w:tc>
      </w:tr>
    </w:tbl>
    <w:p w14:paraId="043E3B27">
      <w:pPr>
        <w:pStyle w:val="45"/>
        <w:spacing w:before="240" w:line="240" w:lineRule="auto"/>
        <w:ind w:firstLine="480"/>
        <w:rPr>
          <w:rFonts w:hint="eastAsia"/>
          <w:color w:val="auto"/>
          <w:highlight w:val="none"/>
        </w:rPr>
      </w:pPr>
    </w:p>
    <w:p w14:paraId="57A4AB35">
      <w:pPr>
        <w:pStyle w:val="45"/>
        <w:spacing w:before="240" w:line="240" w:lineRule="auto"/>
        <w:ind w:firstLine="480"/>
        <w:rPr>
          <w:color w:val="auto"/>
          <w:highlight w:val="none"/>
        </w:rPr>
      </w:pPr>
      <w:r>
        <w:rPr>
          <w:rFonts w:hint="eastAsia"/>
          <w:color w:val="auto"/>
          <w:highlight w:val="none"/>
        </w:rPr>
        <w:t>说明：</w:t>
      </w:r>
    </w:p>
    <w:p w14:paraId="3B47FE94">
      <w:pPr>
        <w:pStyle w:val="45"/>
        <w:numPr>
          <w:ilvl w:val="0"/>
          <w:numId w:val="5"/>
        </w:numPr>
        <w:spacing w:before="240" w:line="240" w:lineRule="auto"/>
        <w:ind w:firstLine="480"/>
        <w:rPr>
          <w:color w:val="auto"/>
          <w:highlight w:val="none"/>
        </w:rPr>
      </w:pPr>
      <w:r>
        <w:rPr>
          <w:rFonts w:hint="eastAsia"/>
          <w:color w:val="auto"/>
          <w:highlight w:val="none"/>
        </w:rPr>
        <w:t>节能产品实行强制采购的，需提供国家认证机构出具的、处于有效期内的节能产品证书。</w:t>
      </w:r>
    </w:p>
    <w:p w14:paraId="1E1AE78A">
      <w:pPr>
        <w:pStyle w:val="45"/>
        <w:numPr>
          <w:ilvl w:val="0"/>
          <w:numId w:val="5"/>
        </w:numPr>
        <w:spacing w:before="240" w:line="240" w:lineRule="auto"/>
        <w:ind w:firstLine="480"/>
        <w:rPr>
          <w:color w:val="auto"/>
          <w:highlight w:val="none"/>
        </w:rPr>
      </w:pPr>
      <w:r>
        <w:rPr>
          <w:rFonts w:hint="eastAsia"/>
          <w:color w:val="auto"/>
          <w:highlight w:val="none"/>
        </w:rPr>
        <w:t>同意购买进口产品的，不限制满足采购需求的国内产品参与竞争性谈判。</w:t>
      </w:r>
    </w:p>
    <w:p w14:paraId="335A1CDA">
      <w:pPr>
        <w:keepNext w:val="0"/>
        <w:keepLines w:val="0"/>
        <w:pageBreakBefore w:val="0"/>
        <w:widowControl/>
        <w:suppressLineNumbers w:val="0"/>
        <w:pBdr>
          <w:left w:val="none" w:color="auto" w:sz="0" w:space="0"/>
        </w:pBdr>
        <w:kinsoku/>
        <w:wordWrap/>
        <w:overflowPunct/>
        <w:topLinePunct w:val="0"/>
        <w:autoSpaceDE/>
        <w:autoSpaceDN/>
        <w:bidi w:val="0"/>
        <w:spacing w:beforeAutospacing="0" w:line="420" w:lineRule="atLeast"/>
        <w:ind w:left="319" w:leftChars="133" w:firstLine="0" w:firstLineChars="0"/>
        <w:jc w:val="left"/>
        <w:outlineLvl w:val="1"/>
        <w:rPr>
          <w:rFonts w:hint="eastAsia" w:ascii="Arial" w:hAnsi="Arial" w:eastAsia="黑体" w:cs="Times New Roman"/>
          <w:color w:val="auto"/>
          <w:kern w:val="2"/>
          <w:sz w:val="30"/>
          <w:szCs w:val="24"/>
          <w:highlight w:val="none"/>
          <w:lang w:val="en-US" w:eastAsia="zh-CN" w:bidi="ar-SA"/>
        </w:rPr>
      </w:pPr>
      <w:bookmarkStart w:id="11" w:name="_Toc26953"/>
      <w:bookmarkStart w:id="12" w:name="_Toc31494"/>
      <w:r>
        <w:rPr>
          <w:rFonts w:hint="eastAsia" w:ascii="Arial" w:hAnsi="Arial" w:eastAsia="黑体" w:cs="Times New Roman"/>
          <w:color w:val="auto"/>
          <w:kern w:val="2"/>
          <w:sz w:val="30"/>
          <w:szCs w:val="24"/>
          <w:highlight w:val="none"/>
          <w:lang w:val="en-US" w:eastAsia="zh-CN" w:bidi="ar-SA"/>
        </w:rPr>
        <w:t>三、中标供应商的确定</w:t>
      </w:r>
    </w:p>
    <w:p w14:paraId="62A60D27">
      <w:pPr>
        <w:pStyle w:val="45"/>
        <w:spacing w:before="240"/>
        <w:ind w:firstLine="480"/>
        <w:rPr>
          <w:rFonts w:hint="eastAsia" w:cs="Times New Roman"/>
          <w:color w:val="auto"/>
          <w:kern w:val="2"/>
          <w:sz w:val="24"/>
          <w:szCs w:val="22"/>
          <w:highlight w:val="none"/>
          <w:lang w:val="en-US" w:eastAsia="zh-CN" w:bidi="ar-SA"/>
        </w:rPr>
      </w:pPr>
      <w:bookmarkStart w:id="13" w:name="_Toc14428"/>
      <w:r>
        <w:rPr>
          <w:rFonts w:hint="eastAsia" w:cs="Times New Roman"/>
          <w:color w:val="auto"/>
          <w:kern w:val="2"/>
          <w:sz w:val="24"/>
          <w:szCs w:val="22"/>
          <w:highlight w:val="none"/>
          <w:lang w:val="en-US" w:eastAsia="zh-CN" w:bidi="ar-SA"/>
        </w:rPr>
        <w:t>1、本项目报价采用（减价）多轮报价方式，且设置保留价（底价）。</w:t>
      </w:r>
    </w:p>
    <w:p w14:paraId="05075FF0">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2、</w:t>
      </w:r>
      <w:r>
        <w:rPr>
          <w:rFonts w:hint="eastAsia" w:ascii="Times New Roman" w:hAnsi="Times New Roman" w:eastAsia="宋体" w:cs="Times New Roman"/>
          <w:color w:val="auto"/>
          <w:kern w:val="2"/>
          <w:sz w:val="24"/>
          <w:szCs w:val="22"/>
          <w:highlight w:val="none"/>
          <w:lang w:val="en-US" w:eastAsia="zh-CN" w:bidi="ar-SA"/>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0B1F56E3">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3、</w:t>
      </w:r>
      <w:r>
        <w:rPr>
          <w:rFonts w:hint="eastAsia" w:ascii="Times New Roman" w:hAnsi="Times New Roman" w:eastAsia="宋体" w:cs="Times New Roman"/>
          <w:color w:val="auto"/>
          <w:kern w:val="2"/>
          <w:sz w:val="24"/>
          <w:szCs w:val="22"/>
          <w:highlight w:val="none"/>
          <w:lang w:val="en-US" w:eastAsia="zh-CN" w:bidi="ar-SA"/>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0B89F729">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4、</w:t>
      </w:r>
      <w:r>
        <w:rPr>
          <w:rFonts w:hint="eastAsia" w:ascii="Times New Roman" w:hAnsi="Times New Roman" w:eastAsia="宋体" w:cs="Times New Roman"/>
          <w:color w:val="auto"/>
          <w:kern w:val="2"/>
          <w:sz w:val="24"/>
          <w:szCs w:val="22"/>
          <w:highlight w:val="none"/>
          <w:lang w:val="en-US" w:eastAsia="zh-CN" w:bidi="ar-SA"/>
        </w:rPr>
        <w:t>若第二中标、成交候选人不接受此成交条件，第三中标、成交候选人同意按照高于第一中标、成交候选人一个减价幅度的报价的，则第三中标、成交候选人应当确定为中标、成交供应商。</w:t>
      </w:r>
    </w:p>
    <w:p w14:paraId="48DB207F">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cs="Times New Roman"/>
          <w:color w:val="auto"/>
          <w:kern w:val="2"/>
          <w:sz w:val="24"/>
          <w:szCs w:val="22"/>
          <w:highlight w:val="none"/>
          <w:lang w:val="en-US" w:eastAsia="zh-CN" w:bidi="ar-SA"/>
        </w:rPr>
        <w:t>5、</w:t>
      </w:r>
      <w:r>
        <w:rPr>
          <w:rFonts w:hint="eastAsia" w:ascii="Times New Roman" w:hAnsi="Times New Roman" w:eastAsia="宋体" w:cs="Times New Roman"/>
          <w:color w:val="auto"/>
          <w:kern w:val="2"/>
          <w:sz w:val="24"/>
          <w:szCs w:val="22"/>
          <w:highlight w:val="none"/>
          <w:lang w:val="en-US" w:eastAsia="zh-CN" w:bidi="ar-SA"/>
        </w:rPr>
        <w:t>若3个中标、成交候选人均不接受此成交条件，采购人应当重新组织采购活动。</w:t>
      </w:r>
    </w:p>
    <w:p w14:paraId="788A967B">
      <w:pPr>
        <w:keepNext w:val="0"/>
        <w:keepLines w:val="0"/>
        <w:pageBreakBefore w:val="0"/>
        <w:widowControl/>
        <w:suppressLineNumbers w:val="0"/>
        <w:pBdr>
          <w:left w:val="none" w:color="auto" w:sz="0" w:space="0"/>
        </w:pBdr>
        <w:kinsoku/>
        <w:wordWrap/>
        <w:overflowPunct/>
        <w:topLinePunct w:val="0"/>
        <w:autoSpaceDE/>
        <w:autoSpaceDN/>
        <w:bidi w:val="0"/>
        <w:spacing w:beforeAutospacing="0" w:line="420" w:lineRule="atLeast"/>
        <w:ind w:left="319" w:leftChars="133" w:firstLine="0" w:firstLineChars="0"/>
        <w:jc w:val="left"/>
        <w:rPr>
          <w:rFonts w:hint="eastAsia" w:ascii="Arial" w:hAnsi="Arial" w:eastAsia="黑体" w:cs="Times New Roman"/>
          <w:color w:val="auto"/>
          <w:kern w:val="2"/>
          <w:sz w:val="30"/>
          <w:szCs w:val="24"/>
          <w:highlight w:val="none"/>
          <w:lang w:val="en-US" w:eastAsia="zh-CN" w:bidi="ar-SA"/>
        </w:rPr>
      </w:pPr>
      <w:r>
        <w:rPr>
          <w:rFonts w:hint="eastAsia" w:ascii="Arial" w:hAnsi="Arial" w:eastAsia="黑体" w:cs="Times New Roman"/>
          <w:color w:val="auto"/>
          <w:kern w:val="2"/>
          <w:sz w:val="30"/>
          <w:szCs w:val="24"/>
          <w:highlight w:val="none"/>
          <w:lang w:val="en-US" w:eastAsia="zh-CN" w:bidi="ar-SA"/>
        </w:rPr>
        <w:t>四、网上报价起始价、保证金、报价幅度要求</w:t>
      </w:r>
      <w:bookmarkEnd w:id="13"/>
    </w:p>
    <w:tbl>
      <w:tblPr>
        <w:tblStyle w:val="34"/>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659"/>
        <w:gridCol w:w="1754"/>
        <w:gridCol w:w="2024"/>
        <w:gridCol w:w="2231"/>
        <w:gridCol w:w="1202"/>
      </w:tblGrid>
      <w:tr w14:paraId="16D3AEB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trPr>
        <w:tc>
          <w:tcPr>
            <w:tcW w:w="2659" w:type="dxa"/>
            <w:tcBorders>
              <w:tl2br w:val="nil"/>
              <w:tr2bl w:val="nil"/>
            </w:tcBorders>
            <w:shd w:val="pct10" w:color="ADB9CA" w:fill="D6DCE5"/>
            <w:tcMar>
              <w:top w:w="0" w:type="dxa"/>
              <w:left w:w="84" w:type="dxa"/>
              <w:bottom w:w="0" w:type="dxa"/>
              <w:right w:w="84" w:type="dxa"/>
            </w:tcMar>
            <w:vAlign w:val="center"/>
          </w:tcPr>
          <w:p w14:paraId="678F8D0A">
            <w:pPr>
              <w:pStyle w:val="48"/>
              <w:pageBreakBefore w:val="0"/>
              <w:kinsoku/>
              <w:wordWrap/>
              <w:overflowPunct/>
              <w:topLinePunct w:val="0"/>
              <w:autoSpaceDE/>
              <w:autoSpaceDN/>
              <w:bidi w:val="0"/>
              <w:ind w:left="0" w:leftChars="0"/>
              <w:rPr>
                <w:color w:val="auto"/>
                <w:highlight w:val="none"/>
              </w:rPr>
            </w:pPr>
            <w:r>
              <w:rPr>
                <w:rFonts w:hint="eastAsia"/>
                <w:color w:val="auto"/>
                <w:highlight w:val="none"/>
                <w:lang w:val="en-US" w:eastAsia="zh-CN"/>
              </w:rPr>
              <w:t>采购</w:t>
            </w:r>
            <w:r>
              <w:rPr>
                <w:rFonts w:hint="eastAsia"/>
                <w:color w:val="auto"/>
                <w:highlight w:val="none"/>
              </w:rPr>
              <w:t>项目名称</w:t>
            </w:r>
          </w:p>
        </w:tc>
        <w:tc>
          <w:tcPr>
            <w:tcW w:w="1754" w:type="dxa"/>
            <w:tcBorders>
              <w:tl2br w:val="nil"/>
              <w:tr2bl w:val="nil"/>
            </w:tcBorders>
            <w:shd w:val="pct10" w:color="ADB9CA" w:fill="D6DCE5"/>
            <w:tcMar>
              <w:top w:w="0" w:type="dxa"/>
              <w:left w:w="84" w:type="dxa"/>
              <w:bottom w:w="0" w:type="dxa"/>
              <w:right w:w="84" w:type="dxa"/>
            </w:tcMar>
            <w:vAlign w:val="center"/>
          </w:tcPr>
          <w:p w14:paraId="54F7BC95">
            <w:pPr>
              <w:pStyle w:val="48"/>
              <w:pageBreakBefore w:val="0"/>
              <w:kinsoku/>
              <w:wordWrap/>
              <w:overflowPunct/>
              <w:topLinePunct w:val="0"/>
              <w:autoSpaceDE/>
              <w:autoSpaceDN/>
              <w:bidi w:val="0"/>
              <w:ind w:left="0" w:leftChars="0"/>
              <w:rPr>
                <w:rFonts w:hint="eastAsia"/>
                <w:color w:val="auto"/>
                <w:highlight w:val="none"/>
              </w:rPr>
            </w:pPr>
            <w:r>
              <w:rPr>
                <w:rFonts w:hint="eastAsia"/>
                <w:color w:val="auto"/>
                <w:highlight w:val="none"/>
                <w:lang w:val="en-US" w:eastAsia="zh-CN"/>
              </w:rPr>
              <w:t>报价</w:t>
            </w:r>
            <w:r>
              <w:rPr>
                <w:rFonts w:hint="eastAsia"/>
                <w:color w:val="auto"/>
                <w:highlight w:val="none"/>
              </w:rPr>
              <w:t>起始价</w:t>
            </w:r>
          </w:p>
          <w:p w14:paraId="431D8D14">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（元）</w:t>
            </w:r>
          </w:p>
        </w:tc>
        <w:tc>
          <w:tcPr>
            <w:tcW w:w="2024" w:type="dxa"/>
            <w:tcBorders>
              <w:tl2br w:val="nil"/>
              <w:tr2bl w:val="nil"/>
            </w:tcBorders>
            <w:shd w:val="pct10" w:color="ADB9CA" w:fill="D6DCE5"/>
            <w:tcMar>
              <w:top w:w="0" w:type="dxa"/>
              <w:left w:w="84" w:type="dxa"/>
              <w:bottom w:w="0" w:type="dxa"/>
              <w:right w:w="84" w:type="dxa"/>
            </w:tcMar>
            <w:vAlign w:val="center"/>
          </w:tcPr>
          <w:p w14:paraId="587D9B7B">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保证金（元）</w:t>
            </w:r>
          </w:p>
        </w:tc>
        <w:tc>
          <w:tcPr>
            <w:tcW w:w="2231" w:type="dxa"/>
            <w:tcBorders>
              <w:tl2br w:val="nil"/>
              <w:tr2bl w:val="nil"/>
            </w:tcBorders>
            <w:shd w:val="pct10" w:color="ADB9CA" w:fill="D6DCE5"/>
            <w:tcMar>
              <w:top w:w="0" w:type="dxa"/>
              <w:left w:w="84" w:type="dxa"/>
              <w:bottom w:w="0" w:type="dxa"/>
              <w:right w:w="84" w:type="dxa"/>
            </w:tcMar>
            <w:vAlign w:val="center"/>
          </w:tcPr>
          <w:p w14:paraId="029A3A8E">
            <w:pPr>
              <w:pStyle w:val="48"/>
              <w:pageBreakBefore w:val="0"/>
              <w:kinsoku/>
              <w:wordWrap/>
              <w:overflowPunct/>
              <w:topLinePunct w:val="0"/>
              <w:autoSpaceDE/>
              <w:autoSpaceDN/>
              <w:bidi w:val="0"/>
              <w:ind w:left="0" w:leftChars="0"/>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1202" w:type="dxa"/>
            <w:tcBorders>
              <w:tl2br w:val="nil"/>
              <w:tr2bl w:val="nil"/>
            </w:tcBorders>
            <w:shd w:val="pct10" w:color="ADB9CA" w:fill="D6DCE5"/>
            <w:tcMar>
              <w:top w:w="0" w:type="dxa"/>
              <w:left w:w="84" w:type="dxa"/>
              <w:bottom w:w="0" w:type="dxa"/>
              <w:right w:w="84" w:type="dxa"/>
            </w:tcMar>
            <w:vAlign w:val="center"/>
          </w:tcPr>
          <w:p w14:paraId="73F8B8FB">
            <w:pPr>
              <w:pStyle w:val="48"/>
              <w:pageBreakBefore w:val="0"/>
              <w:kinsoku/>
              <w:wordWrap/>
              <w:overflowPunct/>
              <w:topLinePunct w:val="0"/>
              <w:autoSpaceDE/>
              <w:autoSpaceDN/>
              <w:bidi w:val="0"/>
              <w:ind w:left="0" w:leftChars="0"/>
              <w:rPr>
                <w:color w:val="auto"/>
                <w:highlight w:val="none"/>
              </w:rPr>
            </w:pPr>
            <w:r>
              <w:rPr>
                <w:rFonts w:hint="eastAsia"/>
                <w:color w:val="auto"/>
                <w:highlight w:val="none"/>
              </w:rPr>
              <w:t>备注</w:t>
            </w:r>
          </w:p>
        </w:tc>
      </w:tr>
      <w:tr w14:paraId="36E139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632C8A19">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eastAsia="微软雅黑"/>
                <w:b/>
                <w:bCs w:val="0"/>
                <w:color w:val="auto"/>
                <w:highlight w:val="none"/>
                <w:lang w:val="en-US" w:eastAsia="zh-CN"/>
              </w:rPr>
            </w:pPr>
            <w:bookmarkStart w:id="14" w:name="_Toc5136"/>
            <w:r>
              <w:rPr>
                <w:rFonts w:hint="eastAsia" w:cs="Times New Roman"/>
                <w:color w:val="auto"/>
                <w:highlight w:val="none"/>
                <w:lang w:val="en-US" w:eastAsia="zh-CN"/>
              </w:rPr>
              <w:t>第十一届全省少数民族传统运动会自动除颤器（AED）采购项目</w:t>
            </w:r>
          </w:p>
        </w:tc>
        <w:tc>
          <w:tcPr>
            <w:tcW w:w="1754" w:type="dxa"/>
            <w:tcBorders>
              <w:tl2br w:val="nil"/>
              <w:tr2bl w:val="nil"/>
            </w:tcBorders>
            <w:tcMar>
              <w:top w:w="0" w:type="dxa"/>
              <w:left w:w="84" w:type="dxa"/>
              <w:bottom w:w="0" w:type="dxa"/>
              <w:right w:w="84" w:type="dxa"/>
            </w:tcMar>
            <w:vAlign w:val="center"/>
          </w:tcPr>
          <w:p w14:paraId="4ECECC17">
            <w:pPr>
              <w:pStyle w:val="48"/>
              <w:rPr>
                <w:rFonts w:hint="eastAsia"/>
                <w:b/>
                <w:bCs w:val="0"/>
                <w:color w:val="auto"/>
                <w:highlight w:val="none"/>
                <w:lang w:val="en-US" w:eastAsia="zh-CN"/>
              </w:rPr>
            </w:pPr>
            <w:r>
              <w:rPr>
                <w:rFonts w:hint="eastAsia" w:cs="Times New Roman"/>
                <w:b/>
                <w:bCs w:val="0"/>
                <w:color w:val="auto"/>
                <w:highlight w:val="none"/>
                <w:lang w:val="en-US" w:eastAsia="zh-CN"/>
              </w:rPr>
              <w:t>546000.00</w:t>
            </w:r>
          </w:p>
        </w:tc>
        <w:tc>
          <w:tcPr>
            <w:tcW w:w="2024" w:type="dxa"/>
            <w:tcBorders>
              <w:tl2br w:val="nil"/>
              <w:tr2bl w:val="nil"/>
            </w:tcBorders>
            <w:tcMar>
              <w:top w:w="0" w:type="dxa"/>
              <w:left w:w="84" w:type="dxa"/>
              <w:bottom w:w="0" w:type="dxa"/>
              <w:right w:w="84" w:type="dxa"/>
            </w:tcMar>
            <w:vAlign w:val="center"/>
          </w:tcPr>
          <w:p w14:paraId="33535176">
            <w:pPr>
              <w:pageBreakBefore w:val="0"/>
              <w:kinsoku/>
              <w:wordWrap/>
              <w:overflowPunct/>
              <w:topLinePunct w:val="0"/>
              <w:autoSpaceDE/>
              <w:autoSpaceDN/>
              <w:bidi w:val="0"/>
              <w:ind w:left="0" w:leftChars="0"/>
              <w:jc w:val="center"/>
              <w:rPr>
                <w:rFonts w:hint="eastAsia"/>
                <w:b/>
                <w:bCs w:val="0"/>
                <w:color w:val="auto"/>
                <w:highlight w:val="none"/>
                <w:u w:val="none"/>
                <w:lang w:val="en-US" w:eastAsia="zh-CN"/>
              </w:rPr>
            </w:pPr>
            <w:r>
              <w:rPr>
                <w:rFonts w:hint="eastAsia"/>
                <w:b/>
                <w:bCs w:val="0"/>
                <w:color w:val="auto"/>
                <w:highlight w:val="none"/>
                <w:u w:val="none"/>
                <w:lang w:val="en-US" w:eastAsia="zh-CN"/>
              </w:rPr>
              <w:t>1</w:t>
            </w:r>
          </w:p>
        </w:tc>
        <w:tc>
          <w:tcPr>
            <w:tcW w:w="2231" w:type="dxa"/>
            <w:tcBorders>
              <w:tl2br w:val="nil"/>
              <w:tr2bl w:val="nil"/>
            </w:tcBorders>
            <w:tcMar>
              <w:top w:w="0" w:type="dxa"/>
              <w:left w:w="84" w:type="dxa"/>
              <w:bottom w:w="0" w:type="dxa"/>
              <w:right w:w="84" w:type="dxa"/>
            </w:tcMar>
            <w:vAlign w:val="center"/>
          </w:tcPr>
          <w:p w14:paraId="4248ED41">
            <w:pPr>
              <w:pStyle w:val="48"/>
              <w:pageBreakBefore w:val="0"/>
              <w:kinsoku/>
              <w:wordWrap/>
              <w:overflowPunct/>
              <w:topLinePunct w:val="0"/>
              <w:autoSpaceDE/>
              <w:autoSpaceDN/>
              <w:bidi w:val="0"/>
              <w:ind w:left="0" w:leftChars="0"/>
              <w:jc w:val="center"/>
              <w:rPr>
                <w:rFonts w:hint="eastAsia"/>
                <w:b/>
                <w:bCs w:val="0"/>
                <w:color w:val="auto"/>
                <w:highlight w:val="none"/>
                <w:lang w:val="en-US" w:eastAsia="zh-CN"/>
              </w:rPr>
            </w:pPr>
            <w:r>
              <w:rPr>
                <w:rFonts w:hint="eastAsia"/>
                <w:b/>
                <w:bCs w:val="0"/>
                <w:color w:val="auto"/>
                <w:highlight w:val="none"/>
                <w:lang w:val="en-US" w:eastAsia="zh-CN"/>
              </w:rPr>
              <w:t>5500及其整数倍</w:t>
            </w:r>
          </w:p>
        </w:tc>
        <w:tc>
          <w:tcPr>
            <w:tcW w:w="1202" w:type="dxa"/>
            <w:tcBorders>
              <w:tl2br w:val="nil"/>
              <w:tr2bl w:val="nil"/>
            </w:tcBorders>
            <w:tcMar>
              <w:top w:w="0" w:type="dxa"/>
              <w:left w:w="84" w:type="dxa"/>
              <w:bottom w:w="0" w:type="dxa"/>
              <w:right w:w="84" w:type="dxa"/>
            </w:tcMar>
            <w:vAlign w:val="center"/>
          </w:tcPr>
          <w:p w14:paraId="304C6545">
            <w:pPr>
              <w:pStyle w:val="48"/>
              <w:pageBreakBefore w:val="0"/>
              <w:kinsoku/>
              <w:wordWrap/>
              <w:overflowPunct/>
              <w:topLinePunct w:val="0"/>
              <w:autoSpaceDE/>
              <w:autoSpaceDN/>
              <w:bidi w:val="0"/>
              <w:ind w:left="0" w:leftChars="0"/>
              <w:rPr>
                <w:b/>
                <w:bCs w:val="0"/>
                <w:color w:val="auto"/>
                <w:highlight w:val="none"/>
              </w:rPr>
            </w:pPr>
          </w:p>
        </w:tc>
      </w:tr>
    </w:tbl>
    <w:p w14:paraId="119425D8">
      <w:pPr>
        <w:pStyle w:val="4"/>
        <w:numPr>
          <w:ilvl w:val="0"/>
          <w:numId w:val="0"/>
        </w:numPr>
        <w:ind w:left="0" w:leftChars="0" w:firstLine="400" w:firstLineChars="0"/>
        <w:jc w:val="left"/>
        <w:rPr>
          <w:rFonts w:hint="eastAsia" w:cs="Times New Roman"/>
          <w:color w:val="auto"/>
          <w:highlight w:val="none"/>
        </w:rPr>
      </w:pPr>
      <w:r>
        <w:rPr>
          <w:rFonts w:hint="eastAsia" w:cs="Times New Roman"/>
          <w:color w:val="auto"/>
          <w:kern w:val="2"/>
          <w:sz w:val="30"/>
          <w:szCs w:val="24"/>
          <w:highlight w:val="none"/>
          <w:lang w:val="en-US" w:eastAsia="zh-CN" w:bidi="ar-SA"/>
        </w:rPr>
        <w:t>五</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供应商的资格要求</w:t>
      </w:r>
      <w:bookmarkEnd w:id="11"/>
      <w:bookmarkEnd w:id="12"/>
      <w:bookmarkEnd w:id="14"/>
    </w:p>
    <w:p w14:paraId="2BDC60FB">
      <w:pPr>
        <w:pStyle w:val="45"/>
        <w:numPr>
          <w:ilvl w:val="0"/>
          <w:numId w:val="0"/>
        </w:numPr>
        <w:spacing w:before="240" w:line="240" w:lineRule="auto"/>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1．</w:t>
      </w:r>
      <w:r>
        <w:rPr>
          <w:rFonts w:hint="eastAsia"/>
          <w:color w:val="auto"/>
          <w:highlight w:val="none"/>
        </w:rPr>
        <w:t>满足《政府采购法》第二十二条第一款的规定。</w:t>
      </w:r>
    </w:p>
    <w:p w14:paraId="1A2D65ED">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b w:val="0"/>
          <w:bCs w:val="0"/>
          <w:color w:val="auto"/>
          <w:kern w:val="2"/>
          <w:sz w:val="24"/>
          <w:szCs w:val="22"/>
          <w:highlight w:val="none"/>
          <w:lang w:val="en-US" w:eastAsia="zh-CN" w:bidi="ar-SA"/>
        </w:rPr>
        <w:t>2．</w:t>
      </w:r>
      <w:r>
        <w:rPr>
          <w:rFonts w:hint="eastAsia"/>
          <w:b w:val="0"/>
          <w:bCs w:val="0"/>
          <w:color w:val="auto"/>
          <w:highlight w:val="none"/>
        </w:rPr>
        <w:t>落实政府采购政策需满足的资格要求</w:t>
      </w:r>
      <w:r>
        <w:rPr>
          <w:rFonts w:hint="eastAsia"/>
          <w:color w:val="auto"/>
          <w:highlight w:val="none"/>
        </w:rPr>
        <w:t>：</w:t>
      </w:r>
    </w:p>
    <w:p w14:paraId="7EECE57D">
      <w:pPr>
        <w:pStyle w:val="45"/>
        <w:spacing w:before="240" w:line="240" w:lineRule="auto"/>
        <w:ind w:left="480" w:leftChars="200" w:firstLine="0" w:firstLineChars="0"/>
        <w:rPr>
          <w:b w:val="0"/>
          <w:bCs w:val="0"/>
          <w:color w:val="auto"/>
          <w:highlight w:val="none"/>
        </w:rPr>
      </w:pP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专门面向：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中小企业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小微企业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 xml:space="preserve">监狱企业 </w:t>
      </w: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福利性单位</w:t>
      </w:r>
    </w:p>
    <w:p w14:paraId="695B1FC3">
      <w:pPr>
        <w:pStyle w:val="45"/>
        <w:spacing w:before="240" w:line="240" w:lineRule="auto"/>
        <w:ind w:left="480" w:leftChars="200" w:firstLine="0" w:firstLineChars="0"/>
        <w:rPr>
          <w:b w:val="0"/>
          <w:bCs w:val="0"/>
          <w:color w:val="auto"/>
          <w:highlight w:val="none"/>
        </w:rPr>
      </w:pPr>
      <w:r>
        <w:rPr>
          <w:rFonts w:ascii="宋体" w:hAnsi="宋体" w:eastAsia="宋体" w:cs="宋体"/>
          <w:b w:val="0"/>
          <w:bCs w:val="0"/>
          <w:color w:val="auto"/>
          <w:kern w:val="0"/>
          <w:sz w:val="24"/>
          <w:szCs w:val="24"/>
          <w:highlight w:val="none"/>
          <w:lang w:val="en-US" w:eastAsia="zh-CN" w:bidi="ar"/>
        </w:rPr>
        <w:sym w:font="Wingdings" w:char="00A8"/>
      </w:r>
      <w:r>
        <w:rPr>
          <w:rFonts w:hint="eastAsia"/>
          <w:b w:val="0"/>
          <w:bCs w:val="0"/>
          <w:color w:val="auto"/>
          <w:highlight w:val="none"/>
        </w:rPr>
        <w:t>强制分包：大型企业应将采购份额的</w:t>
      </w:r>
      <w:r>
        <w:rPr>
          <w:rFonts w:hint="eastAsia"/>
          <w:b w:val="0"/>
          <w:bCs w:val="0"/>
          <w:color w:val="auto"/>
          <w:highlight w:val="none"/>
          <w:u w:val="single"/>
        </w:rPr>
        <w:t xml:space="preserve">     </w:t>
      </w:r>
      <w:r>
        <w:rPr>
          <w:rFonts w:hint="eastAsia"/>
          <w:b w:val="0"/>
          <w:bCs w:val="0"/>
          <w:color w:val="auto"/>
          <w:highlight w:val="none"/>
        </w:rPr>
        <w:t>%分包给中小企业。</w:t>
      </w:r>
    </w:p>
    <w:p w14:paraId="20DC4919">
      <w:pPr>
        <w:pStyle w:val="45"/>
        <w:numPr>
          <w:ilvl w:val="0"/>
          <w:numId w:val="0"/>
        </w:numPr>
        <w:spacing w:before="240"/>
        <w:ind w:left="0" w:leftChars="0" w:firstLine="480" w:firstLineChars="200"/>
        <w:outlineLvl w:val="9"/>
        <w:rPr>
          <w:rFonts w:hint="eastAsia"/>
          <w:color w:val="auto"/>
          <w:highlight w:val="none"/>
          <w:lang w:val="en-US" w:eastAsia="zh-CN"/>
        </w:rPr>
      </w:pPr>
      <w:r>
        <w:rPr>
          <w:rFonts w:hint="default" w:ascii="Times New Roman" w:hAnsi="Times New Roman" w:eastAsia="宋体" w:cs="Times New Roman"/>
          <w:color w:val="auto"/>
          <w:kern w:val="2"/>
          <w:sz w:val="24"/>
          <w:szCs w:val="22"/>
          <w:highlight w:val="none"/>
          <w:lang w:val="en-US" w:eastAsia="zh-CN" w:bidi="ar-SA"/>
        </w:rPr>
        <w:t>3．</w:t>
      </w:r>
      <w:r>
        <w:rPr>
          <w:rFonts w:hint="eastAsia"/>
          <w:b/>
          <w:bCs/>
          <w:color w:val="auto"/>
          <w:highlight w:val="none"/>
          <w:lang w:val="en-US" w:eastAsia="zh-CN"/>
        </w:rPr>
        <w:t>供应商特定资格条件</w:t>
      </w:r>
      <w:r>
        <w:rPr>
          <w:rFonts w:hint="eastAsia"/>
          <w:color w:val="auto"/>
          <w:highlight w:val="none"/>
          <w:lang w:val="en-US" w:eastAsia="zh-CN"/>
        </w:rPr>
        <w:t>：</w:t>
      </w:r>
    </w:p>
    <w:p w14:paraId="5688CEEE">
      <w:pPr>
        <w:pStyle w:val="45"/>
        <w:numPr>
          <w:ilvl w:val="0"/>
          <w:numId w:val="0"/>
        </w:numPr>
        <w:spacing w:before="240"/>
        <w:ind w:left="0" w:leftChars="0" w:firstLine="480" w:firstLineChars="200"/>
        <w:outlineLvl w:val="9"/>
        <w:rPr>
          <w:rFonts w:hint="eastAsia" w:asciiTheme="minorEastAsia" w:hAnsiTheme="minorEastAsia" w:eastAsiaTheme="minorEastAsia" w:cstheme="minorEastAsia"/>
          <w:i w:val="0"/>
          <w:iCs w:val="0"/>
          <w:caps w:val="0"/>
          <w:color w:val="auto"/>
          <w:spacing w:val="0"/>
          <w:kern w:val="0"/>
          <w:sz w:val="24"/>
          <w:szCs w:val="24"/>
          <w:lang w:val="en-US" w:eastAsia="zh-CN" w:bidi="ar"/>
        </w:rPr>
      </w:pPr>
      <w:r>
        <w:rPr>
          <w:rFonts w:hint="eastAsia" w:asciiTheme="minorEastAsia" w:hAnsiTheme="minorEastAsia" w:eastAsiaTheme="minorEastAsia" w:cstheme="minorEastAsia"/>
          <w:i w:val="0"/>
          <w:iCs w:val="0"/>
          <w:caps w:val="0"/>
          <w:color w:val="auto"/>
          <w:spacing w:val="0"/>
          <w:kern w:val="0"/>
          <w:sz w:val="24"/>
          <w:szCs w:val="24"/>
          <w:lang w:val="en-US" w:eastAsia="zh-CN" w:bidi="ar"/>
        </w:rPr>
        <w:t>包1:（1）所投货物纳入医疗器械管理的，投标人须具有相应的医疗器械经营许可证（或备案凭证）、或有效的医疗器械生产许可证（或备案凭证）。（2）所投货物纳入医疗器械管理的，货物须具有有效的医疗器械注册证（或备案凭证）。</w:t>
      </w:r>
    </w:p>
    <w:p w14:paraId="0D22BF2E">
      <w:pPr>
        <w:pStyle w:val="45"/>
        <w:spacing w:before="240"/>
        <w:ind w:firstLine="480"/>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说明：依据湖南省财政厅关于政府采购促进中小企业发展有关措施的通知（湘财购〔2022〕17号），符合法定条件的供应商凭《湖南省政府采购供应商资格承诺函》（格式见附件）参与政府采购活动，无需提供财务状况、缴纳税收和社会保障资金等资格证明材料。</w:t>
      </w:r>
    </w:p>
    <w:p w14:paraId="5C65B201">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4．</w:t>
      </w:r>
      <w:r>
        <w:rPr>
          <w:rFonts w:hint="eastAsia"/>
          <w:color w:val="auto"/>
          <w:highlight w:val="none"/>
        </w:rPr>
        <w:t>单位负责人为同一人或者存在直接控股、管理关系的不同供应商，不得参加同一合同项下的政府采购活动。</w:t>
      </w:r>
    </w:p>
    <w:p w14:paraId="3E3DD56B">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5．</w:t>
      </w:r>
      <w:r>
        <w:rPr>
          <w:rFonts w:hint="eastAsia"/>
          <w:color w:val="auto"/>
          <w:highlight w:val="none"/>
        </w:rPr>
        <w:t>为本采购项目提供整体设计、规范编制或者项目管理、监理、检测等服务的，不得再参加此项目的其他采购活动。</w:t>
      </w:r>
    </w:p>
    <w:p w14:paraId="0D7687EA">
      <w:pPr>
        <w:pStyle w:val="45"/>
        <w:numPr>
          <w:ilvl w:val="0"/>
          <w:numId w:val="0"/>
        </w:numPr>
        <w:spacing w:before="240"/>
        <w:ind w:left="0" w:leftChars="0" w:firstLine="480" w:firstLineChars="200"/>
        <w:rPr>
          <w:color w:val="auto"/>
          <w:highlight w:val="none"/>
        </w:rPr>
      </w:pPr>
      <w:r>
        <w:rPr>
          <w:rFonts w:hint="default" w:ascii="Times New Roman" w:hAnsi="Times New Roman" w:eastAsia="宋体" w:cs="Times New Roman"/>
          <w:color w:val="auto"/>
          <w:kern w:val="2"/>
          <w:sz w:val="24"/>
          <w:szCs w:val="22"/>
          <w:highlight w:val="none"/>
          <w:lang w:val="en-US" w:eastAsia="zh-CN" w:bidi="ar-SA"/>
        </w:rPr>
        <w:t>6．</w:t>
      </w:r>
      <w:r>
        <w:rPr>
          <w:rFonts w:hint="eastAsia"/>
          <w:color w:val="auto"/>
          <w:highlight w:val="none"/>
        </w:rPr>
        <w:t>列入失信被执行人、重大税收违法失信主体名单、政府采购严重违法失信行为记录名单的，拒绝其参与政府采购活动。</w:t>
      </w:r>
    </w:p>
    <w:p w14:paraId="0E13E659">
      <w:pPr>
        <w:pStyle w:val="45"/>
        <w:numPr>
          <w:ilvl w:val="0"/>
          <w:numId w:val="0"/>
        </w:numPr>
        <w:spacing w:before="240"/>
        <w:ind w:left="0" w:leftChars="0" w:firstLine="480" w:firstLineChars="200"/>
        <w:outlineLvl w:val="9"/>
        <w:rPr>
          <w:color w:val="auto"/>
          <w:highlight w:val="none"/>
        </w:rPr>
      </w:pPr>
      <w:r>
        <w:rPr>
          <w:rFonts w:hint="default" w:ascii="Times New Roman" w:hAnsi="Times New Roman" w:eastAsia="宋体" w:cs="Times New Roman"/>
          <w:color w:val="auto"/>
          <w:kern w:val="2"/>
          <w:sz w:val="24"/>
          <w:szCs w:val="22"/>
          <w:highlight w:val="none"/>
          <w:lang w:val="en-US" w:eastAsia="zh-CN" w:bidi="ar-SA"/>
        </w:rPr>
        <w:t>7．</w:t>
      </w:r>
      <w:r>
        <w:rPr>
          <w:rFonts w:hint="eastAsia"/>
          <w:color w:val="auto"/>
          <w:highlight w:val="none"/>
        </w:rPr>
        <w:t>联合体响应。本次响应不接受联合体响应。</w:t>
      </w:r>
    </w:p>
    <w:p w14:paraId="1C7F4103">
      <w:pPr>
        <w:pStyle w:val="4"/>
        <w:numPr>
          <w:ilvl w:val="0"/>
          <w:numId w:val="0"/>
        </w:numPr>
        <w:ind w:left="0" w:leftChars="0" w:firstLine="400" w:firstLineChars="0"/>
        <w:jc w:val="left"/>
        <w:rPr>
          <w:rFonts w:hint="eastAsia" w:cs="Times New Roman"/>
          <w:color w:val="auto"/>
          <w:highlight w:val="none"/>
        </w:rPr>
      </w:pPr>
      <w:bookmarkStart w:id="15" w:name="_Toc31804"/>
      <w:bookmarkStart w:id="16" w:name="_Toc38"/>
      <w:r>
        <w:rPr>
          <w:rFonts w:hint="eastAsia" w:cs="Times New Roman"/>
          <w:color w:val="auto"/>
          <w:kern w:val="2"/>
          <w:sz w:val="30"/>
          <w:szCs w:val="24"/>
          <w:highlight w:val="none"/>
          <w:lang w:val="en-US" w:eastAsia="zh-CN" w:bidi="ar-SA"/>
        </w:rPr>
        <w:t>六</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获取谈判文件的时间、地点及方式</w:t>
      </w:r>
      <w:bookmarkEnd w:id="15"/>
      <w:bookmarkEnd w:id="16"/>
    </w:p>
    <w:p w14:paraId="4A5AFC8C">
      <w:pPr>
        <w:pStyle w:val="45"/>
        <w:spacing w:before="240"/>
        <w:ind w:firstLine="480"/>
        <w:rPr>
          <w:color w:val="auto"/>
          <w:highlight w:val="none"/>
        </w:rPr>
      </w:pPr>
      <w:bookmarkStart w:id="17" w:name="_Toc40166569"/>
      <w:bookmarkStart w:id="18" w:name="_Toc22201059"/>
      <w:r>
        <w:rPr>
          <w:rFonts w:hint="eastAsia"/>
          <w:color w:val="auto"/>
          <w:highlight w:val="none"/>
        </w:rPr>
        <w:t>有意参加</w:t>
      </w:r>
      <w:r>
        <w:rPr>
          <w:rFonts w:hint="eastAsia"/>
          <w:color w:val="auto"/>
          <w:highlight w:val="none"/>
          <w:lang w:val="en-US" w:eastAsia="zh-CN"/>
        </w:rPr>
        <w:t>的供应商</w:t>
      </w:r>
      <w:r>
        <w:rPr>
          <w:rFonts w:hint="eastAsia"/>
          <w:color w:val="auto"/>
          <w:highlight w:val="none"/>
        </w:rPr>
        <w:t>，请于</w:t>
      </w:r>
      <w:r>
        <w:rPr>
          <w:rFonts w:hint="eastAsia"/>
          <w:color w:val="auto"/>
          <w:highlight w:val="yellow"/>
        </w:rPr>
        <w:t>20</w:t>
      </w:r>
      <w:r>
        <w:rPr>
          <w:rFonts w:hint="eastAsia"/>
          <w:color w:val="auto"/>
          <w:highlight w:val="yellow"/>
          <w:lang w:val="en-US" w:eastAsia="zh-CN"/>
        </w:rPr>
        <w:t>26</w:t>
      </w:r>
      <w:r>
        <w:rPr>
          <w:rFonts w:hint="eastAsia"/>
          <w:color w:val="auto"/>
          <w:highlight w:val="yellow"/>
        </w:rPr>
        <w:t>年</w:t>
      </w:r>
      <w:r>
        <w:rPr>
          <w:rFonts w:hint="eastAsia"/>
          <w:color w:val="auto"/>
          <w:highlight w:val="yellow"/>
          <w:lang w:val="en-US" w:eastAsia="zh-CN"/>
        </w:rPr>
        <w:t>9</w:t>
      </w:r>
      <w:r>
        <w:rPr>
          <w:rFonts w:hint="eastAsia"/>
          <w:color w:val="auto"/>
          <w:highlight w:val="yellow"/>
        </w:rPr>
        <w:t>月</w:t>
      </w:r>
      <w:r>
        <w:rPr>
          <w:rFonts w:hint="eastAsia"/>
          <w:color w:val="auto"/>
          <w:highlight w:val="yellow"/>
          <w:lang w:val="en-US" w:eastAsia="zh-CN"/>
        </w:rPr>
        <w:t>18</w:t>
      </w:r>
      <w:r>
        <w:rPr>
          <w:rFonts w:hint="eastAsia"/>
          <w:color w:val="auto"/>
          <w:highlight w:val="yellow"/>
        </w:rPr>
        <w:t>日</w:t>
      </w:r>
      <w:r>
        <w:rPr>
          <w:rFonts w:hint="eastAsia"/>
          <w:color w:val="auto"/>
          <w:highlight w:val="yellow"/>
          <w:lang w:val="en-US" w:eastAsia="zh-CN"/>
        </w:rPr>
        <w:t>9</w:t>
      </w:r>
      <w:r>
        <w:rPr>
          <w:rFonts w:hint="eastAsia"/>
          <w:color w:val="auto"/>
          <w:highlight w:val="yellow"/>
        </w:rPr>
        <w:t>时00分00秒至2026年</w:t>
      </w:r>
      <w:r>
        <w:rPr>
          <w:rFonts w:hint="eastAsia"/>
          <w:color w:val="auto"/>
          <w:highlight w:val="yellow"/>
          <w:lang w:val="en-US" w:eastAsia="zh-CN"/>
        </w:rPr>
        <w:t>9</w:t>
      </w:r>
      <w:r>
        <w:rPr>
          <w:rFonts w:hint="eastAsia"/>
          <w:color w:val="auto"/>
          <w:highlight w:val="yellow"/>
        </w:rPr>
        <w:t>月</w:t>
      </w:r>
      <w:r>
        <w:rPr>
          <w:rFonts w:hint="eastAsia"/>
          <w:color w:val="auto"/>
          <w:highlight w:val="yellow"/>
          <w:lang w:val="en-US" w:eastAsia="zh-CN"/>
        </w:rPr>
        <w:t>30</w:t>
      </w:r>
      <w:r>
        <w:rPr>
          <w:rFonts w:hint="eastAsia"/>
          <w:color w:val="auto"/>
          <w:highlight w:val="yellow"/>
        </w:rPr>
        <w:t>日 1</w:t>
      </w:r>
      <w:r>
        <w:rPr>
          <w:rFonts w:hint="eastAsia"/>
          <w:color w:val="auto"/>
          <w:highlight w:val="yellow"/>
          <w:lang w:val="en-US" w:eastAsia="zh-CN"/>
        </w:rPr>
        <w:t>7</w:t>
      </w:r>
      <w:r>
        <w:rPr>
          <w:rFonts w:hint="eastAsia"/>
          <w:color w:val="auto"/>
          <w:highlight w:val="yellow"/>
        </w:rPr>
        <w:t>时00</w:t>
      </w:r>
      <w:r>
        <w:rPr>
          <w:rFonts w:hint="eastAsia"/>
          <w:color w:val="auto"/>
          <w:highlight w:val="none"/>
        </w:rPr>
        <w:t>分00秒在</w:t>
      </w:r>
      <w:r>
        <w:rPr>
          <w:rFonts w:ascii="宋体" w:hAnsi="宋体" w:eastAsia="宋体" w:cs="宋体"/>
          <w:color w:val="auto"/>
          <w:sz w:val="24"/>
          <w:szCs w:val="24"/>
        </w:rPr>
        <w:fldChar w:fldCharType="begin"/>
      </w:r>
      <w:r>
        <w:rPr>
          <w:rFonts w:ascii="宋体" w:hAnsi="宋体" w:eastAsia="宋体" w:cs="宋体"/>
          <w:color w:val="auto"/>
          <w:sz w:val="24"/>
          <w:szCs w:val="24"/>
        </w:rPr>
        <w:instrText xml:space="preserve"> HYPERLINK "https://www.zjjggzy.cn/information/portal/index" </w:instrText>
      </w:r>
      <w:r>
        <w:rPr>
          <w:rFonts w:ascii="宋体" w:hAnsi="宋体" w:eastAsia="宋体" w:cs="宋体"/>
          <w:color w:val="auto"/>
          <w:sz w:val="24"/>
          <w:szCs w:val="24"/>
        </w:rPr>
        <w:fldChar w:fldCharType="separate"/>
      </w:r>
      <w:r>
        <w:rPr>
          <w:rStyle w:val="38"/>
          <w:rFonts w:ascii="宋体" w:hAnsi="宋体" w:eastAsia="宋体" w:cs="宋体"/>
          <w:color w:val="auto"/>
          <w:sz w:val="24"/>
          <w:szCs w:val="24"/>
        </w:rPr>
        <w:t>张家界市公共资源交易信息网-首页</w:t>
      </w:r>
      <w:r>
        <w:rPr>
          <w:rFonts w:ascii="宋体" w:hAnsi="宋体" w:eastAsia="宋体" w:cs="宋体"/>
          <w:color w:val="auto"/>
          <w:sz w:val="24"/>
          <w:szCs w:val="24"/>
        </w:rPr>
        <w:fldChar w:fldCharType="end"/>
      </w:r>
      <w:r>
        <w:rPr>
          <w:rFonts w:hint="eastAsia"/>
          <w:color w:val="auto"/>
          <w:highlight w:val="none"/>
        </w:rPr>
        <w:t>（https://www.zjjggzy.cn/information/portal/index）“</w:t>
      </w:r>
      <w:r>
        <w:rPr>
          <w:rFonts w:hint="eastAsia"/>
          <w:color w:val="auto"/>
          <w:highlight w:val="none"/>
          <w:lang w:val="en-US" w:eastAsia="zh-CN"/>
        </w:rPr>
        <w:t>其他项目</w:t>
      </w:r>
      <w:r>
        <w:rPr>
          <w:rFonts w:hint="eastAsia"/>
          <w:color w:val="auto"/>
          <w:highlight w:val="none"/>
        </w:rPr>
        <w:t>→</w:t>
      </w:r>
      <w:r>
        <w:rPr>
          <w:rFonts w:hint="eastAsia"/>
          <w:color w:val="auto"/>
          <w:highlight w:val="none"/>
          <w:lang w:val="en-US" w:eastAsia="zh-CN"/>
        </w:rPr>
        <w:t>交易</w:t>
      </w:r>
      <w:r>
        <w:rPr>
          <w:rFonts w:hint="eastAsia"/>
          <w:color w:val="auto"/>
          <w:highlight w:val="none"/>
        </w:rPr>
        <w:t>公告”栏进行网上下载/获取</w:t>
      </w:r>
      <w:r>
        <w:rPr>
          <w:rFonts w:hint="eastAsia"/>
          <w:color w:val="auto"/>
          <w:highlight w:val="none"/>
          <w:lang w:eastAsia="zh-CN"/>
        </w:rPr>
        <w:t>谈判文件（</w:t>
      </w:r>
      <w:r>
        <w:rPr>
          <w:rFonts w:hint="eastAsia"/>
          <w:color w:val="auto"/>
          <w:highlight w:val="none"/>
          <w:lang w:val="en-US" w:eastAsia="zh-CN"/>
        </w:rPr>
        <w:t>需要使用</w:t>
      </w:r>
      <w:r>
        <w:rPr>
          <w:rFonts w:hint="eastAsia"/>
          <w:color w:val="auto"/>
          <w:highlight w:val="none"/>
        </w:rPr>
        <w:t>数字证书ukey</w:t>
      </w:r>
      <w:r>
        <w:rPr>
          <w:rFonts w:hint="eastAsia"/>
          <w:color w:val="auto"/>
          <w:highlight w:val="none"/>
          <w:lang w:val="en-US" w:eastAsia="zh-CN"/>
        </w:rPr>
        <w:t>登录并按要求打竞买保证金才算报名有效</w:t>
      </w:r>
      <w:r>
        <w:rPr>
          <w:rFonts w:hint="eastAsia"/>
          <w:color w:val="auto"/>
          <w:highlight w:val="none"/>
          <w:lang w:eastAsia="zh-CN"/>
        </w:rPr>
        <w:t>）</w:t>
      </w:r>
      <w:r>
        <w:rPr>
          <w:rFonts w:hint="eastAsia"/>
          <w:color w:val="auto"/>
          <w:highlight w:val="none"/>
        </w:rPr>
        <w:t>，逾期将不能获取文件。修改、澄清后的</w:t>
      </w:r>
      <w:r>
        <w:rPr>
          <w:rFonts w:hint="eastAsia"/>
          <w:color w:val="auto"/>
          <w:highlight w:val="none"/>
          <w:lang w:val="en-US" w:eastAsia="zh-CN"/>
        </w:rPr>
        <w:t>采购</w:t>
      </w:r>
      <w:r>
        <w:rPr>
          <w:rFonts w:hint="eastAsia"/>
          <w:color w:val="auto"/>
          <w:highlight w:val="none"/>
        </w:rPr>
        <w:t>文件请</w:t>
      </w:r>
      <w:r>
        <w:rPr>
          <w:rFonts w:hint="eastAsia" w:ascii="Times New Roman" w:hAnsi="Times New Roman" w:eastAsia="宋体" w:cs="Times New Roman"/>
          <w:color w:val="auto"/>
          <w:highlight w:val="none"/>
          <w:lang w:val="en-US" w:eastAsia="zh-CN"/>
        </w:rPr>
        <w:t>供应商</w:t>
      </w:r>
      <w:r>
        <w:rPr>
          <w:rFonts w:hint="eastAsia"/>
          <w:color w:val="auto"/>
          <w:highlight w:val="none"/>
        </w:rPr>
        <w:t>按以上方式登录网站自行下载</w:t>
      </w:r>
      <w:r>
        <w:rPr>
          <w:rFonts w:hint="eastAsia"/>
          <w:color w:val="auto"/>
          <w:highlight w:val="none"/>
          <w:lang w:eastAsia="zh-CN"/>
        </w:rPr>
        <w:t>，</w:t>
      </w:r>
      <w:r>
        <w:rPr>
          <w:rFonts w:hint="eastAsia"/>
          <w:color w:val="auto"/>
          <w:highlight w:val="none"/>
        </w:rPr>
        <w:t>恕不另行通知，如有遗漏</w:t>
      </w:r>
      <w:r>
        <w:rPr>
          <w:rFonts w:hint="eastAsia" w:ascii="Times New Roman" w:hAnsi="Times New Roman" w:eastAsia="宋体" w:cs="Times New Roman"/>
          <w:color w:val="auto"/>
          <w:highlight w:val="none"/>
          <w:lang w:val="en-US" w:eastAsia="zh-CN"/>
        </w:rPr>
        <w:t>供应商</w:t>
      </w:r>
      <w:r>
        <w:rPr>
          <w:rFonts w:hint="eastAsia"/>
          <w:color w:val="auto"/>
          <w:highlight w:val="none"/>
        </w:rPr>
        <w:t>自行承担全部责任。本项目采用</w:t>
      </w:r>
      <w:r>
        <w:rPr>
          <w:rFonts w:hint="eastAsia"/>
          <w:color w:val="auto"/>
          <w:highlight w:val="none"/>
          <w:lang w:val="en-US" w:eastAsia="zh-CN"/>
        </w:rPr>
        <w:t>线上</w:t>
      </w:r>
      <w:r>
        <w:rPr>
          <w:rFonts w:hint="eastAsia"/>
          <w:color w:val="auto"/>
          <w:highlight w:val="none"/>
        </w:rPr>
        <w:t>招标投标方式，</w:t>
      </w:r>
      <w:r>
        <w:rPr>
          <w:rFonts w:hint="eastAsia" w:ascii="Times New Roman" w:hAnsi="Times New Roman" w:eastAsia="宋体" w:cs="Times New Roman"/>
          <w:color w:val="auto"/>
          <w:highlight w:val="none"/>
          <w:lang w:val="en-US" w:eastAsia="zh-CN"/>
        </w:rPr>
        <w:t>供应商</w:t>
      </w:r>
      <w:r>
        <w:rPr>
          <w:rFonts w:hint="eastAsia"/>
          <w:color w:val="auto"/>
          <w:highlight w:val="none"/>
        </w:rPr>
        <w:t>须办理数字证书ukey</w:t>
      </w:r>
      <w:r>
        <w:rPr>
          <w:rFonts w:hint="eastAsia"/>
          <w:color w:val="auto"/>
          <w:highlight w:val="none"/>
          <w:lang w:eastAsia="zh-CN"/>
        </w:rPr>
        <w:t>，</w:t>
      </w:r>
      <w:r>
        <w:rPr>
          <w:rFonts w:hint="eastAsia"/>
          <w:color w:val="auto"/>
          <w:highlight w:val="none"/>
        </w:rPr>
        <w:t>在</w:t>
      </w:r>
      <w:r>
        <w:rPr>
          <w:rFonts w:hint="eastAsia"/>
          <w:color w:val="auto"/>
          <w:highlight w:val="none"/>
          <w:lang w:eastAsia="zh-CN"/>
        </w:rPr>
        <w:t>张家界市公共资源交易中心产权交易系统</w:t>
      </w:r>
      <w:r>
        <w:rPr>
          <w:rFonts w:hint="eastAsia"/>
          <w:color w:val="auto"/>
          <w:highlight w:val="none"/>
        </w:rPr>
        <w:t>（</w:t>
      </w:r>
      <w:r>
        <w:rPr>
          <w:rFonts w:hint="eastAsia"/>
          <w:color w:val="auto"/>
          <w:highlight w:val="none"/>
          <w:lang w:eastAsia="zh-CN"/>
        </w:rPr>
        <w:t>https://www.zjjggzy.cn/portal/index</w:t>
      </w:r>
      <w:r>
        <w:rPr>
          <w:rFonts w:hint="eastAsia"/>
          <w:color w:val="auto"/>
          <w:highlight w:val="none"/>
        </w:rPr>
        <w:t>）进行注册登记</w:t>
      </w:r>
      <w:r>
        <w:rPr>
          <w:rFonts w:hint="eastAsia"/>
          <w:color w:val="auto"/>
          <w:highlight w:val="none"/>
          <w:lang w:val="en-US" w:eastAsia="zh-CN"/>
        </w:rPr>
        <w:t>和CA认证</w:t>
      </w:r>
      <w:r>
        <w:rPr>
          <w:rFonts w:hint="eastAsia"/>
          <w:color w:val="auto"/>
          <w:highlight w:val="none"/>
        </w:rPr>
        <w:t>。</w:t>
      </w:r>
    </w:p>
    <w:bookmarkEnd w:id="17"/>
    <w:bookmarkEnd w:id="18"/>
    <w:p w14:paraId="09AA17A3">
      <w:pPr>
        <w:pStyle w:val="4"/>
        <w:numPr>
          <w:ilvl w:val="0"/>
          <w:numId w:val="0"/>
        </w:numPr>
        <w:ind w:left="0" w:leftChars="0" w:firstLine="400" w:firstLineChars="0"/>
        <w:jc w:val="left"/>
        <w:rPr>
          <w:rFonts w:hint="eastAsia" w:cs="Times New Roman"/>
          <w:color w:val="auto"/>
          <w:highlight w:val="none"/>
        </w:rPr>
      </w:pPr>
      <w:bookmarkStart w:id="19" w:name="_Toc5824"/>
      <w:bookmarkStart w:id="20" w:name="_Toc1774"/>
      <w:r>
        <w:rPr>
          <w:rFonts w:hint="eastAsia" w:cs="Times New Roman"/>
          <w:color w:val="auto"/>
          <w:kern w:val="2"/>
          <w:sz w:val="30"/>
          <w:szCs w:val="24"/>
          <w:highlight w:val="none"/>
          <w:lang w:val="en-US" w:eastAsia="zh-CN" w:bidi="ar-SA"/>
        </w:rPr>
        <w:t>七</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提交首次响应文件的截止时间、谈判时间及地点</w:t>
      </w:r>
      <w:bookmarkEnd w:id="19"/>
      <w:bookmarkEnd w:id="20"/>
    </w:p>
    <w:p w14:paraId="399144A8">
      <w:pPr>
        <w:pStyle w:val="45"/>
        <w:spacing w:before="240"/>
        <w:ind w:firstLine="480"/>
        <w:rPr>
          <w:color w:val="auto"/>
          <w:highlight w:val="none"/>
        </w:rPr>
      </w:pPr>
      <w:bookmarkStart w:id="21" w:name="_Toc40166570"/>
      <w:bookmarkStart w:id="22" w:name="_Toc22201060"/>
      <w:r>
        <w:rPr>
          <w:rFonts w:hint="eastAsia"/>
          <w:color w:val="auto"/>
          <w:highlight w:val="none"/>
        </w:rPr>
        <w:t>1、提交首次响应文件的截止时间：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10</w:t>
      </w:r>
      <w:r>
        <w:rPr>
          <w:rFonts w:hint="eastAsia"/>
          <w:color w:val="auto"/>
          <w:highlight w:val="yellow"/>
        </w:rPr>
        <w:t>日</w:t>
      </w:r>
      <w:r>
        <w:rPr>
          <w:rFonts w:hint="eastAsia"/>
          <w:color w:val="auto"/>
          <w:highlight w:val="yellow"/>
          <w:lang w:val="en-US" w:eastAsia="zh-CN"/>
        </w:rPr>
        <w:t>10</w:t>
      </w:r>
      <w:r>
        <w:rPr>
          <w:rFonts w:hint="eastAsia"/>
          <w:color w:val="auto"/>
          <w:highlight w:val="yellow"/>
        </w:rPr>
        <w:t>时00分</w:t>
      </w:r>
      <w:r>
        <w:rPr>
          <w:rFonts w:hint="eastAsia"/>
          <w:color w:val="auto"/>
          <w:highlight w:val="none"/>
        </w:rPr>
        <w:t>（北京时间）</w:t>
      </w:r>
    </w:p>
    <w:p w14:paraId="09FDFC7C">
      <w:pPr>
        <w:pStyle w:val="45"/>
        <w:spacing w:before="240"/>
        <w:ind w:firstLine="480"/>
        <w:outlineLvl w:val="9"/>
        <w:rPr>
          <w:color w:val="auto"/>
          <w:highlight w:val="none"/>
        </w:rPr>
      </w:pPr>
      <w:r>
        <w:rPr>
          <w:rFonts w:hint="eastAsia"/>
          <w:color w:val="auto"/>
          <w:highlight w:val="none"/>
        </w:rPr>
        <w:t>2、谈判时间：</w:t>
      </w:r>
      <w:r>
        <w:rPr>
          <w:rFonts w:hint="eastAsia"/>
          <w:color w:val="auto"/>
          <w:highlight w:val="yellow"/>
        </w:rPr>
        <w:t>202</w:t>
      </w:r>
      <w:r>
        <w:rPr>
          <w:rFonts w:hint="eastAsia"/>
          <w:color w:val="auto"/>
          <w:highlight w:val="yellow"/>
          <w:lang w:val="en-US" w:eastAsia="zh-CN"/>
        </w:rPr>
        <w:t>6</w:t>
      </w:r>
      <w:r>
        <w:rPr>
          <w:rFonts w:hint="eastAsia"/>
          <w:color w:val="auto"/>
          <w:highlight w:val="yellow"/>
        </w:rPr>
        <w:t>年</w:t>
      </w:r>
      <w:r>
        <w:rPr>
          <w:rFonts w:hint="eastAsia"/>
          <w:color w:val="auto"/>
          <w:highlight w:val="yellow"/>
          <w:lang w:val="en-US" w:eastAsia="zh-CN"/>
        </w:rPr>
        <w:t>10</w:t>
      </w:r>
      <w:r>
        <w:rPr>
          <w:rFonts w:hint="eastAsia"/>
          <w:color w:val="auto"/>
          <w:highlight w:val="yellow"/>
        </w:rPr>
        <w:t>月</w:t>
      </w:r>
      <w:r>
        <w:rPr>
          <w:rFonts w:hint="eastAsia"/>
          <w:color w:val="auto"/>
          <w:highlight w:val="yellow"/>
          <w:lang w:val="en-US" w:eastAsia="zh-CN"/>
        </w:rPr>
        <w:t>10</w:t>
      </w:r>
      <w:r>
        <w:rPr>
          <w:rFonts w:hint="eastAsia"/>
          <w:color w:val="auto"/>
          <w:highlight w:val="yellow"/>
        </w:rPr>
        <w:t>日</w:t>
      </w:r>
      <w:r>
        <w:rPr>
          <w:rFonts w:hint="eastAsia"/>
          <w:color w:val="auto"/>
          <w:highlight w:val="yellow"/>
          <w:lang w:val="en-US" w:eastAsia="zh-CN"/>
        </w:rPr>
        <w:t>10</w:t>
      </w:r>
      <w:r>
        <w:rPr>
          <w:rFonts w:hint="eastAsia"/>
          <w:color w:val="auto"/>
          <w:highlight w:val="yellow"/>
        </w:rPr>
        <w:t>时00分</w:t>
      </w:r>
      <w:r>
        <w:rPr>
          <w:rFonts w:hint="eastAsia"/>
          <w:color w:val="auto"/>
          <w:highlight w:val="none"/>
        </w:rPr>
        <w:t>（北京时间）。</w:t>
      </w:r>
    </w:p>
    <w:p w14:paraId="02B720B5">
      <w:pPr>
        <w:pStyle w:val="45"/>
        <w:spacing w:before="240"/>
        <w:ind w:firstLine="480"/>
        <w:rPr>
          <w:color w:val="auto"/>
          <w:highlight w:val="none"/>
        </w:rPr>
      </w:pPr>
      <w:r>
        <w:rPr>
          <w:rFonts w:hint="eastAsia"/>
          <w:color w:val="auto"/>
          <w:highlight w:val="none"/>
        </w:rPr>
        <w:t>3、谈判地点：湖南省张家界市永定区永定办事处子午路220号（张家界市公共资源交易中心）。</w:t>
      </w:r>
      <w:r>
        <w:rPr>
          <w:rFonts w:hint="eastAsia" w:ascii="Times New Roman" w:hAnsi="Times New Roman" w:eastAsia="宋体" w:cs="Times New Roman"/>
          <w:color w:val="auto"/>
          <w:highlight w:val="none"/>
          <w:lang w:val="en-US" w:eastAsia="zh-CN"/>
        </w:rPr>
        <w:t>供应商</w:t>
      </w:r>
      <w:r>
        <w:rPr>
          <w:rFonts w:hint="eastAsia"/>
          <w:color w:val="auto"/>
          <w:highlight w:val="none"/>
          <w:lang w:val="en-US" w:eastAsia="zh-CN"/>
        </w:rPr>
        <w:t>应</w:t>
      </w:r>
      <w:r>
        <w:rPr>
          <w:rFonts w:hint="eastAsia"/>
          <w:color w:val="auto"/>
          <w:highlight w:val="none"/>
        </w:rPr>
        <w:t>线上</w:t>
      </w:r>
      <w:r>
        <w:rPr>
          <w:rFonts w:hint="eastAsia"/>
          <w:color w:val="auto"/>
          <w:highlight w:val="none"/>
          <w:lang w:val="en-US" w:eastAsia="zh-CN"/>
        </w:rPr>
        <w:t>提交响应文件，</w:t>
      </w:r>
      <w:r>
        <w:rPr>
          <w:rFonts w:hint="eastAsia"/>
          <w:color w:val="auto"/>
          <w:highlight w:val="none"/>
        </w:rPr>
        <w:t>具体操作为</w:t>
      </w:r>
      <w:r>
        <w:rPr>
          <w:rFonts w:hint="eastAsia" w:ascii="Times New Roman" w:hAnsi="Times New Roman" w:eastAsia="宋体" w:cs="Times New Roman"/>
          <w:color w:val="auto"/>
          <w:highlight w:val="none"/>
          <w:lang w:val="en-US" w:eastAsia="zh-CN"/>
        </w:rPr>
        <w:t>供应商</w:t>
      </w:r>
      <w:r>
        <w:rPr>
          <w:rFonts w:hint="eastAsia"/>
          <w:color w:val="auto"/>
          <w:highlight w:val="none"/>
        </w:rPr>
        <w:t>在“张家界市公共资源交易服务平台”的其他交易平台，登录“张家界市公共资源交易中心产权交易系统（</w:t>
      </w:r>
      <w:r>
        <w:rPr>
          <w:rFonts w:hint="eastAsia"/>
          <w:color w:val="auto"/>
          <w:highlight w:val="none"/>
          <w:lang w:eastAsia="zh-CN"/>
        </w:rPr>
        <w:t>https://www.zjjggzy.cn/portal/index</w:t>
      </w:r>
      <w:r>
        <w:rPr>
          <w:rFonts w:hint="eastAsia"/>
          <w:color w:val="auto"/>
          <w:highlight w:val="none"/>
        </w:rPr>
        <w:t>）”上传</w:t>
      </w:r>
      <w:r>
        <w:rPr>
          <w:rFonts w:hint="eastAsia"/>
          <w:color w:val="auto"/>
          <w:highlight w:val="none"/>
          <w:lang w:eastAsia="zh-CN"/>
        </w:rPr>
        <w:t>响应文件</w:t>
      </w:r>
      <w:r>
        <w:rPr>
          <w:rFonts w:hint="eastAsia"/>
          <w:color w:val="auto"/>
          <w:highlight w:val="none"/>
        </w:rPr>
        <w:t>。</w:t>
      </w:r>
    </w:p>
    <w:bookmarkEnd w:id="21"/>
    <w:bookmarkEnd w:id="22"/>
    <w:p w14:paraId="1236B2BD">
      <w:pPr>
        <w:pStyle w:val="4"/>
        <w:numPr>
          <w:ilvl w:val="0"/>
          <w:numId w:val="0"/>
        </w:numPr>
        <w:ind w:left="0" w:leftChars="0" w:firstLine="400" w:firstLineChars="0"/>
        <w:jc w:val="left"/>
        <w:rPr>
          <w:rFonts w:hint="eastAsia" w:cs="Times New Roman"/>
          <w:color w:val="auto"/>
          <w:highlight w:val="none"/>
        </w:rPr>
      </w:pPr>
      <w:bookmarkStart w:id="23" w:name="_Toc15058"/>
      <w:bookmarkStart w:id="24" w:name="_Toc28649"/>
      <w:bookmarkStart w:id="25" w:name="_Toc22201061"/>
      <w:bookmarkStart w:id="26" w:name="_Toc40166571"/>
      <w:r>
        <w:rPr>
          <w:rFonts w:hint="eastAsia" w:cs="Times New Roman"/>
          <w:color w:val="auto"/>
          <w:kern w:val="2"/>
          <w:sz w:val="30"/>
          <w:szCs w:val="24"/>
          <w:highlight w:val="none"/>
          <w:lang w:val="en-US" w:eastAsia="zh-CN" w:bidi="ar-SA"/>
        </w:rPr>
        <w:t>八</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询问及质疑</w:t>
      </w:r>
      <w:bookmarkEnd w:id="23"/>
      <w:bookmarkEnd w:id="24"/>
    </w:p>
    <w:p w14:paraId="06434974">
      <w:pPr>
        <w:pStyle w:val="45"/>
        <w:numPr>
          <w:ilvl w:val="0"/>
          <w:numId w:val="0"/>
        </w:numPr>
        <w:spacing w:before="240"/>
        <w:ind w:leftChars="200"/>
        <w:jc w:val="left"/>
        <w:rPr>
          <w:rFonts w:hint="eastAsia" w:ascii="Calibri" w:hAnsi="Calibri" w:eastAsia="宋体" w:cs="宋体"/>
          <w:color w:val="auto"/>
          <w:kern w:val="2"/>
          <w:sz w:val="24"/>
          <w:szCs w:val="24"/>
          <w:highlight w:val="none"/>
          <w:lang w:val="en-US" w:eastAsia="zh-CN" w:bidi="ar-SA"/>
        </w:rPr>
      </w:pPr>
      <w:r>
        <w:rPr>
          <w:rFonts w:hint="eastAsia" w:ascii="Calibri" w:hAnsi="Calibri" w:eastAsia="宋体" w:cs="宋体"/>
          <w:color w:val="auto"/>
          <w:kern w:val="2"/>
          <w:sz w:val="24"/>
          <w:szCs w:val="24"/>
          <w:highlight w:val="none"/>
          <w:lang w:val="en-US" w:eastAsia="zh-CN" w:bidi="ar-SA"/>
        </w:rPr>
        <w:t>1、供应商对政府采购活动事项如有疑问的，可以向采购人、采购代理机构提出询问。采购人、采购代理机构将在3个工作日内作出答复。</w:t>
      </w:r>
    </w:p>
    <w:p w14:paraId="77FF72D0">
      <w:pPr>
        <w:keepNext w:val="0"/>
        <w:keepLines w:val="0"/>
        <w:widowControl/>
        <w:suppressLineNumbers w:val="0"/>
        <w:pBdr>
          <w:left w:val="none" w:color="auto" w:sz="0" w:space="0"/>
        </w:pBdr>
        <w:spacing w:before="150" w:beforeAutospacing="0" w:line="420" w:lineRule="atLeast"/>
        <w:ind w:left="0" w:firstLine="420"/>
        <w:jc w:val="left"/>
        <w:rPr>
          <w:color w:val="auto"/>
          <w:highlight w:val="none"/>
        </w:rPr>
      </w:pPr>
      <w:r>
        <w:rPr>
          <w:rFonts w:hint="eastAsia"/>
          <w:color w:val="auto"/>
          <w:highlight w:val="none"/>
          <w:lang w:val="en-US" w:eastAsia="zh-CN"/>
        </w:rPr>
        <w:t>2、</w:t>
      </w:r>
      <w:r>
        <w:rPr>
          <w:rFonts w:hint="eastAsia"/>
          <w:color w:val="auto"/>
          <w:highlight w:val="none"/>
        </w:rPr>
        <w:t>供应商认为谈判文件使自己的合法权益受到损害的，可以在收到谈判文件之日起7个工作日内，按</w:t>
      </w:r>
      <w:r>
        <w:rPr>
          <w:rFonts w:ascii="宋体" w:hAnsi="宋体" w:eastAsia="宋体" w:cs="宋体"/>
          <w:color w:val="auto"/>
          <w:kern w:val="0"/>
          <w:sz w:val="24"/>
          <w:szCs w:val="24"/>
          <w:highlight w:val="none"/>
          <w:lang w:val="en-US" w:eastAsia="zh-CN" w:bidi="ar"/>
        </w:rPr>
        <w:t>《湖南省财政厅关于印发＜政府采购质疑答复和投诉处理操作规程＞的通知》(湘财购〔2024〕67号)</w:t>
      </w:r>
      <w:r>
        <w:rPr>
          <w:rFonts w:hint="eastAsia"/>
          <w:color w:val="auto"/>
          <w:highlight w:val="none"/>
        </w:rPr>
        <w:t>规定，以书面形式向采购人、采购代理机构提出质疑。</w:t>
      </w:r>
    </w:p>
    <w:bookmarkEnd w:id="25"/>
    <w:bookmarkEnd w:id="26"/>
    <w:p w14:paraId="4C999AED">
      <w:pPr>
        <w:pStyle w:val="4"/>
        <w:numPr>
          <w:ilvl w:val="0"/>
          <w:numId w:val="0"/>
        </w:numPr>
        <w:ind w:left="0" w:leftChars="0" w:firstLine="400" w:firstLineChars="0"/>
        <w:jc w:val="left"/>
        <w:rPr>
          <w:rFonts w:hint="eastAsia" w:cs="Times New Roman"/>
          <w:color w:val="auto"/>
          <w:highlight w:val="none"/>
        </w:rPr>
      </w:pPr>
      <w:bookmarkStart w:id="27" w:name="_Toc25013"/>
      <w:bookmarkStart w:id="28" w:name="_Toc27304"/>
      <w:r>
        <w:rPr>
          <w:rFonts w:hint="eastAsia" w:cs="Times New Roman"/>
          <w:color w:val="auto"/>
          <w:kern w:val="2"/>
          <w:sz w:val="30"/>
          <w:szCs w:val="24"/>
          <w:highlight w:val="none"/>
          <w:lang w:val="en-US" w:eastAsia="zh-CN" w:bidi="ar-SA"/>
        </w:rPr>
        <w:t>九</w:t>
      </w:r>
      <w:r>
        <w:rPr>
          <w:rFonts w:hint="eastAsia" w:ascii="Arial" w:hAnsi="Arial" w:eastAsia="黑体" w:cs="Times New Roman"/>
          <w:color w:val="auto"/>
          <w:kern w:val="2"/>
          <w:sz w:val="30"/>
          <w:szCs w:val="24"/>
          <w:highlight w:val="none"/>
          <w:lang w:val="en-US" w:eastAsia="zh-CN" w:bidi="ar-SA"/>
        </w:rPr>
        <w:t>、</w:t>
      </w:r>
      <w:r>
        <w:rPr>
          <w:rFonts w:hint="eastAsia" w:cs="Times New Roman"/>
          <w:color w:val="auto"/>
          <w:highlight w:val="none"/>
        </w:rPr>
        <w:t>采购项目联系人姓名和电话</w:t>
      </w:r>
      <w:bookmarkEnd w:id="27"/>
      <w:bookmarkEnd w:id="28"/>
    </w:p>
    <w:tbl>
      <w:tblPr>
        <w:tblStyle w:val="35"/>
        <w:tblW w:w="0" w:type="auto"/>
        <w:tblInd w:w="2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3435"/>
        <w:gridCol w:w="1740"/>
        <w:gridCol w:w="2940"/>
      </w:tblGrid>
      <w:tr w14:paraId="5624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9675" w:type="dxa"/>
            <w:gridSpan w:val="4"/>
            <w:tcBorders>
              <w:top w:val="nil"/>
              <w:left w:val="nil"/>
              <w:bottom w:val="nil"/>
              <w:right w:val="nil"/>
            </w:tcBorders>
            <w:vAlign w:val="center"/>
          </w:tcPr>
          <w:p w14:paraId="71BEE9D3">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采购项目</w:t>
            </w:r>
          </w:p>
        </w:tc>
      </w:tr>
      <w:tr w14:paraId="06F78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560" w:type="dxa"/>
            <w:tcBorders>
              <w:top w:val="nil"/>
              <w:left w:val="nil"/>
              <w:bottom w:val="nil"/>
              <w:right w:val="nil"/>
            </w:tcBorders>
            <w:vAlign w:val="center"/>
          </w:tcPr>
          <w:p w14:paraId="17B4C86E">
            <w:pPr>
              <w:pStyle w:val="45"/>
              <w:spacing w:before="0" w:beforeLines="0" w:line="240" w:lineRule="auto"/>
              <w:ind w:firstLine="0" w:firstLineChars="0"/>
              <w:jc w:val="distribute"/>
              <w:rPr>
                <w:color w:val="auto"/>
                <w:highlight w:val="none"/>
              </w:rPr>
            </w:pPr>
            <w:r>
              <w:rPr>
                <w:rFonts w:hint="eastAsia"/>
                <w:color w:val="auto"/>
                <w:highlight w:val="none"/>
              </w:rPr>
              <w:t>联系人姓名：</w:t>
            </w:r>
          </w:p>
        </w:tc>
        <w:tc>
          <w:tcPr>
            <w:tcW w:w="3435" w:type="dxa"/>
            <w:tcBorders>
              <w:top w:val="nil"/>
              <w:left w:val="nil"/>
              <w:bottom w:val="nil"/>
              <w:right w:val="nil"/>
            </w:tcBorders>
            <w:vAlign w:val="center"/>
          </w:tcPr>
          <w:p w14:paraId="6EB38FB1">
            <w:pPr>
              <w:pStyle w:val="45"/>
              <w:spacing w:before="0" w:beforeLines="0" w:line="240" w:lineRule="auto"/>
              <w:ind w:firstLine="0" w:firstLineChars="0"/>
              <w:jc w:val="left"/>
              <w:rPr>
                <w:rFonts w:hint="eastAsia" w:eastAsia="宋体"/>
                <w:color w:val="auto"/>
                <w:highlight w:val="none"/>
                <w:lang w:val="en-US" w:eastAsia="zh-CN"/>
              </w:rPr>
            </w:pPr>
            <w:r>
              <w:rPr>
                <w:rFonts w:hint="eastAsia"/>
                <w:color w:val="auto"/>
                <w:highlight w:val="none"/>
                <w:lang w:val="en-US" w:eastAsia="zh-CN"/>
              </w:rPr>
              <w:t>吴女士</w:t>
            </w:r>
          </w:p>
        </w:tc>
        <w:tc>
          <w:tcPr>
            <w:tcW w:w="1740" w:type="dxa"/>
            <w:tcBorders>
              <w:top w:val="nil"/>
              <w:left w:val="nil"/>
              <w:bottom w:val="nil"/>
              <w:right w:val="nil"/>
            </w:tcBorders>
            <w:vAlign w:val="center"/>
          </w:tcPr>
          <w:p w14:paraId="7CD3EF36">
            <w:pPr>
              <w:pStyle w:val="45"/>
              <w:spacing w:before="0" w:beforeLines="0" w:line="240" w:lineRule="auto"/>
              <w:ind w:firstLine="0" w:firstLineChars="0"/>
              <w:jc w:val="distribute"/>
              <w:rPr>
                <w:color w:val="auto"/>
                <w:highlight w:val="none"/>
              </w:rPr>
            </w:pPr>
            <w:r>
              <w:rPr>
                <w:rFonts w:hint="eastAsia"/>
                <w:color w:val="auto"/>
                <w:highlight w:val="none"/>
              </w:rPr>
              <w:t>电      话：</w:t>
            </w:r>
          </w:p>
        </w:tc>
        <w:tc>
          <w:tcPr>
            <w:tcW w:w="2940" w:type="dxa"/>
            <w:tcBorders>
              <w:top w:val="nil"/>
              <w:left w:val="nil"/>
              <w:bottom w:val="nil"/>
              <w:right w:val="nil"/>
            </w:tcBorders>
            <w:vAlign w:val="center"/>
          </w:tcPr>
          <w:p w14:paraId="67260CC2">
            <w:pPr>
              <w:pStyle w:val="45"/>
              <w:spacing w:before="0" w:beforeLines="0" w:line="240" w:lineRule="auto"/>
              <w:ind w:firstLine="0" w:firstLineChars="0"/>
              <w:jc w:val="left"/>
              <w:rPr>
                <w:rFonts w:hint="default" w:eastAsia="宋体"/>
                <w:color w:val="auto"/>
                <w:highlight w:val="none"/>
                <w:lang w:val="en-US" w:eastAsia="zh-CN"/>
              </w:rPr>
            </w:pPr>
            <w:r>
              <w:rPr>
                <w:rFonts w:hint="eastAsia"/>
                <w:color w:val="auto"/>
                <w:highlight w:val="none"/>
                <w:lang w:val="en-US" w:eastAsia="zh-CN"/>
              </w:rPr>
              <w:t>13974427988</w:t>
            </w:r>
          </w:p>
        </w:tc>
      </w:tr>
      <w:tr w14:paraId="585C2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9675" w:type="dxa"/>
            <w:gridSpan w:val="4"/>
            <w:tcBorders>
              <w:top w:val="nil"/>
              <w:left w:val="nil"/>
              <w:bottom w:val="nil"/>
              <w:right w:val="nil"/>
            </w:tcBorders>
            <w:vAlign w:val="center"/>
          </w:tcPr>
          <w:p w14:paraId="597BA358">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 购 人</w:t>
            </w:r>
          </w:p>
        </w:tc>
      </w:tr>
      <w:tr w14:paraId="61F2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67AD497A">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名      称：</w:t>
            </w:r>
          </w:p>
        </w:tc>
        <w:tc>
          <w:tcPr>
            <w:tcW w:w="8115" w:type="dxa"/>
            <w:gridSpan w:val="3"/>
            <w:tcBorders>
              <w:top w:val="nil"/>
              <w:left w:val="nil"/>
              <w:bottom w:val="nil"/>
              <w:right w:val="nil"/>
            </w:tcBorders>
            <w:vAlign w:val="center"/>
          </w:tcPr>
          <w:p w14:paraId="0B7908FE">
            <w:pPr>
              <w:pStyle w:val="45"/>
              <w:spacing w:before="0" w:beforeLines="0" w:line="240" w:lineRule="auto"/>
              <w:ind w:firstLine="0" w:firstLineChars="0"/>
              <w:rPr>
                <w:rFonts w:hint="default" w:eastAsia="宋体"/>
                <w:b w:val="0"/>
                <w:bCs w:val="0"/>
                <w:color w:val="auto"/>
                <w:highlight w:val="none"/>
                <w:lang w:val="en-US" w:eastAsia="zh-CN"/>
              </w:rPr>
            </w:pPr>
            <w:r>
              <w:rPr>
                <w:rFonts w:hint="eastAsia"/>
                <w:b w:val="0"/>
                <w:bCs w:val="0"/>
                <w:color w:val="auto"/>
                <w:highlight w:val="none"/>
                <w:lang w:eastAsia="zh-CN"/>
              </w:rPr>
              <w:t>张家界市卫生健康委员会</w:t>
            </w:r>
          </w:p>
        </w:tc>
      </w:tr>
      <w:tr w14:paraId="3045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095BA1FF">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地      址：</w:t>
            </w:r>
          </w:p>
        </w:tc>
        <w:tc>
          <w:tcPr>
            <w:tcW w:w="8115" w:type="dxa"/>
            <w:gridSpan w:val="3"/>
            <w:tcBorders>
              <w:top w:val="nil"/>
              <w:left w:val="nil"/>
              <w:bottom w:val="nil"/>
              <w:right w:val="nil"/>
            </w:tcBorders>
            <w:vAlign w:val="center"/>
          </w:tcPr>
          <w:p w14:paraId="1BE0110D">
            <w:pPr>
              <w:pStyle w:val="45"/>
              <w:spacing w:before="0" w:beforeLines="0" w:line="240" w:lineRule="auto"/>
              <w:ind w:firstLine="0" w:firstLineChars="0"/>
              <w:rPr>
                <w:rFonts w:hint="default" w:eastAsia="宋体"/>
                <w:b w:val="0"/>
                <w:bCs w:val="0"/>
                <w:color w:val="auto"/>
                <w:highlight w:val="none"/>
                <w:lang w:val="en-US" w:eastAsia="zh-CN"/>
              </w:rPr>
            </w:pPr>
            <w:r>
              <w:rPr>
                <w:rFonts w:hint="eastAsia"/>
                <w:color w:val="auto"/>
                <w:highlight w:val="none"/>
                <w:lang w:val="en-US" w:eastAsia="zh-CN"/>
              </w:rPr>
              <w:t>张家界市永定区南庄坪</w:t>
            </w:r>
          </w:p>
        </w:tc>
      </w:tr>
      <w:tr w14:paraId="283B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BB43777">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联  系  人：</w:t>
            </w:r>
          </w:p>
        </w:tc>
        <w:tc>
          <w:tcPr>
            <w:tcW w:w="3435" w:type="dxa"/>
            <w:tcBorders>
              <w:top w:val="nil"/>
              <w:left w:val="nil"/>
              <w:bottom w:val="nil"/>
              <w:right w:val="nil"/>
            </w:tcBorders>
            <w:vAlign w:val="center"/>
          </w:tcPr>
          <w:p w14:paraId="74748263">
            <w:pPr>
              <w:pStyle w:val="45"/>
              <w:spacing w:before="0" w:beforeLines="0" w:line="240" w:lineRule="auto"/>
              <w:ind w:firstLine="0" w:firstLineChars="0"/>
              <w:rPr>
                <w:rFonts w:hint="default" w:eastAsia="宋体"/>
                <w:b w:val="0"/>
                <w:bCs w:val="0"/>
                <w:color w:val="auto"/>
                <w:highlight w:val="none"/>
                <w:lang w:val="en-US" w:eastAsia="zh-CN"/>
              </w:rPr>
            </w:pPr>
            <w:r>
              <w:rPr>
                <w:rFonts w:hint="eastAsia"/>
                <w:color w:val="auto"/>
                <w:highlight w:val="none"/>
                <w:lang w:val="en-US" w:eastAsia="zh-CN"/>
              </w:rPr>
              <w:t>吴女士</w:t>
            </w:r>
          </w:p>
        </w:tc>
        <w:tc>
          <w:tcPr>
            <w:tcW w:w="1740" w:type="dxa"/>
            <w:tcBorders>
              <w:top w:val="nil"/>
              <w:left w:val="nil"/>
              <w:bottom w:val="nil"/>
              <w:right w:val="nil"/>
            </w:tcBorders>
            <w:vAlign w:val="center"/>
          </w:tcPr>
          <w:p w14:paraId="2233E45C">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电      话：</w:t>
            </w:r>
          </w:p>
        </w:tc>
        <w:tc>
          <w:tcPr>
            <w:tcW w:w="2940" w:type="dxa"/>
            <w:tcBorders>
              <w:top w:val="nil"/>
              <w:left w:val="nil"/>
              <w:bottom w:val="nil"/>
              <w:right w:val="nil"/>
            </w:tcBorders>
            <w:vAlign w:val="center"/>
          </w:tcPr>
          <w:p w14:paraId="6E031484">
            <w:pPr>
              <w:pStyle w:val="45"/>
              <w:spacing w:before="0" w:beforeLines="0" w:line="240" w:lineRule="auto"/>
              <w:ind w:firstLine="0" w:firstLineChars="0"/>
              <w:rPr>
                <w:rFonts w:hint="default" w:eastAsia="宋体"/>
                <w:b w:val="0"/>
                <w:bCs w:val="0"/>
                <w:color w:val="auto"/>
                <w:highlight w:val="none"/>
                <w:lang w:val="en-US" w:eastAsia="zh-CN"/>
              </w:rPr>
            </w:pPr>
            <w:r>
              <w:rPr>
                <w:rFonts w:hint="eastAsia"/>
                <w:b w:val="0"/>
                <w:bCs w:val="0"/>
                <w:color w:val="auto"/>
                <w:highlight w:val="none"/>
                <w:lang w:val="en-US" w:eastAsia="zh-CN"/>
              </w:rPr>
              <w:t>13974427988</w:t>
            </w:r>
          </w:p>
        </w:tc>
      </w:tr>
      <w:tr w14:paraId="7BD9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393B1F9">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邮      编：</w:t>
            </w:r>
          </w:p>
        </w:tc>
        <w:tc>
          <w:tcPr>
            <w:tcW w:w="3435" w:type="dxa"/>
            <w:tcBorders>
              <w:top w:val="nil"/>
              <w:left w:val="nil"/>
              <w:bottom w:val="nil"/>
              <w:right w:val="nil"/>
            </w:tcBorders>
            <w:vAlign w:val="center"/>
          </w:tcPr>
          <w:p w14:paraId="4F28A51F">
            <w:pPr>
              <w:pStyle w:val="45"/>
              <w:spacing w:before="0" w:beforeLines="0" w:line="240" w:lineRule="auto"/>
              <w:ind w:firstLine="0" w:firstLineChars="0"/>
              <w:rPr>
                <w:b w:val="0"/>
                <w:bCs w:val="0"/>
                <w:color w:val="auto"/>
                <w:highlight w:val="none"/>
              </w:rPr>
            </w:pPr>
            <w:r>
              <w:rPr>
                <w:rFonts w:hint="eastAsia"/>
                <w:b w:val="0"/>
                <w:bCs w:val="0"/>
                <w:color w:val="auto"/>
                <w:highlight w:val="none"/>
              </w:rPr>
              <w:t>427000</w:t>
            </w:r>
          </w:p>
        </w:tc>
        <w:tc>
          <w:tcPr>
            <w:tcW w:w="1740" w:type="dxa"/>
            <w:tcBorders>
              <w:top w:val="nil"/>
              <w:left w:val="nil"/>
              <w:bottom w:val="nil"/>
              <w:right w:val="nil"/>
            </w:tcBorders>
            <w:vAlign w:val="center"/>
          </w:tcPr>
          <w:p w14:paraId="7EDE6708">
            <w:pPr>
              <w:pStyle w:val="45"/>
              <w:spacing w:before="0" w:beforeLines="0" w:line="240" w:lineRule="auto"/>
              <w:ind w:firstLine="0" w:firstLineChars="0"/>
              <w:jc w:val="distribute"/>
              <w:rPr>
                <w:b w:val="0"/>
                <w:bCs w:val="0"/>
                <w:color w:val="auto"/>
                <w:highlight w:val="none"/>
              </w:rPr>
            </w:pPr>
            <w:r>
              <w:rPr>
                <w:rFonts w:hint="eastAsia"/>
                <w:b w:val="0"/>
                <w:bCs w:val="0"/>
                <w:color w:val="auto"/>
                <w:highlight w:val="none"/>
              </w:rPr>
              <w:t>电子邮箱：</w:t>
            </w:r>
          </w:p>
        </w:tc>
        <w:tc>
          <w:tcPr>
            <w:tcW w:w="2940" w:type="dxa"/>
            <w:tcBorders>
              <w:top w:val="nil"/>
              <w:left w:val="nil"/>
              <w:bottom w:val="nil"/>
              <w:right w:val="nil"/>
            </w:tcBorders>
            <w:vAlign w:val="center"/>
          </w:tcPr>
          <w:p w14:paraId="7C14D075">
            <w:pPr>
              <w:pStyle w:val="45"/>
              <w:tabs>
                <w:tab w:val="left" w:pos="515"/>
                <w:tab w:val="center" w:pos="1422"/>
              </w:tabs>
              <w:spacing w:before="0" w:beforeLines="0" w:line="240" w:lineRule="auto"/>
              <w:ind w:firstLine="0" w:firstLineChars="0"/>
              <w:jc w:val="left"/>
              <w:rPr>
                <w:b w:val="0"/>
                <w:bCs w:val="0"/>
                <w:color w:val="auto"/>
                <w:highlight w:val="none"/>
              </w:rPr>
            </w:pPr>
            <w:r>
              <w:rPr>
                <w:rFonts w:hint="eastAsia"/>
                <w:b w:val="0"/>
                <w:bCs w:val="0"/>
                <w:color w:val="auto"/>
                <w:highlight w:val="none"/>
              </w:rPr>
              <w:t>/</w:t>
            </w:r>
            <w:r>
              <w:rPr>
                <w:rFonts w:hint="eastAsia"/>
                <w:b w:val="0"/>
                <w:bCs w:val="0"/>
                <w:color w:val="auto"/>
                <w:highlight w:val="none"/>
              </w:rPr>
              <w:tab/>
            </w:r>
          </w:p>
        </w:tc>
      </w:tr>
      <w:tr w14:paraId="4825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9675" w:type="dxa"/>
            <w:gridSpan w:val="4"/>
            <w:tcBorders>
              <w:top w:val="nil"/>
              <w:left w:val="nil"/>
              <w:bottom w:val="nil"/>
              <w:right w:val="nil"/>
            </w:tcBorders>
            <w:vAlign w:val="center"/>
          </w:tcPr>
          <w:p w14:paraId="1BDB024E">
            <w:pPr>
              <w:pStyle w:val="45"/>
              <w:numPr>
                <w:ilvl w:val="0"/>
                <w:numId w:val="6"/>
              </w:numPr>
              <w:spacing w:before="0" w:beforeLines="0" w:line="240" w:lineRule="auto"/>
              <w:ind w:firstLine="0" w:firstLineChars="0"/>
              <w:jc w:val="left"/>
              <w:rPr>
                <w:color w:val="auto"/>
                <w:highlight w:val="none"/>
              </w:rPr>
            </w:pPr>
            <w:r>
              <w:rPr>
                <w:rFonts w:hint="eastAsia"/>
                <w:color w:val="auto"/>
                <w:highlight w:val="none"/>
              </w:rPr>
              <w:t>采购代理机构</w:t>
            </w:r>
          </w:p>
        </w:tc>
      </w:tr>
      <w:tr w14:paraId="6F7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A1236E8">
            <w:pPr>
              <w:pStyle w:val="45"/>
              <w:spacing w:before="0" w:beforeLines="0" w:line="240" w:lineRule="auto"/>
              <w:ind w:firstLine="0" w:firstLineChars="0"/>
              <w:jc w:val="distribute"/>
              <w:rPr>
                <w:color w:val="auto"/>
                <w:highlight w:val="none"/>
              </w:rPr>
            </w:pPr>
            <w:r>
              <w:rPr>
                <w:rFonts w:hint="eastAsia"/>
                <w:color w:val="auto"/>
                <w:highlight w:val="none"/>
              </w:rPr>
              <w:t>名      称：</w:t>
            </w:r>
          </w:p>
        </w:tc>
        <w:tc>
          <w:tcPr>
            <w:tcW w:w="8115" w:type="dxa"/>
            <w:gridSpan w:val="3"/>
            <w:tcBorders>
              <w:top w:val="nil"/>
              <w:left w:val="nil"/>
              <w:bottom w:val="nil"/>
              <w:right w:val="nil"/>
            </w:tcBorders>
            <w:vAlign w:val="center"/>
          </w:tcPr>
          <w:p w14:paraId="713E61BD">
            <w:pPr>
              <w:pStyle w:val="45"/>
              <w:spacing w:before="0" w:beforeLines="0" w:line="240" w:lineRule="auto"/>
              <w:ind w:firstLine="0" w:firstLineChars="0"/>
              <w:jc w:val="left"/>
              <w:rPr>
                <w:rFonts w:hint="eastAsia" w:eastAsia="宋体"/>
                <w:color w:val="auto"/>
                <w:highlight w:val="none"/>
                <w:lang w:eastAsia="zh-CN"/>
              </w:rPr>
            </w:pPr>
            <w:r>
              <w:rPr>
                <w:rFonts w:hint="eastAsia"/>
                <w:color w:val="auto"/>
                <w:highlight w:val="none"/>
                <w:lang w:eastAsia="zh-CN"/>
              </w:rPr>
              <w:t>湖南省天平项目管理有限公司</w:t>
            </w:r>
          </w:p>
        </w:tc>
      </w:tr>
      <w:tr w14:paraId="3D2B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3557FFA0">
            <w:pPr>
              <w:pStyle w:val="45"/>
              <w:spacing w:before="0" w:beforeLines="0" w:line="240" w:lineRule="auto"/>
              <w:ind w:firstLine="0" w:firstLineChars="0"/>
              <w:jc w:val="distribute"/>
              <w:rPr>
                <w:color w:val="auto"/>
                <w:highlight w:val="none"/>
              </w:rPr>
            </w:pPr>
            <w:r>
              <w:rPr>
                <w:rFonts w:hint="eastAsia"/>
                <w:color w:val="auto"/>
                <w:highlight w:val="none"/>
              </w:rPr>
              <w:t>地      址：</w:t>
            </w:r>
          </w:p>
        </w:tc>
        <w:tc>
          <w:tcPr>
            <w:tcW w:w="8115" w:type="dxa"/>
            <w:gridSpan w:val="3"/>
            <w:tcBorders>
              <w:top w:val="nil"/>
              <w:left w:val="nil"/>
              <w:bottom w:val="nil"/>
              <w:right w:val="nil"/>
            </w:tcBorders>
            <w:vAlign w:val="center"/>
          </w:tcPr>
          <w:p w14:paraId="344AA3F5">
            <w:pPr>
              <w:pStyle w:val="45"/>
              <w:spacing w:before="0" w:beforeLines="0" w:line="240" w:lineRule="auto"/>
              <w:ind w:firstLine="0" w:firstLineChars="0"/>
              <w:jc w:val="left"/>
              <w:rPr>
                <w:color w:val="auto"/>
                <w:highlight w:val="none"/>
              </w:rPr>
            </w:pPr>
            <w:r>
              <w:rPr>
                <w:rFonts w:hint="eastAsia"/>
                <w:color w:val="auto"/>
                <w:highlight w:val="none"/>
                <w:lang w:eastAsia="zh-CN"/>
              </w:rPr>
              <w:t>张家界市永定区古庸路572号金领国际大厦8楼802室（本项目联系地址）</w:t>
            </w:r>
            <w:r>
              <w:rPr>
                <w:rFonts w:hint="eastAsia"/>
                <w:color w:val="auto"/>
                <w:highlight w:val="none"/>
              </w:rPr>
              <w:t xml:space="preserve">  </w:t>
            </w:r>
          </w:p>
        </w:tc>
      </w:tr>
      <w:tr w14:paraId="4E2B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nil"/>
              <w:left w:val="nil"/>
              <w:bottom w:val="nil"/>
              <w:right w:val="nil"/>
            </w:tcBorders>
            <w:vAlign w:val="center"/>
          </w:tcPr>
          <w:p w14:paraId="11C221E4">
            <w:pPr>
              <w:pStyle w:val="45"/>
              <w:spacing w:before="0" w:beforeLines="0" w:line="240" w:lineRule="auto"/>
              <w:ind w:firstLine="0" w:firstLineChars="0"/>
              <w:jc w:val="distribute"/>
              <w:rPr>
                <w:color w:val="auto"/>
                <w:highlight w:val="none"/>
              </w:rPr>
            </w:pPr>
            <w:r>
              <w:rPr>
                <w:rFonts w:hint="eastAsia"/>
                <w:color w:val="auto"/>
                <w:highlight w:val="none"/>
              </w:rPr>
              <w:t>联  系  人：</w:t>
            </w:r>
          </w:p>
        </w:tc>
        <w:tc>
          <w:tcPr>
            <w:tcW w:w="3435" w:type="dxa"/>
            <w:tcBorders>
              <w:top w:val="nil"/>
              <w:left w:val="nil"/>
              <w:bottom w:val="nil"/>
              <w:right w:val="nil"/>
            </w:tcBorders>
            <w:vAlign w:val="center"/>
          </w:tcPr>
          <w:p w14:paraId="12998719">
            <w:pPr>
              <w:pStyle w:val="45"/>
              <w:spacing w:before="0" w:beforeLines="0" w:line="240" w:lineRule="auto"/>
              <w:ind w:firstLine="0" w:firstLineChars="0"/>
              <w:jc w:val="left"/>
              <w:rPr>
                <w:color w:val="auto"/>
                <w:highlight w:val="none"/>
              </w:rPr>
            </w:pPr>
            <w:r>
              <w:rPr>
                <w:rFonts w:hint="eastAsia"/>
                <w:color w:val="auto"/>
                <w:highlight w:val="none"/>
                <w:lang w:val="en-US" w:eastAsia="zh-CN"/>
              </w:rPr>
              <w:t>王先生</w:t>
            </w:r>
            <w:r>
              <w:rPr>
                <w:rFonts w:hint="eastAsia"/>
                <w:color w:val="auto"/>
                <w:highlight w:val="none"/>
              </w:rPr>
              <w:t xml:space="preserve">  </w:t>
            </w:r>
          </w:p>
        </w:tc>
        <w:tc>
          <w:tcPr>
            <w:tcW w:w="1740" w:type="dxa"/>
            <w:tcBorders>
              <w:top w:val="nil"/>
              <w:left w:val="nil"/>
              <w:bottom w:val="nil"/>
              <w:right w:val="nil"/>
            </w:tcBorders>
            <w:vAlign w:val="center"/>
          </w:tcPr>
          <w:p w14:paraId="6BC65934">
            <w:pPr>
              <w:pStyle w:val="45"/>
              <w:spacing w:before="0" w:beforeLines="0" w:line="240" w:lineRule="auto"/>
              <w:ind w:firstLine="0" w:firstLineChars="0"/>
              <w:jc w:val="distribute"/>
              <w:rPr>
                <w:color w:val="auto"/>
                <w:highlight w:val="none"/>
              </w:rPr>
            </w:pPr>
            <w:r>
              <w:rPr>
                <w:rFonts w:hint="eastAsia"/>
                <w:color w:val="auto"/>
                <w:highlight w:val="none"/>
              </w:rPr>
              <w:t>电      话：</w:t>
            </w:r>
          </w:p>
        </w:tc>
        <w:tc>
          <w:tcPr>
            <w:tcW w:w="2940" w:type="dxa"/>
            <w:tcBorders>
              <w:top w:val="nil"/>
              <w:left w:val="nil"/>
              <w:bottom w:val="nil"/>
              <w:right w:val="nil"/>
            </w:tcBorders>
            <w:vAlign w:val="center"/>
          </w:tcPr>
          <w:p w14:paraId="08BA46C2">
            <w:pPr>
              <w:pStyle w:val="45"/>
              <w:spacing w:before="0" w:beforeLines="0" w:line="240" w:lineRule="auto"/>
              <w:ind w:firstLine="0" w:firstLineChars="0"/>
              <w:jc w:val="left"/>
              <w:rPr>
                <w:rFonts w:hint="eastAsia" w:eastAsia="宋体"/>
                <w:color w:val="auto"/>
                <w:highlight w:val="none"/>
                <w:lang w:eastAsia="zh-CN"/>
              </w:rPr>
            </w:pPr>
            <w:r>
              <w:rPr>
                <w:rFonts w:hint="eastAsia"/>
                <w:color w:val="auto"/>
                <w:highlight w:val="none"/>
                <w:lang w:eastAsia="zh-CN"/>
              </w:rPr>
              <w:t>18574401150</w:t>
            </w:r>
          </w:p>
        </w:tc>
      </w:tr>
      <w:tr w14:paraId="0FF6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1560" w:type="dxa"/>
            <w:tcBorders>
              <w:top w:val="nil"/>
              <w:left w:val="nil"/>
              <w:bottom w:val="nil"/>
              <w:right w:val="nil"/>
            </w:tcBorders>
            <w:vAlign w:val="center"/>
          </w:tcPr>
          <w:p w14:paraId="64157922">
            <w:pPr>
              <w:pStyle w:val="45"/>
              <w:spacing w:before="0" w:beforeLines="0" w:line="240" w:lineRule="auto"/>
              <w:ind w:firstLine="0" w:firstLineChars="0"/>
              <w:jc w:val="distribute"/>
              <w:rPr>
                <w:color w:val="auto"/>
                <w:highlight w:val="none"/>
              </w:rPr>
            </w:pPr>
            <w:r>
              <w:rPr>
                <w:rFonts w:hint="eastAsia"/>
                <w:color w:val="auto"/>
                <w:highlight w:val="none"/>
              </w:rPr>
              <w:t>邮      编：</w:t>
            </w:r>
          </w:p>
        </w:tc>
        <w:tc>
          <w:tcPr>
            <w:tcW w:w="3435" w:type="dxa"/>
            <w:tcBorders>
              <w:top w:val="nil"/>
              <w:left w:val="nil"/>
              <w:bottom w:val="nil"/>
              <w:right w:val="nil"/>
            </w:tcBorders>
            <w:vAlign w:val="center"/>
          </w:tcPr>
          <w:p w14:paraId="27B73E7F">
            <w:pPr>
              <w:pStyle w:val="45"/>
              <w:spacing w:before="0" w:beforeLines="0" w:line="240" w:lineRule="auto"/>
              <w:ind w:firstLine="0" w:firstLineChars="0"/>
              <w:jc w:val="left"/>
              <w:rPr>
                <w:color w:val="auto"/>
                <w:highlight w:val="none"/>
              </w:rPr>
            </w:pPr>
            <w:r>
              <w:rPr>
                <w:rFonts w:hint="eastAsia"/>
                <w:color w:val="auto"/>
                <w:highlight w:val="none"/>
              </w:rPr>
              <w:t>427000</w:t>
            </w:r>
          </w:p>
        </w:tc>
        <w:tc>
          <w:tcPr>
            <w:tcW w:w="1740" w:type="dxa"/>
            <w:tcBorders>
              <w:top w:val="nil"/>
              <w:left w:val="nil"/>
              <w:bottom w:val="nil"/>
              <w:right w:val="nil"/>
            </w:tcBorders>
            <w:vAlign w:val="center"/>
          </w:tcPr>
          <w:p w14:paraId="237573FA">
            <w:pPr>
              <w:pStyle w:val="45"/>
              <w:spacing w:before="0" w:beforeLines="0" w:line="240" w:lineRule="auto"/>
              <w:ind w:firstLine="0" w:firstLineChars="0"/>
              <w:jc w:val="distribute"/>
              <w:rPr>
                <w:color w:val="auto"/>
                <w:highlight w:val="none"/>
              </w:rPr>
            </w:pPr>
            <w:r>
              <w:rPr>
                <w:rFonts w:hint="eastAsia"/>
                <w:color w:val="auto"/>
                <w:highlight w:val="none"/>
              </w:rPr>
              <w:t>电子邮箱：</w:t>
            </w:r>
          </w:p>
        </w:tc>
        <w:tc>
          <w:tcPr>
            <w:tcW w:w="2940" w:type="dxa"/>
            <w:tcBorders>
              <w:top w:val="nil"/>
              <w:left w:val="nil"/>
              <w:bottom w:val="nil"/>
              <w:right w:val="nil"/>
            </w:tcBorders>
            <w:vAlign w:val="center"/>
          </w:tcPr>
          <w:p w14:paraId="7579D58F">
            <w:pPr>
              <w:pStyle w:val="45"/>
              <w:spacing w:before="0" w:beforeLines="0" w:line="240" w:lineRule="auto"/>
              <w:ind w:firstLine="0" w:firstLineChars="0"/>
              <w:rPr>
                <w:rFonts w:hint="eastAsia" w:eastAsia="宋体"/>
                <w:color w:val="auto"/>
                <w:highlight w:val="none"/>
                <w:lang w:eastAsia="zh-CN"/>
              </w:rPr>
            </w:pPr>
            <w:r>
              <w:rPr>
                <w:rFonts w:hint="eastAsia"/>
                <w:color w:val="auto"/>
                <w:highlight w:val="none"/>
                <w:lang w:eastAsia="zh-CN"/>
              </w:rPr>
              <w:t>449780866@qq.com</w:t>
            </w:r>
          </w:p>
        </w:tc>
      </w:tr>
    </w:tbl>
    <w:p w14:paraId="1F3725AB">
      <w:pPr>
        <w:rPr>
          <w:color w:val="auto"/>
          <w:highlight w:val="none"/>
        </w:rPr>
      </w:pPr>
      <w:r>
        <w:rPr>
          <w:rFonts w:hint="eastAsia"/>
          <w:color w:val="auto"/>
          <w:highlight w:val="none"/>
        </w:rPr>
        <w:br w:type="page"/>
      </w:r>
    </w:p>
    <w:p w14:paraId="1F94AC7D">
      <w:pPr>
        <w:pStyle w:val="3"/>
        <w:spacing w:before="156" w:after="156"/>
        <w:ind w:firstLine="720" w:firstLineChars="200"/>
        <w:rPr>
          <w:rFonts w:hint="default"/>
          <w:color w:val="auto"/>
          <w:highlight w:val="none"/>
        </w:rPr>
      </w:pPr>
      <w:bookmarkStart w:id="29" w:name="_Toc28234"/>
      <w:r>
        <w:rPr>
          <w:color w:val="auto"/>
          <w:highlight w:val="none"/>
        </w:rPr>
        <w:t xml:space="preserve">第二章 </w:t>
      </w:r>
      <w:r>
        <w:rPr>
          <w:rFonts w:hint="eastAsia"/>
          <w:color w:val="auto"/>
          <w:highlight w:val="none"/>
          <w:lang w:eastAsia="zh-CN"/>
        </w:rPr>
        <w:t>供应商</w:t>
      </w:r>
      <w:r>
        <w:rPr>
          <w:color w:val="auto"/>
          <w:highlight w:val="none"/>
        </w:rPr>
        <w:t>须知</w:t>
      </w:r>
      <w:bookmarkEnd w:id="7"/>
      <w:bookmarkEnd w:id="29"/>
    </w:p>
    <w:p w14:paraId="41B1FBB6">
      <w:pPr>
        <w:pStyle w:val="4"/>
        <w:spacing w:before="156"/>
        <w:jc w:val="center"/>
        <w:rPr>
          <w:color w:val="auto"/>
          <w:highlight w:val="none"/>
        </w:rPr>
      </w:pPr>
      <w:bookmarkStart w:id="30" w:name="_Toc9105"/>
      <w:bookmarkStart w:id="31" w:name="_Toc32216"/>
      <w:bookmarkStart w:id="32" w:name="_Toc10762"/>
      <w:bookmarkStart w:id="33" w:name="_Toc7188"/>
      <w:r>
        <w:rPr>
          <w:rFonts w:hint="eastAsia"/>
          <w:color w:val="auto"/>
          <w:highlight w:val="none"/>
        </w:rPr>
        <w:t xml:space="preserve">第一节 </w:t>
      </w:r>
      <w:r>
        <w:rPr>
          <w:rFonts w:hint="eastAsia"/>
          <w:color w:val="auto"/>
          <w:highlight w:val="none"/>
          <w:lang w:eastAsia="zh-CN"/>
        </w:rPr>
        <w:t>供应商</w:t>
      </w:r>
      <w:r>
        <w:rPr>
          <w:rFonts w:hint="eastAsia"/>
          <w:color w:val="auto"/>
          <w:highlight w:val="none"/>
        </w:rPr>
        <w:t>须知前附表</w:t>
      </w:r>
      <w:bookmarkEnd w:id="30"/>
      <w:bookmarkEnd w:id="31"/>
      <w:bookmarkEnd w:id="32"/>
      <w:bookmarkEnd w:id="33"/>
    </w:p>
    <w:tbl>
      <w:tblPr>
        <w:tblStyle w:val="34"/>
        <w:tblW w:w="9960"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2363"/>
        <w:gridCol w:w="6487"/>
      </w:tblGrid>
      <w:tr w14:paraId="665A96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trHeight w:val="567" w:hRule="atLeast"/>
          <w:tblHeader/>
          <w:jc w:val="center"/>
        </w:trPr>
        <w:tc>
          <w:tcPr>
            <w:tcW w:w="1110" w:type="dxa"/>
            <w:tcBorders>
              <w:tl2br w:val="nil"/>
              <w:tr2bl w:val="nil"/>
            </w:tcBorders>
            <w:shd w:val="pct10" w:color="ADB9CA" w:fill="D6DCE5"/>
            <w:vAlign w:val="center"/>
          </w:tcPr>
          <w:p w14:paraId="256E5E41">
            <w:pPr>
              <w:pStyle w:val="44"/>
              <w:rPr>
                <w:bCs/>
                <w:color w:val="auto"/>
                <w:szCs w:val="22"/>
                <w:highlight w:val="none"/>
              </w:rPr>
            </w:pPr>
            <w:r>
              <w:rPr>
                <w:rFonts w:hint="eastAsia"/>
                <w:bCs/>
                <w:color w:val="auto"/>
                <w:szCs w:val="22"/>
                <w:highlight w:val="none"/>
              </w:rPr>
              <w:t>条款号</w:t>
            </w:r>
          </w:p>
        </w:tc>
        <w:tc>
          <w:tcPr>
            <w:tcW w:w="2363" w:type="dxa"/>
            <w:tcBorders>
              <w:tl2br w:val="nil"/>
              <w:tr2bl w:val="nil"/>
            </w:tcBorders>
            <w:shd w:val="pct10" w:color="ADB9CA" w:fill="D6DCE5"/>
            <w:vAlign w:val="center"/>
          </w:tcPr>
          <w:p w14:paraId="1B241869">
            <w:pPr>
              <w:pStyle w:val="44"/>
              <w:rPr>
                <w:bCs/>
                <w:color w:val="auto"/>
                <w:szCs w:val="22"/>
                <w:highlight w:val="none"/>
              </w:rPr>
            </w:pPr>
            <w:r>
              <w:rPr>
                <w:rFonts w:hint="eastAsia"/>
                <w:bCs/>
                <w:color w:val="auto"/>
                <w:szCs w:val="22"/>
                <w:highlight w:val="none"/>
              </w:rPr>
              <w:t>条款名称</w:t>
            </w:r>
          </w:p>
        </w:tc>
        <w:tc>
          <w:tcPr>
            <w:tcW w:w="6487" w:type="dxa"/>
            <w:tcBorders>
              <w:tl2br w:val="nil"/>
              <w:tr2bl w:val="nil"/>
            </w:tcBorders>
            <w:shd w:val="pct10" w:color="ADB9CA" w:fill="D6DCE5"/>
            <w:vAlign w:val="center"/>
          </w:tcPr>
          <w:p w14:paraId="1B23629E">
            <w:pPr>
              <w:pStyle w:val="44"/>
              <w:rPr>
                <w:bCs/>
                <w:color w:val="auto"/>
                <w:szCs w:val="22"/>
                <w:highlight w:val="none"/>
              </w:rPr>
            </w:pPr>
            <w:r>
              <w:rPr>
                <w:rFonts w:hint="eastAsia"/>
                <w:bCs/>
                <w:color w:val="auto"/>
                <w:szCs w:val="22"/>
                <w:highlight w:val="none"/>
              </w:rPr>
              <w:t>编列内容规定</w:t>
            </w:r>
          </w:p>
        </w:tc>
      </w:tr>
      <w:tr w14:paraId="346732F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10" w:type="dxa"/>
            <w:tcBorders>
              <w:tl2br w:val="nil"/>
              <w:tr2bl w:val="nil"/>
            </w:tcBorders>
            <w:vAlign w:val="center"/>
          </w:tcPr>
          <w:p w14:paraId="1E1EBD61">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第三条第1款</w:t>
            </w:r>
          </w:p>
        </w:tc>
        <w:tc>
          <w:tcPr>
            <w:tcW w:w="2363" w:type="dxa"/>
            <w:tcBorders>
              <w:tl2br w:val="nil"/>
              <w:tr2bl w:val="nil"/>
            </w:tcBorders>
            <w:vAlign w:val="center"/>
          </w:tcPr>
          <w:p w14:paraId="63F641FA">
            <w:pPr>
              <w:pStyle w:val="48"/>
              <w:rPr>
                <w:rFonts w:ascii="微软雅黑" w:hAnsi="微软雅黑" w:cs="微软雅黑"/>
                <w:bCs/>
                <w:color w:val="auto"/>
                <w:highlight w:val="none"/>
              </w:rPr>
            </w:pPr>
            <w:r>
              <w:rPr>
                <w:rFonts w:hint="eastAsia" w:ascii="微软雅黑" w:hAnsi="微软雅黑" w:cs="微软雅黑"/>
                <w:bCs/>
                <w:color w:val="auto"/>
                <w:highlight w:val="none"/>
                <w:lang w:eastAsia="zh-CN"/>
              </w:rPr>
              <w:t>采购人</w:t>
            </w:r>
            <w:r>
              <w:rPr>
                <w:rFonts w:hint="eastAsia" w:ascii="微软雅黑" w:hAnsi="微软雅黑" w:cs="微软雅黑"/>
                <w:bCs/>
                <w:color w:val="auto"/>
                <w:highlight w:val="none"/>
              </w:rPr>
              <w:t>名称、地址、电话、联系人</w:t>
            </w:r>
          </w:p>
        </w:tc>
        <w:tc>
          <w:tcPr>
            <w:tcW w:w="6487" w:type="dxa"/>
            <w:tcBorders>
              <w:tl2br w:val="nil"/>
              <w:tr2bl w:val="nil"/>
            </w:tcBorders>
            <w:vAlign w:val="center"/>
          </w:tcPr>
          <w:p w14:paraId="2A2F8A85">
            <w:pPr>
              <w:pStyle w:val="58"/>
              <w:ind w:firstLine="440"/>
              <w:rPr>
                <w:rFonts w:hint="eastAsia" w:eastAsia="微软雅黑"/>
                <w:color w:val="auto"/>
                <w:highlight w:val="none"/>
                <w:lang w:eastAsia="zh-CN"/>
              </w:rPr>
            </w:pPr>
            <w:r>
              <w:rPr>
                <w:rFonts w:hint="eastAsia"/>
                <w:color w:val="auto"/>
                <w:highlight w:val="none"/>
              </w:rPr>
              <w:t>名  称：</w:t>
            </w:r>
            <w:r>
              <w:rPr>
                <w:rFonts w:hint="eastAsia"/>
                <w:color w:val="auto"/>
                <w:highlight w:val="none"/>
                <w:lang w:eastAsia="zh-CN"/>
              </w:rPr>
              <w:t>张家界市卫生健康委员会</w:t>
            </w:r>
          </w:p>
          <w:p w14:paraId="2305844C">
            <w:pPr>
              <w:pStyle w:val="58"/>
              <w:ind w:firstLine="440"/>
              <w:rPr>
                <w:rFonts w:hint="default"/>
                <w:color w:val="auto"/>
                <w:highlight w:val="none"/>
                <w:lang w:val="en-US" w:eastAsia="zh-CN"/>
              </w:rPr>
            </w:pPr>
            <w:r>
              <w:rPr>
                <w:rFonts w:hint="eastAsia"/>
                <w:color w:val="auto"/>
                <w:highlight w:val="none"/>
              </w:rPr>
              <w:t>地  址：</w:t>
            </w:r>
            <w:r>
              <w:rPr>
                <w:rFonts w:hint="eastAsia"/>
                <w:color w:val="auto"/>
                <w:highlight w:val="none"/>
                <w:lang w:val="en-US" w:eastAsia="zh-CN"/>
              </w:rPr>
              <w:t>张家界市永定区南庄坪</w:t>
            </w:r>
          </w:p>
          <w:p w14:paraId="66CD81C8">
            <w:pPr>
              <w:pStyle w:val="58"/>
              <w:ind w:firstLine="440"/>
              <w:rPr>
                <w:color w:val="auto"/>
                <w:highlight w:val="none"/>
              </w:rPr>
            </w:pPr>
            <w:r>
              <w:rPr>
                <w:rFonts w:hint="eastAsia"/>
                <w:color w:val="auto"/>
                <w:highlight w:val="none"/>
              </w:rPr>
              <w:t>联系人：</w:t>
            </w:r>
            <w:r>
              <w:rPr>
                <w:rFonts w:hint="eastAsia"/>
                <w:color w:val="auto"/>
                <w:highlight w:val="none"/>
                <w:lang w:val="en-US" w:eastAsia="zh-CN"/>
              </w:rPr>
              <w:t>吴女士</w:t>
            </w:r>
            <w:r>
              <w:rPr>
                <w:rFonts w:hint="eastAsia"/>
                <w:color w:val="auto"/>
                <w:highlight w:val="none"/>
              </w:rPr>
              <w:t xml:space="preserve">         </w:t>
            </w:r>
          </w:p>
          <w:p w14:paraId="00551F32">
            <w:pPr>
              <w:pStyle w:val="58"/>
              <w:ind w:firstLine="440"/>
              <w:rPr>
                <w:rFonts w:hint="default" w:ascii="微软雅黑" w:hAnsi="微软雅黑" w:eastAsia="微软雅黑" w:cs="微软雅黑"/>
                <w:color w:val="auto"/>
                <w:szCs w:val="21"/>
                <w:highlight w:val="none"/>
                <w:lang w:val="en-US" w:eastAsia="zh-CN"/>
              </w:rPr>
            </w:pPr>
            <w:r>
              <w:rPr>
                <w:rFonts w:hint="eastAsia"/>
                <w:color w:val="auto"/>
                <w:highlight w:val="none"/>
                <w:lang w:val="en-US" w:eastAsia="zh-CN"/>
              </w:rPr>
              <w:t>电  话：13974427988</w:t>
            </w:r>
          </w:p>
        </w:tc>
      </w:tr>
      <w:tr w14:paraId="1BEF503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519E7420">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第三条第2款</w:t>
            </w:r>
          </w:p>
        </w:tc>
        <w:tc>
          <w:tcPr>
            <w:tcW w:w="2363" w:type="dxa"/>
            <w:tcBorders>
              <w:tl2br w:val="nil"/>
              <w:tr2bl w:val="nil"/>
            </w:tcBorders>
            <w:vAlign w:val="center"/>
          </w:tcPr>
          <w:p w14:paraId="166D96A0">
            <w:pPr>
              <w:pStyle w:val="48"/>
              <w:rPr>
                <w:rFonts w:ascii="微软雅黑" w:hAnsi="微软雅黑" w:cs="微软雅黑"/>
                <w:bCs/>
                <w:color w:val="auto"/>
                <w:highlight w:val="none"/>
              </w:rPr>
            </w:pPr>
            <w:r>
              <w:rPr>
                <w:rFonts w:hint="eastAsia" w:ascii="微软雅黑" w:hAnsi="微软雅黑" w:cs="微软雅黑"/>
                <w:bCs/>
                <w:color w:val="auto"/>
                <w:highlight w:val="none"/>
                <w:lang w:val="en-US" w:eastAsia="zh-CN"/>
              </w:rPr>
              <w:t>采购代理</w:t>
            </w:r>
            <w:r>
              <w:rPr>
                <w:rFonts w:hint="eastAsia" w:ascii="微软雅黑" w:hAnsi="微软雅黑" w:cs="微软雅黑"/>
                <w:bCs/>
                <w:color w:val="auto"/>
                <w:highlight w:val="none"/>
              </w:rPr>
              <w:t>机构名称、地址、电话、项目联系人</w:t>
            </w:r>
          </w:p>
        </w:tc>
        <w:tc>
          <w:tcPr>
            <w:tcW w:w="6487" w:type="dxa"/>
            <w:tcBorders>
              <w:tl2br w:val="nil"/>
              <w:tr2bl w:val="nil"/>
            </w:tcBorders>
            <w:vAlign w:val="center"/>
          </w:tcPr>
          <w:p w14:paraId="7880E1A7">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采购代理机构：湖南省天平项目管理有限公司</w:t>
            </w:r>
          </w:p>
          <w:p w14:paraId="498F11F9">
            <w:pPr>
              <w:widowControl/>
              <w:spacing w:line="300" w:lineRule="exact"/>
              <w:ind w:firstLine="440" w:firstLineChars="200"/>
              <w:jc w:val="left"/>
              <w:rPr>
                <w:rFonts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地  址：</w:t>
            </w:r>
            <w:r>
              <w:rPr>
                <w:rFonts w:hint="eastAsia" w:ascii="宋体" w:hAnsi="宋体" w:eastAsia="微软雅黑" w:cs="宋体"/>
                <w:color w:val="auto"/>
                <w:kern w:val="2"/>
                <w:sz w:val="22"/>
                <w:szCs w:val="24"/>
                <w:lang w:val="en-US" w:eastAsia="zh-CN" w:bidi="ar-SA"/>
              </w:rPr>
              <w:t xml:space="preserve">张家界市永定区古庸路572号金领国际大厦8楼802室（本项目联系地址） </w:t>
            </w:r>
            <w:r>
              <w:rPr>
                <w:rFonts w:hint="eastAsia" w:ascii="宋体" w:hAnsi="宋体" w:eastAsia="微软雅黑" w:cs="宋体"/>
                <w:color w:val="auto"/>
                <w:kern w:val="2"/>
                <w:sz w:val="22"/>
                <w:szCs w:val="24"/>
                <w:highlight w:val="none"/>
                <w:lang w:val="en-US" w:eastAsia="zh-CN" w:bidi="ar-SA"/>
              </w:rPr>
              <w:t xml:space="preserve">    </w:t>
            </w:r>
          </w:p>
          <w:p w14:paraId="1196C978">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联系人：王先生</w:t>
            </w:r>
          </w:p>
          <w:p w14:paraId="2956F237">
            <w:pPr>
              <w:pStyle w:val="58"/>
              <w:ind w:firstLine="440"/>
              <w:rPr>
                <w:rFonts w:hint="eastAsia" w:eastAsia="微软雅黑"/>
                <w:color w:val="auto"/>
                <w:highlight w:val="none"/>
                <w:lang w:eastAsia="zh-CN"/>
              </w:rPr>
            </w:pPr>
            <w:r>
              <w:rPr>
                <w:rFonts w:hint="eastAsia" w:ascii="宋体" w:hAnsi="宋体" w:eastAsia="微软雅黑" w:cs="宋体"/>
                <w:color w:val="auto"/>
                <w:kern w:val="2"/>
                <w:sz w:val="22"/>
                <w:szCs w:val="24"/>
                <w:highlight w:val="none"/>
                <w:lang w:val="en-US" w:eastAsia="zh-CN" w:bidi="ar-SA"/>
              </w:rPr>
              <w:t>电  话：</w:t>
            </w:r>
            <w:r>
              <w:rPr>
                <w:rFonts w:hint="eastAsia" w:ascii="微软雅黑" w:hAnsi="微软雅黑" w:cs="微软雅黑"/>
                <w:color w:val="auto"/>
                <w:kern w:val="2"/>
                <w:sz w:val="22"/>
                <w:szCs w:val="24"/>
                <w:highlight w:val="none"/>
                <w:lang w:val="en-US" w:eastAsia="zh-CN" w:bidi="ar-SA"/>
              </w:rPr>
              <w:t>18574401150</w:t>
            </w:r>
          </w:p>
        </w:tc>
      </w:tr>
      <w:tr w14:paraId="521160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1FD118A0">
            <w:pPr>
              <w:pStyle w:val="48"/>
              <w:rPr>
                <w:rFonts w:hint="eastAsia" w:ascii="微软雅黑" w:hAnsi="微软雅黑" w:cs="微软雅黑"/>
                <w:b w:val="0"/>
                <w:bCs w:val="0"/>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4BEA2EE8">
            <w:pPr>
              <w:pStyle w:val="48"/>
              <w:rPr>
                <w:rFonts w:hint="eastAsia" w:ascii="Times New Roman" w:hAnsi="Times New Roman" w:eastAsia="微软雅黑" w:cs="Times New Roman"/>
                <w:b/>
                <w:bCs/>
                <w:color w:val="auto"/>
                <w:kern w:val="2"/>
                <w:sz w:val="22"/>
                <w:szCs w:val="24"/>
                <w:highlight w:val="none"/>
                <w:lang w:val="en-US" w:eastAsia="zh-CN" w:bidi="ar-SA"/>
              </w:rPr>
            </w:pPr>
            <w:r>
              <w:rPr>
                <w:b/>
                <w:bCs/>
                <w:color w:val="auto"/>
                <w:highlight w:val="none"/>
              </w:rPr>
              <w:t>是否为专门面向中小企业采购</w:t>
            </w:r>
            <w:bookmarkStart w:id="114" w:name="_GoBack"/>
            <w:bookmarkEnd w:id="114"/>
          </w:p>
        </w:tc>
        <w:tc>
          <w:tcPr>
            <w:tcW w:w="6487" w:type="dxa"/>
            <w:tcBorders>
              <w:tl2br w:val="nil"/>
              <w:tr2bl w:val="nil"/>
            </w:tcBorders>
            <w:shd w:val="clear" w:color="auto" w:fill="auto"/>
            <w:vAlign w:val="center"/>
          </w:tcPr>
          <w:p w14:paraId="499F4641">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ascii="Times New Roman" w:hAnsi="Times New Roman" w:eastAsia="微软雅黑" w:cs="Times New Roman"/>
                <w:b/>
                <w:color w:val="auto"/>
                <w:kern w:val="2"/>
                <w:sz w:val="22"/>
                <w:szCs w:val="24"/>
                <w:highlight w:val="none"/>
                <w:lang w:val="en-US" w:eastAsia="zh-CN" w:bidi="ar-SA"/>
              </w:rPr>
            </w:pPr>
            <w:r>
              <w:rPr>
                <w:rFonts w:ascii="宋体" w:hAnsi="宋体" w:eastAsia="宋体" w:cs="宋体"/>
                <w:color w:val="auto"/>
                <w:kern w:val="0"/>
                <w:sz w:val="24"/>
                <w:szCs w:val="24"/>
                <w:highlight w:val="none"/>
                <w:lang w:val="en-US" w:eastAsia="zh-CN" w:bidi="ar"/>
              </w:rPr>
              <w:sym w:font="Wingdings" w:char="00A8"/>
            </w:r>
            <w:r>
              <w:rPr>
                <w:b/>
                <w:bCs/>
                <w:color w:val="auto"/>
                <w:highlight w:val="none"/>
              </w:rPr>
              <w:t>是</w:t>
            </w:r>
            <w:r>
              <w:rPr>
                <w:rFonts w:hint="eastAsia"/>
                <w:b/>
                <w:bCs/>
                <w:color w:val="auto"/>
                <w:highlight w:val="none"/>
              </w:rPr>
              <w:t xml:space="preserve"> </w:t>
            </w:r>
            <w:r>
              <w:rPr>
                <w:rFonts w:hint="eastAsia"/>
                <w:color w:val="auto"/>
                <w:highlight w:val="none"/>
              </w:rPr>
              <w:t xml:space="preserve">  </w:t>
            </w:r>
            <w:r>
              <w:rPr>
                <w:color w:val="auto"/>
                <w:highlight w:val="none"/>
              </w:rPr>
              <w:tab/>
            </w:r>
            <w:r>
              <w:rPr>
                <w:rFonts w:ascii="宋体" w:hAnsi="宋体" w:eastAsia="宋体" w:cs="宋体"/>
                <w:color w:val="auto"/>
                <w:kern w:val="0"/>
                <w:sz w:val="24"/>
                <w:szCs w:val="24"/>
                <w:highlight w:val="none"/>
                <w:lang w:val="en-US" w:eastAsia="zh-CN" w:bidi="ar"/>
              </w:rPr>
              <w:sym w:font="Wingdings" w:char="00FE"/>
            </w:r>
            <w:r>
              <w:rPr>
                <w:b w:val="0"/>
                <w:bCs w:val="0"/>
                <w:color w:val="auto"/>
                <w:highlight w:val="none"/>
              </w:rPr>
              <w:t>否</w:t>
            </w:r>
          </w:p>
        </w:tc>
      </w:tr>
      <w:tr w14:paraId="1D47EC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0" w:type="dxa"/>
            <w:tcBorders>
              <w:tl2br w:val="nil"/>
              <w:tr2bl w:val="nil"/>
            </w:tcBorders>
            <w:vAlign w:val="center"/>
          </w:tcPr>
          <w:p w14:paraId="66249E73">
            <w:pPr>
              <w:pStyle w:val="48"/>
              <w:rPr>
                <w:rFonts w:hint="eastAsia"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3</w:t>
            </w:r>
            <w:r>
              <w:rPr>
                <w:rFonts w:hint="eastAsia" w:ascii="微软雅黑" w:hAnsi="微软雅黑" w:cs="微软雅黑"/>
                <w:bCs/>
                <w:color w:val="auto"/>
                <w:highlight w:val="none"/>
              </w:rPr>
              <w:t>款（</w:t>
            </w:r>
            <w:r>
              <w:rPr>
                <w:rFonts w:hint="eastAsia" w:ascii="微软雅黑" w:hAnsi="微软雅黑" w:cs="微软雅黑"/>
                <w:bCs/>
                <w:color w:val="auto"/>
                <w:highlight w:val="none"/>
                <w:lang w:val="en-US" w:eastAsia="zh-CN"/>
              </w:rPr>
              <w:t>5</w:t>
            </w:r>
            <w:r>
              <w:rPr>
                <w:rFonts w:hint="eastAsia" w:ascii="微软雅黑" w:hAnsi="微软雅黑" w:cs="微软雅黑"/>
                <w:bCs/>
                <w:color w:val="auto"/>
                <w:highlight w:val="none"/>
              </w:rPr>
              <w:t>）</w:t>
            </w:r>
          </w:p>
        </w:tc>
        <w:tc>
          <w:tcPr>
            <w:tcW w:w="2363" w:type="dxa"/>
            <w:tcBorders>
              <w:tl2br w:val="nil"/>
              <w:tr2bl w:val="nil"/>
            </w:tcBorders>
            <w:shd w:val="clear" w:color="auto" w:fill="auto"/>
            <w:vAlign w:val="center"/>
          </w:tcPr>
          <w:p w14:paraId="48DD5146">
            <w:pPr>
              <w:pStyle w:val="48"/>
              <w:rPr>
                <w:b w:val="0"/>
                <w:bCs w:val="0"/>
                <w:color w:val="auto"/>
                <w:highlight w:val="none"/>
              </w:rPr>
            </w:pPr>
            <w:r>
              <w:rPr>
                <w:rFonts w:hint="eastAsia"/>
                <w:b/>
                <w:bCs/>
                <w:color w:val="auto"/>
                <w:highlight w:val="none"/>
              </w:rPr>
              <w:t>采购进口产品</w:t>
            </w:r>
          </w:p>
        </w:tc>
        <w:tc>
          <w:tcPr>
            <w:tcW w:w="6487" w:type="dxa"/>
            <w:tcBorders>
              <w:tl2br w:val="nil"/>
              <w:tr2bl w:val="nil"/>
            </w:tcBorders>
            <w:shd w:val="clear" w:color="auto" w:fill="auto"/>
            <w:vAlign w:val="center"/>
          </w:tcPr>
          <w:p w14:paraId="13C65C19">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b/>
                <w:bCs/>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b w:val="0"/>
                <w:bCs/>
                <w:color w:val="auto"/>
                <w:sz w:val="20"/>
                <w:szCs w:val="20"/>
                <w:highlight w:val="none"/>
              </w:rPr>
              <w:t>接受</w:t>
            </w:r>
            <w:r>
              <w:rPr>
                <w:rFonts w:hint="eastAsia"/>
                <w:color w:val="auto"/>
                <w:sz w:val="20"/>
                <w:szCs w:val="20"/>
                <w:highlight w:val="none"/>
              </w:rPr>
              <w:t xml:space="preserve">   </w:t>
            </w:r>
            <w:r>
              <w:rPr>
                <w:rFonts w:ascii="宋体" w:hAnsi="宋体" w:eastAsia="宋体" w:cs="宋体"/>
                <w:color w:val="auto"/>
                <w:kern w:val="0"/>
                <w:sz w:val="24"/>
                <w:szCs w:val="24"/>
                <w:highlight w:val="none"/>
                <w:lang w:val="en-US" w:eastAsia="zh-CN" w:bidi="ar"/>
              </w:rPr>
              <w:sym w:font="Wingdings" w:char="00FE"/>
            </w:r>
            <w:r>
              <w:rPr>
                <w:rFonts w:hint="eastAsia"/>
                <w:color w:val="auto"/>
                <w:sz w:val="20"/>
                <w:szCs w:val="20"/>
                <w:highlight w:val="none"/>
              </w:rPr>
              <w:t>拒绝</w:t>
            </w:r>
          </w:p>
        </w:tc>
      </w:tr>
      <w:tr w14:paraId="5832C9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10" w:type="dxa"/>
            <w:tcBorders>
              <w:tl2br w:val="nil"/>
              <w:tr2bl w:val="nil"/>
            </w:tcBorders>
            <w:vAlign w:val="center"/>
          </w:tcPr>
          <w:p w14:paraId="6325BC24">
            <w:pPr>
              <w:pStyle w:val="48"/>
              <w:rPr>
                <w:rFonts w:ascii="微软雅黑" w:hAnsi="微软雅黑" w:cs="微软雅黑"/>
                <w:bCs/>
                <w:color w:val="auto"/>
                <w:highlight w:val="none"/>
              </w:rPr>
            </w:pPr>
            <w:r>
              <w:rPr>
                <w:rFonts w:hint="eastAsia" w:ascii="微软雅黑" w:hAnsi="微软雅黑" w:cs="微软雅黑"/>
                <w:bCs/>
                <w:color w:val="auto"/>
                <w:highlight w:val="none"/>
              </w:rPr>
              <w:t>第三条</w:t>
            </w:r>
            <w:r>
              <w:rPr>
                <w:rFonts w:hint="eastAsia" w:ascii="微软雅黑" w:hAnsi="微软雅黑" w:cs="微软雅黑"/>
                <w:bCs/>
                <w:color w:val="auto"/>
                <w:highlight w:val="none"/>
                <w:lang w:val="en-US" w:eastAsia="zh-CN"/>
              </w:rPr>
              <w:t>4</w:t>
            </w:r>
            <w:r>
              <w:rPr>
                <w:rFonts w:hint="eastAsia" w:ascii="微软雅黑" w:hAnsi="微软雅黑" w:cs="微软雅黑"/>
                <w:bCs/>
                <w:color w:val="auto"/>
                <w:highlight w:val="none"/>
              </w:rPr>
              <w:t>款</w:t>
            </w:r>
          </w:p>
        </w:tc>
        <w:tc>
          <w:tcPr>
            <w:tcW w:w="2363" w:type="dxa"/>
            <w:tcBorders>
              <w:tl2br w:val="nil"/>
              <w:tr2bl w:val="nil"/>
            </w:tcBorders>
            <w:vAlign w:val="center"/>
          </w:tcPr>
          <w:p w14:paraId="6F857EF6">
            <w:pPr>
              <w:pStyle w:val="48"/>
              <w:rPr>
                <w:rFonts w:ascii="微软雅黑" w:hAnsi="微软雅黑" w:cs="微软雅黑"/>
                <w:bCs/>
                <w:color w:val="auto"/>
                <w:highlight w:val="none"/>
              </w:rPr>
            </w:pPr>
            <w:r>
              <w:rPr>
                <w:rFonts w:hint="eastAsia" w:ascii="微软雅黑" w:hAnsi="微软雅黑" w:cs="微软雅黑"/>
                <w:bCs/>
                <w:color w:val="auto"/>
                <w:highlight w:val="none"/>
              </w:rPr>
              <w:t>是否允许联合体</w:t>
            </w:r>
          </w:p>
          <w:p w14:paraId="41B87ED8">
            <w:pPr>
              <w:pStyle w:val="48"/>
              <w:rPr>
                <w:rFonts w:hint="eastAsia" w:ascii="微软雅黑" w:hAnsi="微软雅黑" w:eastAsia="微软雅黑" w:cs="微软雅黑"/>
                <w:bCs/>
                <w:color w:val="auto"/>
                <w:highlight w:val="none"/>
                <w:lang w:val="en-US" w:eastAsia="zh-CN"/>
              </w:rPr>
            </w:pPr>
            <w:r>
              <w:rPr>
                <w:rFonts w:hint="eastAsia" w:ascii="微软雅黑" w:hAnsi="微软雅黑" w:cs="微软雅黑"/>
                <w:bCs/>
                <w:color w:val="auto"/>
                <w:highlight w:val="none"/>
                <w:lang w:val="en-US" w:eastAsia="zh-CN"/>
              </w:rPr>
              <w:t>投标</w:t>
            </w:r>
          </w:p>
        </w:tc>
        <w:tc>
          <w:tcPr>
            <w:tcW w:w="6487" w:type="dxa"/>
            <w:tcBorders>
              <w:tl2br w:val="nil"/>
              <w:tr2bl w:val="nil"/>
            </w:tcBorders>
            <w:vAlign w:val="center"/>
          </w:tcPr>
          <w:p w14:paraId="5B002DA1">
            <w:pPr>
              <w:pStyle w:val="58"/>
              <w:ind w:firstLine="440"/>
              <w:rPr>
                <w:rFonts w:ascii="微软雅黑" w:hAnsi="微软雅黑" w:cs="微软雅黑"/>
                <w:color w:val="auto"/>
                <w:szCs w:val="21"/>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 xml:space="preserve">接受  </w:t>
            </w: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不接受</w:t>
            </w:r>
          </w:p>
        </w:tc>
      </w:tr>
      <w:tr w14:paraId="179AB8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5BED7440">
            <w:pPr>
              <w:pStyle w:val="48"/>
              <w:rPr>
                <w:rFonts w:ascii="微软雅黑" w:hAnsi="微软雅黑" w:cs="微软雅黑"/>
                <w:bCs/>
                <w:color w:val="auto"/>
                <w:highlight w:val="none"/>
              </w:rPr>
            </w:pPr>
            <w:r>
              <w:rPr>
                <w:rFonts w:hint="eastAsia" w:ascii="微软雅黑" w:hAnsi="微软雅黑" w:cs="微软雅黑"/>
                <w:bCs/>
                <w:color w:val="auto"/>
                <w:highlight w:val="none"/>
              </w:rPr>
              <w:t>第</w:t>
            </w:r>
            <w:r>
              <w:rPr>
                <w:rFonts w:hint="eastAsia" w:ascii="微软雅黑" w:hAnsi="微软雅黑" w:cs="微软雅黑"/>
                <w:bCs/>
                <w:color w:val="auto"/>
                <w:highlight w:val="none"/>
                <w:lang w:val="en-US" w:eastAsia="zh-CN"/>
              </w:rPr>
              <w:t>八</w:t>
            </w:r>
            <w:r>
              <w:rPr>
                <w:rFonts w:hint="eastAsia" w:ascii="微软雅黑" w:hAnsi="微软雅黑" w:cs="微软雅黑"/>
                <w:bCs/>
                <w:color w:val="auto"/>
                <w:highlight w:val="none"/>
              </w:rPr>
              <w:t>条第</w:t>
            </w:r>
            <w:r>
              <w:rPr>
                <w:rFonts w:hint="eastAsia" w:ascii="微软雅黑" w:hAnsi="微软雅黑" w:cs="微软雅黑"/>
                <w:bCs/>
                <w:color w:val="auto"/>
                <w:highlight w:val="none"/>
                <w:lang w:val="en-US" w:eastAsia="zh-CN"/>
              </w:rPr>
              <w:t>1</w:t>
            </w:r>
            <w:r>
              <w:rPr>
                <w:rFonts w:hint="eastAsia" w:ascii="微软雅黑" w:hAnsi="微软雅黑" w:cs="微软雅黑"/>
                <w:bCs/>
                <w:color w:val="auto"/>
                <w:highlight w:val="none"/>
              </w:rPr>
              <w:t>款</w:t>
            </w:r>
          </w:p>
        </w:tc>
        <w:tc>
          <w:tcPr>
            <w:tcW w:w="2363" w:type="dxa"/>
            <w:tcBorders>
              <w:tl2br w:val="nil"/>
              <w:tr2bl w:val="nil"/>
            </w:tcBorders>
            <w:vAlign w:val="center"/>
          </w:tcPr>
          <w:p w14:paraId="60112F74">
            <w:pPr>
              <w:pStyle w:val="48"/>
              <w:rPr>
                <w:rFonts w:ascii="微软雅黑" w:hAnsi="微软雅黑" w:cs="微软雅黑"/>
                <w:bCs/>
                <w:color w:val="auto"/>
                <w:highlight w:val="none"/>
              </w:rPr>
            </w:pPr>
            <w:r>
              <w:rPr>
                <w:rFonts w:hint="eastAsia" w:ascii="微软雅黑" w:hAnsi="微软雅黑" w:cs="微软雅黑"/>
                <w:bCs/>
                <w:color w:val="auto"/>
                <w:highlight w:val="none"/>
              </w:rPr>
              <w:t>现场考察</w:t>
            </w:r>
          </w:p>
        </w:tc>
        <w:tc>
          <w:tcPr>
            <w:tcW w:w="6487" w:type="dxa"/>
            <w:tcBorders>
              <w:tl2br w:val="nil"/>
              <w:tr2bl w:val="nil"/>
            </w:tcBorders>
            <w:vAlign w:val="center"/>
          </w:tcPr>
          <w:p w14:paraId="23F42CEA">
            <w:pPr>
              <w:pStyle w:val="58"/>
              <w:ind w:firstLine="440"/>
              <w:rPr>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color w:val="auto"/>
                <w:highlight w:val="none"/>
              </w:rPr>
              <w:t>不组织，</w:t>
            </w:r>
            <w:r>
              <w:rPr>
                <w:rFonts w:hint="eastAsia"/>
                <w:color w:val="auto"/>
                <w:highlight w:val="none"/>
                <w:lang w:eastAsia="zh-CN"/>
              </w:rPr>
              <w:t>供应商</w:t>
            </w:r>
            <w:r>
              <w:rPr>
                <w:rFonts w:hint="eastAsia"/>
                <w:color w:val="auto"/>
                <w:highlight w:val="none"/>
              </w:rPr>
              <w:t>自行考察</w:t>
            </w:r>
          </w:p>
          <w:p w14:paraId="60F8BC9F">
            <w:pPr>
              <w:pStyle w:val="58"/>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color w:val="auto"/>
                <w:highlight w:val="none"/>
              </w:rPr>
              <w:t>统一组织</w:t>
            </w:r>
          </w:p>
          <w:p w14:paraId="7F25407E">
            <w:pPr>
              <w:pStyle w:val="58"/>
              <w:ind w:firstLine="440"/>
              <w:rPr>
                <w:color w:val="auto"/>
                <w:highlight w:val="none"/>
              </w:rPr>
            </w:pPr>
            <w:r>
              <w:rPr>
                <w:rFonts w:hint="eastAsia"/>
                <w:color w:val="auto"/>
                <w:highlight w:val="none"/>
              </w:rPr>
              <w:t xml:space="preserve">时间： </w:t>
            </w:r>
            <w:r>
              <w:rPr>
                <w:rFonts w:hint="eastAsia"/>
                <w:color w:val="auto"/>
                <w:highlight w:val="none"/>
              </w:rPr>
              <w:tab/>
            </w:r>
            <w:r>
              <w:rPr>
                <w:rFonts w:hint="eastAsia"/>
                <w:color w:val="auto"/>
                <w:highlight w:val="none"/>
              </w:rPr>
              <w:t>年  月  日  时  分</w:t>
            </w:r>
          </w:p>
          <w:p w14:paraId="447B0D1B">
            <w:pPr>
              <w:pStyle w:val="58"/>
              <w:ind w:firstLine="440"/>
              <w:rPr>
                <w:color w:val="auto"/>
                <w:highlight w:val="none"/>
              </w:rPr>
            </w:pPr>
            <w:r>
              <w:rPr>
                <w:rFonts w:hint="eastAsia"/>
                <w:color w:val="auto"/>
                <w:highlight w:val="none"/>
              </w:rPr>
              <w:t xml:space="preserve">地点： </w:t>
            </w:r>
            <w:r>
              <w:rPr>
                <w:rFonts w:hint="eastAsia"/>
                <w:color w:val="auto"/>
                <w:highlight w:val="none"/>
              </w:rPr>
              <w:tab/>
            </w:r>
            <w:r>
              <w:rPr>
                <w:rFonts w:hint="eastAsia"/>
                <w:color w:val="auto"/>
                <w:highlight w:val="none"/>
              </w:rPr>
              <w:tab/>
            </w:r>
          </w:p>
          <w:p w14:paraId="5C4D681B">
            <w:pPr>
              <w:pStyle w:val="58"/>
              <w:ind w:firstLine="440"/>
              <w:rPr>
                <w:color w:val="auto"/>
                <w:highlight w:val="none"/>
              </w:rPr>
            </w:pPr>
            <w:r>
              <w:rPr>
                <w:rFonts w:hint="eastAsia"/>
                <w:color w:val="auto"/>
                <w:highlight w:val="none"/>
              </w:rPr>
              <w:t xml:space="preserve">现场考察联系人及联系电话： </w:t>
            </w:r>
            <w:r>
              <w:rPr>
                <w:rFonts w:hint="eastAsia"/>
                <w:color w:val="auto"/>
                <w:highlight w:val="none"/>
              </w:rPr>
              <w:tab/>
            </w:r>
          </w:p>
          <w:p w14:paraId="403824C8">
            <w:pPr>
              <w:pStyle w:val="58"/>
              <w:ind w:firstLine="440"/>
              <w:rPr>
                <w:rFonts w:ascii="微软雅黑" w:hAnsi="微软雅黑" w:cs="微软雅黑"/>
                <w:color w:val="auto"/>
                <w:szCs w:val="21"/>
                <w:highlight w:val="none"/>
              </w:rPr>
            </w:pPr>
            <w:r>
              <w:rPr>
                <w:rFonts w:hint="eastAsia"/>
                <w:color w:val="auto"/>
                <w:highlight w:val="none"/>
              </w:rPr>
              <w:t>备注：如</w:t>
            </w:r>
            <w:r>
              <w:rPr>
                <w:rFonts w:hint="eastAsia"/>
                <w:color w:val="auto"/>
                <w:highlight w:val="none"/>
                <w:lang w:eastAsia="zh-CN"/>
              </w:rPr>
              <w:t>供应商</w:t>
            </w:r>
            <w:r>
              <w:rPr>
                <w:rFonts w:hint="eastAsia"/>
                <w:color w:val="auto"/>
                <w:highlight w:val="none"/>
              </w:rPr>
              <w:t>未参加</w:t>
            </w:r>
            <w:r>
              <w:rPr>
                <w:rFonts w:hint="eastAsia"/>
                <w:color w:val="auto"/>
                <w:highlight w:val="none"/>
                <w:lang w:eastAsia="zh-CN"/>
              </w:rPr>
              <w:t>采购人</w:t>
            </w:r>
            <w:r>
              <w:rPr>
                <w:rFonts w:hint="eastAsia"/>
                <w:color w:val="auto"/>
                <w:highlight w:val="none"/>
              </w:rPr>
              <w:t>统一组织的现场考察，视同放弃现场考察，由此引起的一切责任由</w:t>
            </w:r>
            <w:r>
              <w:rPr>
                <w:rFonts w:hint="eastAsia"/>
                <w:color w:val="auto"/>
                <w:highlight w:val="none"/>
                <w:lang w:eastAsia="zh-CN"/>
              </w:rPr>
              <w:t>供应商</w:t>
            </w:r>
            <w:r>
              <w:rPr>
                <w:rFonts w:hint="eastAsia"/>
                <w:color w:val="auto"/>
                <w:highlight w:val="none"/>
              </w:rPr>
              <w:t>自行承担。</w:t>
            </w:r>
          </w:p>
        </w:tc>
      </w:tr>
      <w:tr w14:paraId="4E0A69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34955960">
            <w:pPr>
              <w:pStyle w:val="48"/>
              <w:rPr>
                <w:rFonts w:ascii="微软雅黑" w:hAnsi="微软雅黑" w:cs="微软雅黑"/>
                <w:bCs/>
                <w:color w:val="auto"/>
                <w:highlight w:val="none"/>
              </w:rPr>
            </w:pPr>
            <w:r>
              <w:rPr>
                <w:rFonts w:hint="eastAsia" w:ascii="微软雅黑" w:hAnsi="微软雅黑" w:cs="微软雅黑"/>
                <w:bCs/>
                <w:color w:val="auto"/>
                <w:highlight w:val="none"/>
              </w:rPr>
              <w:t>第十条</w:t>
            </w:r>
          </w:p>
        </w:tc>
        <w:tc>
          <w:tcPr>
            <w:tcW w:w="2363" w:type="dxa"/>
            <w:tcBorders>
              <w:tl2br w:val="nil"/>
              <w:tr2bl w:val="nil"/>
            </w:tcBorders>
            <w:vAlign w:val="center"/>
          </w:tcPr>
          <w:p w14:paraId="5C661311">
            <w:pPr>
              <w:pStyle w:val="48"/>
              <w:rPr>
                <w:rFonts w:ascii="微软雅黑" w:hAnsi="微软雅黑" w:cs="微软雅黑"/>
                <w:bCs/>
                <w:color w:val="auto"/>
                <w:highlight w:val="none"/>
              </w:rPr>
            </w:pPr>
            <w:r>
              <w:rPr>
                <w:rFonts w:hint="eastAsia" w:ascii="微软雅黑" w:hAnsi="微软雅黑" w:cs="微软雅黑"/>
                <w:bCs/>
                <w:color w:val="auto"/>
                <w:highlight w:val="none"/>
              </w:rPr>
              <w:t>询问截止时间</w:t>
            </w:r>
          </w:p>
        </w:tc>
        <w:tc>
          <w:tcPr>
            <w:tcW w:w="6487" w:type="dxa"/>
            <w:tcBorders>
              <w:tl2br w:val="nil"/>
              <w:tr2bl w:val="nil"/>
            </w:tcBorders>
            <w:vAlign w:val="center"/>
          </w:tcPr>
          <w:p w14:paraId="5D11BD2D">
            <w:pPr>
              <w:pStyle w:val="58"/>
              <w:ind w:left="240" w:leftChars="100" w:right="-55" w:rightChars="-23" w:firstLine="0" w:firstLineChars="0"/>
              <w:rPr>
                <w:rFonts w:ascii="微软雅黑" w:hAnsi="微软雅黑" w:cs="微软雅黑"/>
                <w:color w:val="auto"/>
                <w:szCs w:val="21"/>
                <w:highlight w:val="none"/>
              </w:rPr>
            </w:pPr>
            <w:r>
              <w:rPr>
                <w:rFonts w:hint="eastAsia" w:ascii="微软雅黑" w:hAnsi="微软雅黑" w:cs="微软雅黑"/>
                <w:color w:val="auto"/>
                <w:highlight w:val="yellow"/>
                <w:u w:val="single"/>
              </w:rPr>
              <w:t>202</w:t>
            </w:r>
            <w:r>
              <w:rPr>
                <w:rFonts w:hint="eastAsia" w:ascii="微软雅黑" w:hAnsi="微软雅黑" w:cs="微软雅黑"/>
                <w:color w:val="auto"/>
                <w:highlight w:val="yellow"/>
                <w:u w:val="single"/>
                <w:lang w:val="en-US" w:eastAsia="zh-CN"/>
              </w:rPr>
              <w:t>6</w:t>
            </w:r>
            <w:r>
              <w:rPr>
                <w:rFonts w:hint="eastAsia" w:ascii="微软雅黑" w:hAnsi="微软雅黑" w:cs="微软雅黑"/>
                <w:color w:val="auto"/>
                <w:highlight w:val="yellow"/>
              </w:rPr>
              <w:t>年</w:t>
            </w:r>
            <w:r>
              <w:rPr>
                <w:rFonts w:hint="eastAsia" w:ascii="微软雅黑" w:hAnsi="微软雅黑" w:cs="微软雅黑"/>
                <w:color w:val="auto"/>
                <w:highlight w:val="yellow"/>
                <w:u w:val="single"/>
                <w:lang w:val="en-US" w:eastAsia="zh-CN"/>
              </w:rPr>
              <w:t>10</w:t>
            </w:r>
            <w:r>
              <w:rPr>
                <w:rFonts w:hint="eastAsia" w:ascii="微软雅黑" w:hAnsi="微软雅黑" w:cs="微软雅黑"/>
                <w:color w:val="auto"/>
                <w:highlight w:val="yellow"/>
              </w:rPr>
              <w:t>月</w:t>
            </w:r>
            <w:r>
              <w:rPr>
                <w:rFonts w:hint="eastAsia" w:ascii="微软雅黑" w:hAnsi="微软雅黑" w:cs="微软雅黑"/>
                <w:color w:val="auto"/>
                <w:highlight w:val="yellow"/>
                <w:u w:val="single"/>
                <w:lang w:val="en-US" w:eastAsia="zh-CN"/>
              </w:rPr>
              <w:t xml:space="preserve"> 9 </w:t>
            </w:r>
            <w:r>
              <w:rPr>
                <w:rFonts w:hint="eastAsia" w:ascii="微软雅黑" w:hAnsi="微软雅黑" w:cs="微软雅黑"/>
                <w:color w:val="auto"/>
                <w:highlight w:val="yellow"/>
              </w:rPr>
              <w:t>日时17:00分</w:t>
            </w:r>
          </w:p>
        </w:tc>
      </w:tr>
      <w:tr w14:paraId="755E38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10" w:type="dxa"/>
            <w:tcBorders>
              <w:tl2br w:val="nil"/>
              <w:tr2bl w:val="nil"/>
            </w:tcBorders>
            <w:vAlign w:val="center"/>
          </w:tcPr>
          <w:p w14:paraId="7C63D507">
            <w:pPr>
              <w:pStyle w:val="48"/>
              <w:rPr>
                <w:rFonts w:hint="eastAsia" w:ascii="微软雅黑" w:hAnsi="微软雅黑" w:cs="微软雅黑"/>
                <w:bCs/>
                <w:color w:val="auto"/>
                <w:highlight w:val="none"/>
              </w:rPr>
            </w:pPr>
            <w:r>
              <w:rPr>
                <w:rFonts w:hint="eastAsia" w:ascii="微软雅黑" w:hAnsi="微软雅黑" w:cs="微软雅黑"/>
                <w:bCs/>
                <w:color w:val="auto"/>
                <w:highlight w:val="none"/>
              </w:rPr>
              <w:t>第十</w:t>
            </w:r>
            <w:r>
              <w:rPr>
                <w:rFonts w:hint="eastAsia" w:ascii="微软雅黑" w:hAnsi="微软雅黑" w:cs="微软雅黑"/>
                <w:bCs/>
                <w:color w:val="auto"/>
                <w:highlight w:val="none"/>
                <w:lang w:val="en-US" w:eastAsia="zh-CN"/>
              </w:rPr>
              <w:t>一</w:t>
            </w:r>
            <w:r>
              <w:rPr>
                <w:rFonts w:hint="eastAsia" w:ascii="微软雅黑" w:hAnsi="微软雅黑" w:cs="微软雅黑"/>
                <w:bCs/>
                <w:color w:val="auto"/>
                <w:highlight w:val="none"/>
              </w:rPr>
              <w:t>条</w:t>
            </w:r>
          </w:p>
        </w:tc>
        <w:tc>
          <w:tcPr>
            <w:tcW w:w="2363" w:type="dxa"/>
            <w:tcBorders>
              <w:tl2br w:val="nil"/>
              <w:tr2bl w:val="nil"/>
            </w:tcBorders>
            <w:shd w:val="clear" w:color="auto" w:fill="auto"/>
            <w:vAlign w:val="center"/>
          </w:tcPr>
          <w:p w14:paraId="4DF5AFAC">
            <w:pPr>
              <w:pStyle w:val="48"/>
              <w:rPr>
                <w:rFonts w:hint="eastAsia" w:ascii="Times New Roman" w:hAnsi="Times New Roman" w:eastAsia="微软雅黑" w:cs="Times New Roman"/>
                <w:b/>
                <w:bCs/>
                <w:color w:val="auto"/>
                <w:kern w:val="2"/>
                <w:sz w:val="20"/>
                <w:szCs w:val="20"/>
                <w:highlight w:val="none"/>
                <w:lang w:val="en-US" w:eastAsia="zh-CN" w:bidi="ar-SA"/>
              </w:rPr>
            </w:pPr>
            <w:r>
              <w:rPr>
                <w:rFonts w:hint="eastAsia"/>
                <w:b/>
                <w:bCs/>
                <w:color w:val="auto"/>
                <w:sz w:val="20"/>
                <w:szCs w:val="20"/>
                <w:highlight w:val="none"/>
              </w:rPr>
              <w:t>包别划分</w:t>
            </w:r>
          </w:p>
        </w:tc>
        <w:tc>
          <w:tcPr>
            <w:tcW w:w="6487" w:type="dxa"/>
            <w:tcBorders>
              <w:tl2br w:val="nil"/>
              <w:tr2bl w:val="nil"/>
            </w:tcBorders>
            <w:shd w:val="clear" w:color="auto" w:fill="auto"/>
            <w:vAlign w:val="center"/>
          </w:tcPr>
          <w:p w14:paraId="082C6E07">
            <w:pPr>
              <w:pStyle w:val="48"/>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default" w:ascii="Times New Roman" w:hAnsi="Times New Roman" w:eastAsia="微软雅黑" w:cs="Times New Roman"/>
                <w:b/>
                <w:bCs/>
                <w:color w:val="auto"/>
                <w:kern w:val="2"/>
                <w:sz w:val="20"/>
                <w:szCs w:val="20"/>
                <w:highlight w:val="none"/>
                <w:lang w:val="en-US" w:eastAsia="zh-CN" w:bidi="ar-SA"/>
              </w:rPr>
            </w:pPr>
            <w:r>
              <w:rPr>
                <w:rFonts w:ascii="宋体" w:hAnsi="宋体" w:eastAsia="宋体" w:cs="宋体"/>
                <w:color w:val="auto"/>
                <w:kern w:val="0"/>
                <w:sz w:val="24"/>
                <w:szCs w:val="24"/>
                <w:highlight w:val="none"/>
                <w:lang w:val="en-US" w:eastAsia="zh-CN" w:bidi="ar"/>
              </w:rPr>
              <w:sym w:font="Wingdings" w:char="00FE"/>
            </w:r>
            <w:r>
              <w:rPr>
                <w:rFonts w:hint="eastAsia"/>
                <w:b w:val="0"/>
                <w:bCs w:val="0"/>
                <w:color w:val="auto"/>
                <w:highlight w:val="none"/>
              </w:rPr>
              <w:t>不分包</w:t>
            </w:r>
            <w:r>
              <w:rPr>
                <w:rFonts w:hint="eastAsia"/>
                <w:b w:val="0"/>
                <w:bCs w:val="0"/>
                <w:color w:val="auto"/>
                <w:highlight w:val="none"/>
              </w:rPr>
              <w:tab/>
            </w:r>
            <w:r>
              <w:rPr>
                <w:rFonts w:hint="eastAsia"/>
                <w:b w:val="0"/>
                <w:bCs w:val="0"/>
                <w:color w:val="auto"/>
                <w:highlight w:val="none"/>
              </w:rPr>
              <w:t xml:space="preserve"> </w:t>
            </w:r>
            <w:r>
              <w:rPr>
                <w:rFonts w:hint="eastAsia"/>
                <w:color w:val="auto"/>
                <w:highlight w:val="none"/>
              </w:rPr>
              <w:t xml:space="preserve">  </w:t>
            </w:r>
            <w:r>
              <w:rPr>
                <w:rFonts w:ascii="宋体" w:hAnsi="宋体" w:eastAsia="宋体" w:cs="宋体"/>
                <w:color w:val="auto"/>
                <w:kern w:val="0"/>
                <w:sz w:val="24"/>
                <w:szCs w:val="24"/>
                <w:highlight w:val="none"/>
                <w:lang w:val="en-US" w:eastAsia="zh-CN" w:bidi="ar"/>
              </w:rPr>
              <w:sym w:font="Wingdings" w:char="00A8"/>
            </w:r>
            <w:r>
              <w:rPr>
                <w:rFonts w:hint="eastAsia"/>
                <w:b w:val="0"/>
                <w:bCs w:val="0"/>
                <w:color w:val="auto"/>
                <w:highlight w:val="none"/>
              </w:rPr>
              <w:t>分为</w:t>
            </w:r>
            <w:r>
              <w:rPr>
                <w:rFonts w:hint="eastAsia"/>
                <w:b w:val="0"/>
                <w:bCs w:val="0"/>
                <w:color w:val="auto"/>
                <w:highlight w:val="none"/>
                <w:u w:val="single"/>
                <w:lang w:val="en-US" w:eastAsia="zh-CN"/>
              </w:rPr>
              <w:t>/</w:t>
            </w:r>
            <w:r>
              <w:rPr>
                <w:rFonts w:hint="eastAsia"/>
                <w:b w:val="0"/>
                <w:bCs w:val="0"/>
                <w:color w:val="auto"/>
                <w:highlight w:val="none"/>
              </w:rPr>
              <w:t>个包</w:t>
            </w:r>
          </w:p>
        </w:tc>
      </w:tr>
      <w:tr w14:paraId="0BBF79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110" w:type="dxa"/>
            <w:tcBorders>
              <w:tl2br w:val="nil"/>
              <w:tr2bl w:val="nil"/>
            </w:tcBorders>
            <w:vAlign w:val="center"/>
          </w:tcPr>
          <w:p w14:paraId="23E4706A">
            <w:pPr>
              <w:pStyle w:val="48"/>
              <w:rPr>
                <w:rFonts w:ascii="微软雅黑" w:hAnsi="微软雅黑" w:cs="微软雅黑"/>
                <w:bCs/>
                <w:color w:val="auto"/>
                <w:highlight w:val="none"/>
              </w:rPr>
            </w:pPr>
            <w:r>
              <w:rPr>
                <w:rFonts w:hint="eastAsia" w:ascii="微软雅黑" w:hAnsi="微软雅黑" w:cs="微软雅黑"/>
                <w:bCs/>
                <w:color w:val="auto"/>
                <w:highlight w:val="none"/>
              </w:rPr>
              <w:t>第十五条</w:t>
            </w:r>
          </w:p>
        </w:tc>
        <w:tc>
          <w:tcPr>
            <w:tcW w:w="2363" w:type="dxa"/>
            <w:tcBorders>
              <w:tl2br w:val="nil"/>
              <w:tr2bl w:val="nil"/>
            </w:tcBorders>
            <w:vAlign w:val="center"/>
          </w:tcPr>
          <w:p w14:paraId="7A9E8B5E">
            <w:pPr>
              <w:pStyle w:val="48"/>
              <w:rPr>
                <w:rFonts w:ascii="微软雅黑" w:hAnsi="微软雅黑" w:cs="微软雅黑"/>
                <w:b w:val="0"/>
                <w:color w:val="auto"/>
                <w:highlight w:val="none"/>
              </w:rPr>
            </w:pPr>
            <w:r>
              <w:rPr>
                <w:rFonts w:hint="eastAsia" w:ascii="微软雅黑" w:hAnsi="微软雅黑" w:cs="微软雅黑"/>
                <w:bCs/>
                <w:color w:val="auto"/>
                <w:highlight w:val="none"/>
                <w:lang w:val="en-US" w:eastAsia="zh-CN"/>
              </w:rPr>
              <w:t>谈判</w:t>
            </w:r>
            <w:r>
              <w:rPr>
                <w:rFonts w:hint="eastAsia" w:ascii="微软雅黑" w:hAnsi="微软雅黑" w:cs="微软雅黑"/>
                <w:bCs/>
                <w:color w:val="auto"/>
                <w:highlight w:val="none"/>
              </w:rPr>
              <w:t>保证金</w:t>
            </w:r>
          </w:p>
        </w:tc>
        <w:tc>
          <w:tcPr>
            <w:tcW w:w="6487" w:type="dxa"/>
            <w:tcBorders>
              <w:tl2br w:val="nil"/>
              <w:tr2bl w:val="nil"/>
            </w:tcBorders>
            <w:vAlign w:val="center"/>
          </w:tcPr>
          <w:p w14:paraId="79628081">
            <w:pPr>
              <w:pStyle w:val="58"/>
              <w:ind w:left="240" w:leftChars="100" w:right="-55" w:rightChars="-23" w:firstLine="0" w:firstLineChars="0"/>
              <w:rPr>
                <w:rFonts w:ascii="微软雅黑" w:hAnsi="微软雅黑" w:cs="微软雅黑"/>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ascii="微软雅黑" w:hAnsi="微软雅黑" w:cs="微软雅黑"/>
                <w:color w:val="auto"/>
                <w:highlight w:val="none"/>
              </w:rPr>
              <w:t>不要求提供</w:t>
            </w:r>
          </w:p>
          <w:p w14:paraId="4DFFA3AD">
            <w:pPr>
              <w:pStyle w:val="58"/>
              <w:ind w:left="240" w:leftChars="100" w:right="-55" w:rightChars="-23" w:firstLine="0" w:firstLineChars="0"/>
              <w:rPr>
                <w:rFonts w:ascii="微软雅黑" w:hAnsi="微软雅黑" w:cs="微软雅黑"/>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ascii="微软雅黑" w:hAnsi="微软雅黑" w:cs="微软雅黑"/>
                <w:b/>
                <w:bCs/>
                <w:color w:val="auto"/>
                <w:highlight w:val="none"/>
              </w:rPr>
              <w:t>要求提供</w:t>
            </w:r>
          </w:p>
          <w:p w14:paraId="702D51D3">
            <w:pPr>
              <w:pStyle w:val="58"/>
              <w:numPr>
                <w:ilvl w:val="0"/>
                <w:numId w:val="0"/>
              </w:numPr>
              <w:ind w:left="0" w:leftChars="0" w:right="-55" w:rightChars="-23" w:firstLine="400" w:firstLineChars="0"/>
              <w:rPr>
                <w:rFonts w:ascii="微软雅黑" w:hAnsi="微软雅黑" w:cs="微软雅黑"/>
                <w:b/>
                <w:bCs/>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1．</w:t>
            </w:r>
            <w:r>
              <w:rPr>
                <w:rFonts w:hint="eastAsia" w:ascii="微软雅黑" w:hAnsi="微软雅黑" w:cs="微软雅黑"/>
                <w:b/>
                <w:bCs/>
                <w:color w:val="auto"/>
                <w:highlight w:val="none"/>
                <w:lang w:val="en-US" w:eastAsia="zh-CN"/>
              </w:rPr>
              <w:t>谈判</w:t>
            </w:r>
            <w:r>
              <w:rPr>
                <w:rFonts w:hint="eastAsia" w:ascii="微软雅黑" w:hAnsi="微软雅黑" w:cs="微软雅黑"/>
                <w:b/>
                <w:bCs/>
                <w:color w:val="auto"/>
                <w:highlight w:val="none"/>
              </w:rPr>
              <w:t>保证金金额：人民币</w:t>
            </w:r>
            <w:r>
              <w:rPr>
                <w:rFonts w:hint="eastAsia" w:ascii="微软雅黑" w:hAnsi="微软雅黑" w:cs="微软雅黑"/>
                <w:b/>
                <w:bCs/>
                <w:color w:val="auto"/>
                <w:highlight w:val="none"/>
                <w:u w:val="single"/>
                <w:lang w:val="en-US" w:eastAsia="zh-CN"/>
              </w:rPr>
              <w:t xml:space="preserve"> 壹元</w:t>
            </w:r>
            <w:r>
              <w:rPr>
                <w:rFonts w:hint="eastAsia" w:ascii="微软雅黑" w:hAnsi="微软雅黑" w:cs="微软雅黑"/>
                <w:b/>
                <w:bCs/>
                <w:color w:val="auto"/>
                <w:highlight w:val="none"/>
                <w:u w:val="single"/>
              </w:rPr>
              <w:t xml:space="preserve"> </w:t>
            </w:r>
            <w:r>
              <w:rPr>
                <w:rFonts w:hint="eastAsia" w:ascii="微软雅黑" w:hAnsi="微软雅黑" w:cs="微软雅黑"/>
                <w:b/>
                <w:bCs/>
                <w:color w:val="auto"/>
                <w:highlight w:val="none"/>
              </w:rPr>
              <w:t>整；</w:t>
            </w:r>
          </w:p>
          <w:p w14:paraId="2B4302E2">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2．</w:t>
            </w: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保证金到账截止时间：同响应文件递交截止时间；</w:t>
            </w:r>
          </w:p>
          <w:p w14:paraId="68D3C63B">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3．</w:t>
            </w:r>
            <w:r>
              <w:rPr>
                <w:rFonts w:hint="eastAsia" w:ascii="微软雅黑" w:hAnsi="微软雅黑" w:cs="微软雅黑"/>
                <w:color w:val="auto"/>
                <w:highlight w:val="none"/>
                <w:lang w:val="en-US" w:eastAsia="zh-CN"/>
              </w:rPr>
              <w:t>谈判</w:t>
            </w:r>
            <w:r>
              <w:rPr>
                <w:rFonts w:hint="eastAsia" w:ascii="微软雅黑" w:hAnsi="微软雅黑" w:cs="微软雅黑"/>
                <w:color w:val="auto"/>
                <w:highlight w:val="none"/>
              </w:rPr>
              <w:t>保证金缴纳方式：</w:t>
            </w:r>
          </w:p>
          <w:p w14:paraId="4DDAA50B">
            <w:pPr>
              <w:pStyle w:val="58"/>
              <w:numPr>
                <w:ilvl w:val="0"/>
                <w:numId w:val="0"/>
              </w:numPr>
              <w:ind w:left="400" w:leftChars="0" w:right="-55" w:rightChars="-23"/>
              <w:rPr>
                <w:rFonts w:hint="eastAsia" w:ascii="微软雅黑" w:hAnsi="微软雅黑" w:cs="微软雅黑"/>
                <w:b/>
                <w:bCs/>
                <w:color w:val="auto"/>
                <w:szCs w:val="21"/>
                <w:highlight w:val="none"/>
              </w:rPr>
            </w:pPr>
            <w:r>
              <w:rPr>
                <w:rFonts w:hint="eastAsia" w:ascii="微软雅黑" w:hAnsi="微软雅黑" w:cs="微软雅黑"/>
                <w:b/>
                <w:bCs/>
                <w:color w:val="auto"/>
                <w:szCs w:val="21"/>
                <w:highlight w:val="none"/>
              </w:rPr>
              <w:sym w:font="Wingdings" w:char="00FE"/>
            </w:r>
            <w:r>
              <w:rPr>
                <w:rFonts w:hint="eastAsia" w:ascii="微软雅黑" w:hAnsi="微软雅黑" w:cs="微软雅黑"/>
                <w:b/>
                <w:bCs/>
                <w:color w:val="auto"/>
                <w:szCs w:val="21"/>
                <w:highlight w:val="none"/>
                <w:lang w:val="en-US" w:eastAsia="zh-CN"/>
              </w:rPr>
              <w:t>银行</w:t>
            </w:r>
            <w:r>
              <w:rPr>
                <w:rFonts w:hint="eastAsia" w:ascii="微软雅黑" w:hAnsi="微软雅黑" w:cs="微软雅黑"/>
                <w:b/>
                <w:bCs/>
                <w:color w:val="auto"/>
                <w:szCs w:val="21"/>
                <w:highlight w:val="none"/>
              </w:rPr>
              <w:t>转账</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支票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汇票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rPr>
              <w:t>本票</w:t>
            </w:r>
            <w:r>
              <w:rPr>
                <w:rFonts w:hint="eastAsia" w:ascii="微软雅黑" w:hAnsi="微软雅黑" w:cs="微软雅黑"/>
                <w:b/>
                <w:bCs/>
                <w:color w:val="auto"/>
                <w:szCs w:val="21"/>
                <w:highlight w:val="none"/>
                <w:lang w:val="en-US" w:eastAsia="zh-CN"/>
              </w:rPr>
              <w:t xml:space="preserve"> </w:t>
            </w:r>
            <w:r>
              <w:rPr>
                <w:rFonts w:hint="eastAsia" w:ascii="微软雅黑" w:hAnsi="微软雅黑" w:cs="微软雅黑"/>
                <w:b/>
                <w:bCs/>
                <w:color w:val="auto"/>
                <w:szCs w:val="21"/>
                <w:highlight w:val="none"/>
              </w:rPr>
              <w:sym w:font="Wingdings" w:char="00A8"/>
            </w:r>
            <w:r>
              <w:rPr>
                <w:rFonts w:hint="eastAsia" w:ascii="微软雅黑" w:hAnsi="微软雅黑" w:cs="微软雅黑"/>
                <w:b/>
                <w:bCs/>
                <w:color w:val="auto"/>
                <w:szCs w:val="21"/>
                <w:highlight w:val="none"/>
                <w:lang w:val="en-US" w:eastAsia="zh-CN"/>
              </w:rPr>
              <w:t>银行</w:t>
            </w:r>
            <w:r>
              <w:rPr>
                <w:rFonts w:hint="eastAsia" w:ascii="微软雅黑" w:hAnsi="微软雅黑" w:cs="微软雅黑"/>
                <w:b/>
                <w:bCs/>
                <w:color w:val="auto"/>
                <w:szCs w:val="21"/>
                <w:highlight w:val="none"/>
              </w:rPr>
              <w:t>保函</w:t>
            </w:r>
          </w:p>
          <w:p w14:paraId="4D61C6A3">
            <w:pPr>
              <w:pStyle w:val="48"/>
              <w:ind w:firstLine="440" w:firstLineChars="200"/>
              <w:jc w:val="left"/>
              <w:textAlignment w:val="baseline"/>
              <w:rPr>
                <w:rFonts w:hint="default" w:ascii="微软雅黑" w:hAnsi="微软雅黑" w:cs="微软雅黑"/>
                <w:b w:val="0"/>
                <w:bCs/>
                <w:color w:val="auto"/>
                <w:szCs w:val="21"/>
                <w:highlight w:val="none"/>
                <w:lang w:val="en-US" w:eastAsia="zh-CN"/>
              </w:rPr>
            </w:pPr>
            <w:r>
              <w:rPr>
                <w:rFonts w:hint="eastAsia" w:ascii="微软雅黑" w:hAnsi="微软雅黑" w:cs="微软雅黑"/>
                <w:b w:val="0"/>
                <w:bCs/>
                <w:color w:val="auto"/>
                <w:szCs w:val="21"/>
                <w:highlight w:val="none"/>
                <w:lang w:val="en-US" w:eastAsia="zh-CN"/>
              </w:rPr>
              <w:t>备注：采用支票、汇票、本票、银行保函缴纳保证金的应按</w:t>
            </w:r>
            <w:r>
              <w:rPr>
                <w:rFonts w:hint="eastAsia" w:ascii="微软雅黑" w:hAnsi="微软雅黑" w:cs="微软雅黑"/>
                <w:b w:val="0"/>
                <w:bCs/>
                <w:color w:val="auto"/>
                <w:szCs w:val="21"/>
                <w:highlight w:val="none"/>
                <w:lang w:eastAsia="zh-CN"/>
              </w:rPr>
              <w:t>银行转账</w:t>
            </w:r>
            <w:r>
              <w:rPr>
                <w:rFonts w:hint="eastAsia" w:ascii="微软雅黑" w:hAnsi="微软雅黑" w:cs="微软雅黑"/>
                <w:b w:val="0"/>
                <w:bCs/>
                <w:color w:val="auto"/>
                <w:szCs w:val="21"/>
                <w:highlight w:val="none"/>
                <w:lang w:val="en-US" w:eastAsia="zh-CN"/>
              </w:rPr>
              <w:t>+支票</w:t>
            </w:r>
            <w:r>
              <w:rPr>
                <w:rFonts w:hint="eastAsia" w:ascii="微软雅黑" w:hAnsi="微软雅黑" w:cs="微软雅黑"/>
                <w:b w:val="0"/>
                <w:bCs/>
                <w:color w:val="auto"/>
                <w:szCs w:val="21"/>
                <w:highlight w:val="none"/>
                <w:u w:val="none" w:color="auto"/>
                <w:lang w:val="en-US" w:eastAsia="zh-CN"/>
              </w:rPr>
              <w:t>/</w:t>
            </w:r>
            <w:r>
              <w:rPr>
                <w:rFonts w:hint="eastAsia" w:ascii="微软雅黑" w:hAnsi="微软雅黑" w:cs="微软雅黑"/>
                <w:b w:val="0"/>
                <w:bCs/>
                <w:color w:val="auto"/>
                <w:szCs w:val="21"/>
                <w:highlight w:val="none"/>
                <w:lang w:val="en-US" w:eastAsia="zh-CN"/>
              </w:rPr>
              <w:t>汇票</w:t>
            </w:r>
            <w:r>
              <w:rPr>
                <w:rFonts w:hint="eastAsia" w:ascii="微软雅黑" w:hAnsi="微软雅黑" w:cs="微软雅黑"/>
                <w:b w:val="0"/>
                <w:bCs/>
                <w:color w:val="auto"/>
                <w:szCs w:val="21"/>
                <w:highlight w:val="none"/>
                <w:u w:val="none" w:color="auto"/>
                <w:lang w:val="en-US" w:eastAsia="zh-CN"/>
              </w:rPr>
              <w:t>/</w:t>
            </w:r>
            <w:r>
              <w:rPr>
                <w:rFonts w:hint="eastAsia" w:ascii="微软雅黑" w:hAnsi="微软雅黑" w:cs="微软雅黑"/>
                <w:b w:val="0"/>
                <w:bCs/>
                <w:color w:val="auto"/>
                <w:szCs w:val="21"/>
                <w:highlight w:val="none"/>
                <w:lang w:val="en-US" w:eastAsia="zh-CN"/>
              </w:rPr>
              <w:t>本票</w:t>
            </w:r>
            <w:r>
              <w:rPr>
                <w:rFonts w:hint="eastAsia" w:ascii="微软雅黑" w:hAnsi="微软雅黑" w:cs="微软雅黑"/>
                <w:b w:val="0"/>
                <w:bCs/>
                <w:color w:val="auto"/>
                <w:szCs w:val="21"/>
                <w:highlight w:val="none"/>
                <w:u w:val="none" w:color="auto"/>
                <w:lang w:val="en-US" w:eastAsia="zh-CN"/>
              </w:rPr>
              <w:t>/银行</w:t>
            </w:r>
            <w:r>
              <w:rPr>
                <w:rFonts w:hint="eastAsia" w:ascii="微软雅黑" w:hAnsi="微软雅黑" w:cs="微软雅黑"/>
                <w:b w:val="0"/>
                <w:bCs/>
                <w:color w:val="auto"/>
                <w:szCs w:val="21"/>
                <w:highlight w:val="none"/>
                <w:lang w:val="en-US" w:eastAsia="zh-CN"/>
              </w:rPr>
              <w:t>保函组合缴纳方式，相应凭证复印件请放在响应文件中。具体如下：</w:t>
            </w:r>
          </w:p>
          <w:p w14:paraId="516BA2D5">
            <w:pPr>
              <w:pStyle w:val="48"/>
              <w:ind w:firstLine="440" w:firstLineChars="200"/>
              <w:jc w:val="left"/>
              <w:textAlignment w:val="baseline"/>
              <w:rPr>
                <w:rFonts w:hint="eastAsia" w:ascii="微软雅黑" w:hAnsi="微软雅黑" w:cs="微软雅黑"/>
                <w:b/>
                <w:bCs/>
                <w:color w:val="auto"/>
                <w:szCs w:val="21"/>
                <w:highlight w:val="none"/>
              </w:rPr>
            </w:pPr>
            <w:r>
              <w:rPr>
                <w:rFonts w:hint="eastAsia" w:ascii="微软雅黑" w:hAnsi="微软雅黑" w:cs="微软雅黑"/>
                <w:b/>
                <w:bCs/>
                <w:color w:val="auto"/>
                <w:szCs w:val="21"/>
                <w:highlight w:val="none"/>
                <w:lang w:val="en-US" w:eastAsia="zh-CN"/>
              </w:rPr>
              <w:t>因系统设置银行转账额度不能少于1元钱，但实际银行转账额度可大于或等于1元钱，采用银行转账+银行保函组合方式缴纳投标保证金的供应商，两项合计金额应等于投标保证金。项目结束后按保证金程序退还。</w:t>
            </w:r>
          </w:p>
          <w:p w14:paraId="4BFF9EA3">
            <w:pPr>
              <w:pStyle w:val="58"/>
              <w:numPr>
                <w:ilvl w:val="0"/>
                <w:numId w:val="0"/>
              </w:numPr>
              <w:ind w:left="0" w:leftChars="0" w:right="-55" w:rightChars="-23" w:firstLine="400" w:firstLineChars="0"/>
              <w:rPr>
                <w:rFonts w:ascii="微软雅黑" w:hAnsi="微软雅黑" w:cs="微软雅黑"/>
                <w:color w:val="auto"/>
                <w:highlight w:val="none"/>
              </w:rPr>
            </w:pPr>
            <w:r>
              <w:rPr>
                <w:rFonts w:hint="default" w:ascii="微软雅黑" w:hAnsi="微软雅黑" w:eastAsia="微软雅黑" w:cs="微软雅黑"/>
                <w:b w:val="0"/>
                <w:bCs w:val="0"/>
                <w:color w:val="auto"/>
                <w:kern w:val="2"/>
                <w:sz w:val="22"/>
                <w:szCs w:val="24"/>
                <w:highlight w:val="none"/>
                <w:lang w:val="en-US" w:eastAsia="zh-CN" w:bidi="ar-SA"/>
              </w:rPr>
              <w:t>4．</w:t>
            </w:r>
            <w:r>
              <w:rPr>
                <w:rFonts w:hint="eastAsia" w:ascii="微软雅黑" w:hAnsi="微软雅黑" w:cs="微软雅黑"/>
                <w:color w:val="auto"/>
                <w:highlight w:val="none"/>
              </w:rPr>
              <w:t>保证金缴纳账号：</w:t>
            </w:r>
            <w:r>
              <w:rPr>
                <w:rFonts w:hint="eastAsia" w:ascii="微软雅黑" w:hAnsi="微软雅黑" w:cs="微软雅黑"/>
                <w:color w:val="auto"/>
                <w:highlight w:val="none"/>
                <w:lang w:val="en-US" w:eastAsia="zh-CN"/>
              </w:rPr>
              <w:t>供应商登录</w:t>
            </w:r>
            <w:r>
              <w:rPr>
                <w:rFonts w:hint="eastAsia" w:ascii="微软雅黑" w:hAnsi="微软雅黑" w:cs="微软雅黑"/>
                <w:color w:val="auto"/>
                <w:highlight w:val="none"/>
                <w:lang w:eastAsia="zh-CN"/>
              </w:rPr>
              <w:t>张家界市公共资源交易中心产权交易系统</w:t>
            </w:r>
            <w:r>
              <w:rPr>
                <w:rFonts w:hint="eastAsia" w:ascii="微软雅黑" w:hAnsi="微软雅黑" w:cs="微软雅黑"/>
                <w:color w:val="auto"/>
                <w:highlight w:val="none"/>
              </w:rPr>
              <w:t>（</w:t>
            </w:r>
            <w:r>
              <w:rPr>
                <w:rFonts w:hint="eastAsia" w:ascii="微软雅黑" w:hAnsi="微软雅黑" w:cs="微软雅黑"/>
                <w:color w:val="auto"/>
                <w:highlight w:val="none"/>
                <w:lang w:eastAsia="zh-CN"/>
              </w:rPr>
              <w:t>https://www.zjjggzy.cn/portal/index</w:t>
            </w:r>
            <w:r>
              <w:rPr>
                <w:rFonts w:hint="eastAsia" w:ascii="微软雅黑" w:hAnsi="微软雅黑" w:cs="微软雅黑"/>
                <w:color w:val="auto"/>
                <w:highlight w:val="none"/>
              </w:rPr>
              <w:t>），即可浏览、查阅和下载相关项目</w:t>
            </w:r>
            <w:r>
              <w:rPr>
                <w:rFonts w:hint="eastAsia" w:ascii="微软雅黑" w:hAnsi="微软雅黑" w:cs="微软雅黑"/>
                <w:color w:val="auto"/>
                <w:highlight w:val="none"/>
                <w:lang w:val="en-US" w:eastAsia="zh-CN"/>
              </w:rPr>
              <w:t>采购</w:t>
            </w:r>
            <w:r>
              <w:rPr>
                <w:rFonts w:hint="eastAsia" w:ascii="微软雅黑" w:hAnsi="微软雅黑" w:cs="微软雅黑"/>
                <w:color w:val="auto"/>
                <w:highlight w:val="none"/>
              </w:rPr>
              <w:t>文件，对意向项目点击“</w:t>
            </w:r>
            <w:r>
              <w:rPr>
                <w:rFonts w:hint="eastAsia" w:ascii="微软雅黑" w:hAnsi="微软雅黑" w:cs="微软雅黑"/>
                <w:color w:val="auto"/>
                <w:highlight w:val="none"/>
                <w:lang w:eastAsia="zh-CN"/>
              </w:rPr>
              <w:t>竞买申请</w:t>
            </w:r>
            <w:r>
              <w:rPr>
                <w:rFonts w:hint="eastAsia" w:ascii="微软雅黑" w:hAnsi="微软雅黑" w:cs="微软雅黑"/>
                <w:color w:val="auto"/>
                <w:highlight w:val="none"/>
              </w:rPr>
              <w:t>”按钮，网上填报《竞</w:t>
            </w:r>
            <w:r>
              <w:rPr>
                <w:rFonts w:hint="eastAsia" w:ascii="微软雅黑" w:hAnsi="微软雅黑" w:cs="微软雅黑"/>
                <w:color w:val="auto"/>
                <w:highlight w:val="none"/>
                <w:lang w:eastAsia="zh-CN"/>
              </w:rPr>
              <w:t>买</w:t>
            </w:r>
            <w:r>
              <w:rPr>
                <w:rFonts w:hint="eastAsia" w:ascii="微软雅黑" w:hAnsi="微软雅黑" w:cs="微软雅黑"/>
                <w:color w:val="auto"/>
                <w:highlight w:val="none"/>
              </w:rPr>
              <w:t>申请书》，点击银行获取我中心在该银行开设账户的随机子账号。</w:t>
            </w:r>
          </w:p>
          <w:p w14:paraId="5D52AB69">
            <w:pPr>
              <w:pStyle w:val="48"/>
              <w:ind w:firstLine="440" w:firstLineChars="200"/>
              <w:jc w:val="left"/>
              <w:textAlignment w:val="baseline"/>
              <w:rPr>
                <w:rFonts w:ascii="微软雅黑" w:hAnsi="微软雅黑" w:cs="微软雅黑"/>
                <w:color w:val="auto"/>
                <w:highlight w:val="none"/>
              </w:rPr>
            </w:pPr>
            <w:r>
              <w:rPr>
                <w:rFonts w:hint="eastAsia" w:ascii="微软雅黑" w:hAnsi="微软雅黑" w:cs="微软雅黑"/>
                <w:b/>
                <w:bCs/>
                <w:color w:val="auto"/>
                <w:szCs w:val="21"/>
                <w:highlight w:val="none"/>
                <w:lang w:val="en-US" w:eastAsia="zh-CN"/>
              </w:rPr>
              <w:t>5.各供应商出具的银行保函应为见索即付保函。</w:t>
            </w:r>
          </w:p>
        </w:tc>
      </w:tr>
      <w:tr w14:paraId="3671B0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3ABBFBBB">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第十六条</w:t>
            </w:r>
          </w:p>
        </w:tc>
        <w:tc>
          <w:tcPr>
            <w:tcW w:w="2363" w:type="dxa"/>
            <w:tcBorders>
              <w:tl2br w:val="nil"/>
              <w:tr2bl w:val="nil"/>
            </w:tcBorders>
            <w:vAlign w:val="center"/>
          </w:tcPr>
          <w:p w14:paraId="3FC54691">
            <w:pPr>
              <w:pStyle w:val="48"/>
              <w:rPr>
                <w:rFonts w:ascii="微软雅黑" w:hAnsi="微软雅黑" w:cs="微软雅黑"/>
                <w:bCs/>
                <w:color w:val="auto"/>
                <w:highlight w:val="none"/>
              </w:rPr>
            </w:pPr>
            <w:r>
              <w:rPr>
                <w:rFonts w:hint="eastAsia" w:ascii="微软雅黑" w:hAnsi="微软雅黑" w:cs="微软雅黑"/>
                <w:bCs/>
                <w:color w:val="auto"/>
                <w:highlight w:val="none"/>
              </w:rPr>
              <w:t>响应有效期</w:t>
            </w:r>
          </w:p>
        </w:tc>
        <w:tc>
          <w:tcPr>
            <w:tcW w:w="6487" w:type="dxa"/>
            <w:tcBorders>
              <w:tl2br w:val="nil"/>
              <w:tr2bl w:val="nil"/>
            </w:tcBorders>
            <w:vAlign w:val="center"/>
          </w:tcPr>
          <w:p w14:paraId="287BB3B5">
            <w:pPr>
              <w:pStyle w:val="58"/>
              <w:ind w:left="240" w:leftChars="100" w:right="-55" w:rightChars="-23" w:firstLine="0" w:firstLineChars="0"/>
              <w:rPr>
                <w:color w:val="auto"/>
                <w:highlight w:val="none"/>
              </w:rPr>
            </w:pPr>
            <w:r>
              <w:rPr>
                <w:rFonts w:hint="eastAsia"/>
                <w:color w:val="auto"/>
                <w:highlight w:val="none"/>
                <w:u w:val="single"/>
              </w:rPr>
              <w:t>90</w:t>
            </w:r>
            <w:r>
              <w:rPr>
                <w:rFonts w:hint="eastAsia"/>
                <w:color w:val="auto"/>
                <w:highlight w:val="none"/>
              </w:rPr>
              <w:t>日历日</w:t>
            </w:r>
          </w:p>
        </w:tc>
      </w:tr>
      <w:tr w14:paraId="2255C3C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110" w:type="dxa"/>
            <w:tcBorders>
              <w:tl2br w:val="nil"/>
              <w:tr2bl w:val="nil"/>
            </w:tcBorders>
            <w:vAlign w:val="center"/>
          </w:tcPr>
          <w:p w14:paraId="479D537E">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第十七条</w:t>
            </w:r>
          </w:p>
        </w:tc>
        <w:tc>
          <w:tcPr>
            <w:tcW w:w="2363" w:type="dxa"/>
            <w:tcBorders>
              <w:tl2br w:val="nil"/>
              <w:tr2bl w:val="nil"/>
            </w:tcBorders>
            <w:vAlign w:val="center"/>
          </w:tcPr>
          <w:p w14:paraId="7971F0A9">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网上报名截止时间</w:t>
            </w:r>
          </w:p>
        </w:tc>
        <w:tc>
          <w:tcPr>
            <w:tcW w:w="6487" w:type="dxa"/>
            <w:tcBorders>
              <w:tl2br w:val="nil"/>
              <w:tr2bl w:val="nil"/>
            </w:tcBorders>
            <w:vAlign w:val="center"/>
          </w:tcPr>
          <w:p w14:paraId="3B42FBD1">
            <w:pPr>
              <w:pStyle w:val="58"/>
              <w:ind w:firstLine="220" w:firstLineChars="100"/>
              <w:rPr>
                <w:color w:val="auto"/>
                <w:highlight w:val="none"/>
              </w:rPr>
            </w:pPr>
            <w:r>
              <w:rPr>
                <w:rFonts w:hint="eastAsia"/>
                <w:color w:val="auto"/>
                <w:highlight w:val="yellow"/>
                <w:u w:val="single"/>
              </w:rPr>
              <w:t>202</w:t>
            </w:r>
            <w:r>
              <w:rPr>
                <w:rFonts w:hint="eastAsia"/>
                <w:color w:val="auto"/>
                <w:highlight w:val="yellow"/>
                <w:u w:val="single"/>
                <w:lang w:val="en-US" w:eastAsia="zh-CN"/>
              </w:rPr>
              <w:t>6</w:t>
            </w:r>
            <w:r>
              <w:rPr>
                <w:rFonts w:hint="eastAsia"/>
                <w:color w:val="auto"/>
                <w:highlight w:val="yellow"/>
              </w:rPr>
              <w:t>年</w:t>
            </w:r>
            <w:r>
              <w:rPr>
                <w:rFonts w:hint="eastAsia"/>
                <w:color w:val="auto"/>
                <w:highlight w:val="yellow"/>
                <w:u w:val="single"/>
                <w:lang w:val="en-US" w:eastAsia="zh-CN"/>
              </w:rPr>
              <w:t>10</w:t>
            </w:r>
            <w:r>
              <w:rPr>
                <w:rFonts w:hint="eastAsia"/>
                <w:color w:val="auto"/>
                <w:highlight w:val="yellow"/>
              </w:rPr>
              <w:t>月</w:t>
            </w:r>
            <w:r>
              <w:rPr>
                <w:rFonts w:hint="eastAsia"/>
                <w:color w:val="auto"/>
                <w:highlight w:val="yellow"/>
                <w:u w:val="single"/>
                <w:lang w:val="en-US" w:eastAsia="zh-CN"/>
              </w:rPr>
              <w:t>10</w:t>
            </w:r>
            <w:r>
              <w:rPr>
                <w:rFonts w:hint="eastAsia"/>
                <w:color w:val="auto"/>
                <w:highlight w:val="yellow"/>
              </w:rPr>
              <w:t>日上午</w:t>
            </w:r>
            <w:r>
              <w:rPr>
                <w:rFonts w:hint="eastAsia"/>
                <w:color w:val="auto"/>
                <w:highlight w:val="yellow"/>
                <w:u w:val="single"/>
                <w:lang w:val="en-US" w:eastAsia="zh-CN"/>
              </w:rPr>
              <w:t>10</w:t>
            </w:r>
            <w:r>
              <w:rPr>
                <w:rFonts w:hint="eastAsia"/>
                <w:color w:val="auto"/>
                <w:highlight w:val="yellow"/>
                <w:u w:val="single"/>
                <w:lang w:eastAsia="zh-CN"/>
              </w:rPr>
              <w:t>:</w:t>
            </w:r>
            <w:r>
              <w:rPr>
                <w:rFonts w:hint="eastAsia"/>
                <w:color w:val="auto"/>
                <w:highlight w:val="yellow"/>
                <w:u w:val="single"/>
              </w:rPr>
              <w:t>00</w:t>
            </w:r>
            <w:r>
              <w:rPr>
                <w:rFonts w:hint="eastAsia"/>
                <w:color w:val="auto"/>
                <w:highlight w:val="yellow"/>
                <w:u w:val="none"/>
                <w:lang w:val="en-US" w:eastAsia="zh-CN"/>
              </w:rPr>
              <w:t>时</w:t>
            </w:r>
            <w:r>
              <w:rPr>
                <w:rFonts w:hint="eastAsia"/>
                <w:color w:val="auto"/>
                <w:highlight w:val="none"/>
              </w:rPr>
              <w:t>（北京时间）</w:t>
            </w:r>
          </w:p>
        </w:tc>
      </w:tr>
      <w:tr w14:paraId="72990D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39E7E624">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第二十五条</w:t>
            </w:r>
          </w:p>
        </w:tc>
        <w:tc>
          <w:tcPr>
            <w:tcW w:w="2363" w:type="dxa"/>
            <w:tcBorders>
              <w:tl2br w:val="nil"/>
              <w:tr2bl w:val="nil"/>
            </w:tcBorders>
            <w:vAlign w:val="center"/>
          </w:tcPr>
          <w:p w14:paraId="262DEB63">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履约</w:t>
            </w:r>
            <w:r>
              <w:rPr>
                <w:rFonts w:hint="eastAsia" w:ascii="微软雅黑" w:hAnsi="微软雅黑" w:cs="微软雅黑"/>
                <w:bCs/>
                <w:color w:val="auto"/>
                <w:szCs w:val="20"/>
                <w:highlight w:val="none"/>
                <w:lang w:eastAsia="zh-CN"/>
              </w:rPr>
              <w:t>保证</w:t>
            </w:r>
            <w:r>
              <w:rPr>
                <w:rFonts w:hint="eastAsia" w:ascii="微软雅黑" w:hAnsi="微软雅黑" w:cs="微软雅黑"/>
                <w:bCs/>
                <w:color w:val="auto"/>
                <w:szCs w:val="20"/>
                <w:highlight w:val="none"/>
              </w:rPr>
              <w:t>金</w:t>
            </w:r>
          </w:p>
        </w:tc>
        <w:tc>
          <w:tcPr>
            <w:tcW w:w="6487" w:type="dxa"/>
            <w:tcBorders>
              <w:tl2br w:val="nil"/>
              <w:tr2bl w:val="nil"/>
            </w:tcBorders>
            <w:vAlign w:val="center"/>
          </w:tcPr>
          <w:p w14:paraId="27DEFC32">
            <w:pPr>
              <w:pStyle w:val="58"/>
              <w:ind w:firstLine="440"/>
              <w:rPr>
                <w:color w:val="auto"/>
                <w:highlight w:val="none"/>
              </w:rPr>
            </w:pPr>
            <w:r>
              <w:rPr>
                <w:rFonts w:ascii="宋体" w:hAnsi="宋体" w:eastAsia="宋体" w:cs="宋体"/>
                <w:color w:val="auto"/>
                <w:kern w:val="0"/>
                <w:sz w:val="24"/>
                <w:szCs w:val="24"/>
                <w:highlight w:val="none"/>
                <w:lang w:val="en-US" w:eastAsia="zh-CN" w:bidi="ar"/>
              </w:rPr>
              <w:sym w:font="Wingdings" w:char="00A8"/>
            </w:r>
            <w:r>
              <w:rPr>
                <w:rFonts w:hint="eastAsia"/>
                <w:b w:val="0"/>
                <w:bCs w:val="0"/>
                <w:color w:val="auto"/>
                <w:highlight w:val="none"/>
              </w:rPr>
              <w:t>不要求提供</w:t>
            </w:r>
          </w:p>
          <w:p w14:paraId="60C494D5">
            <w:pPr>
              <w:pStyle w:val="58"/>
              <w:ind w:firstLine="440"/>
              <w:rPr>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要求提供</w:t>
            </w:r>
          </w:p>
          <w:p w14:paraId="7A4BFF0E">
            <w:pPr>
              <w:pStyle w:val="58"/>
              <w:numPr>
                <w:ilvl w:val="0"/>
                <w:numId w:val="7"/>
              </w:numPr>
              <w:ind w:right="-55" w:rightChars="-23" w:firstLineChars="0"/>
              <w:rPr>
                <w:color w:val="auto"/>
                <w:highlight w:val="none"/>
              </w:rPr>
            </w:pPr>
            <w:r>
              <w:rPr>
                <w:rFonts w:hint="eastAsia"/>
                <w:color w:val="auto"/>
                <w:highlight w:val="none"/>
              </w:rPr>
              <w:t>金额：</w:t>
            </w:r>
          </w:p>
          <w:p w14:paraId="076F93FD">
            <w:pPr>
              <w:pStyle w:val="58"/>
              <w:ind w:right="-55" w:rightChars="-23"/>
              <w:rPr>
                <w:color w:val="auto"/>
                <w:highlight w:val="none"/>
              </w:rPr>
            </w:pPr>
            <w:r>
              <w:rPr>
                <w:rFonts w:hint="eastAsia"/>
                <w:color w:val="auto"/>
                <w:highlight w:val="none"/>
              </w:rPr>
              <w:t>中标、成交金额降价幅度不超过采购预算10%的，履约保证金为中标、成交金额的10%</w:t>
            </w:r>
            <w:r>
              <w:rPr>
                <w:rFonts w:hint="eastAsia"/>
                <w:color w:val="auto"/>
                <w:highlight w:val="none"/>
                <w:lang w:eastAsia="zh-CN"/>
              </w:rPr>
              <w:t>；</w:t>
            </w:r>
            <w:r>
              <w:rPr>
                <w:rFonts w:hint="eastAsia"/>
                <w:color w:val="auto"/>
                <w:highlight w:val="none"/>
              </w:rPr>
              <w:t>中标、成交金额降价幅度超过采购预算10%以上的，履约保证金为采购预算减去中标、成交金额的差额。</w:t>
            </w:r>
          </w:p>
          <w:p w14:paraId="1F8F8FF8">
            <w:pPr>
              <w:pStyle w:val="58"/>
              <w:numPr>
                <w:ilvl w:val="0"/>
                <w:numId w:val="7"/>
              </w:numPr>
              <w:ind w:right="-55" w:rightChars="-23" w:firstLineChars="0"/>
              <w:rPr>
                <w:color w:val="auto"/>
                <w:highlight w:val="none"/>
              </w:rPr>
            </w:pPr>
            <w:r>
              <w:rPr>
                <w:rFonts w:hint="eastAsia"/>
                <w:color w:val="auto"/>
                <w:highlight w:val="none"/>
              </w:rPr>
              <w:t>支付方式：</w:t>
            </w:r>
          </w:p>
          <w:p w14:paraId="48C8F2DF">
            <w:pPr>
              <w:pStyle w:val="58"/>
              <w:ind w:firstLine="440"/>
              <w:rPr>
                <w:b/>
                <w:bCs/>
                <w:color w:val="auto"/>
                <w:highlight w:val="none"/>
              </w:rPr>
            </w:pP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 xml:space="preserve">银行转账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支票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汇票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rPr>
              <w:t>本票</w:t>
            </w:r>
            <w:r>
              <w:rPr>
                <w:rFonts w:hint="eastAsia"/>
                <w:b/>
                <w:bCs/>
                <w:color w:val="auto"/>
                <w:highlight w:val="none"/>
                <w:lang w:val="en-US" w:eastAsia="zh-CN"/>
              </w:rPr>
              <w:t xml:space="preserve"> </w:t>
            </w:r>
            <w:r>
              <w:rPr>
                <w:rFonts w:ascii="宋体" w:hAnsi="宋体" w:eastAsia="宋体" w:cs="宋体"/>
                <w:color w:val="auto"/>
                <w:kern w:val="0"/>
                <w:sz w:val="24"/>
                <w:szCs w:val="24"/>
                <w:highlight w:val="none"/>
                <w:lang w:val="en-US" w:eastAsia="zh-CN" w:bidi="ar"/>
              </w:rPr>
              <w:sym w:font="Wingdings" w:char="00FE"/>
            </w:r>
            <w:r>
              <w:rPr>
                <w:rFonts w:hint="eastAsia"/>
                <w:b/>
                <w:bCs/>
                <w:color w:val="auto"/>
                <w:highlight w:val="none"/>
                <w:lang w:eastAsia="zh-CN"/>
              </w:rPr>
              <w:t>银行</w:t>
            </w:r>
            <w:r>
              <w:rPr>
                <w:rFonts w:hint="eastAsia"/>
                <w:b/>
                <w:bCs/>
                <w:color w:val="auto"/>
                <w:highlight w:val="none"/>
              </w:rPr>
              <w:t>保函</w:t>
            </w:r>
            <w:r>
              <w:rPr>
                <w:rFonts w:hint="eastAsia"/>
                <w:color w:val="auto"/>
                <w:highlight w:val="none"/>
              </w:rPr>
              <w:t xml:space="preserve"> </w:t>
            </w:r>
          </w:p>
          <w:p w14:paraId="0AB0AD6A">
            <w:pPr>
              <w:pStyle w:val="58"/>
              <w:ind w:firstLine="440"/>
              <w:rPr>
                <w:rFonts w:hint="eastAsia"/>
                <w:color w:val="auto"/>
                <w:highlight w:val="none"/>
                <w:lang w:eastAsia="zh-CN"/>
              </w:rPr>
            </w:pPr>
            <w:r>
              <w:rPr>
                <w:rFonts w:hint="eastAsia"/>
                <w:color w:val="auto"/>
                <w:highlight w:val="none"/>
              </w:rPr>
              <w:t>提交保函的要求</w:t>
            </w:r>
            <w:r>
              <w:rPr>
                <w:rFonts w:hint="eastAsia"/>
                <w:color w:val="auto"/>
                <w:highlight w:val="none"/>
                <w:lang w:eastAsia="zh-CN"/>
              </w:rPr>
              <w:t>：</w:t>
            </w:r>
            <w:r>
              <w:rPr>
                <w:rFonts w:hint="eastAsia"/>
                <w:color w:val="auto"/>
                <w:highlight w:val="none"/>
              </w:rPr>
              <w:t>供应商提交的银行保函，在项目交付使用前不可撤销、不可转让、见索即付，履约担保责任至对应项目交付使用之日终止。银行保函应当是</w:t>
            </w:r>
            <w:r>
              <w:rPr>
                <w:rFonts w:hint="eastAsia"/>
                <w:color w:val="auto"/>
                <w:highlight w:val="none"/>
                <w:lang w:eastAsia="zh-CN"/>
              </w:rPr>
              <w:t>供应商</w:t>
            </w:r>
            <w:r>
              <w:rPr>
                <w:rFonts w:hint="eastAsia"/>
                <w:color w:val="auto"/>
                <w:highlight w:val="none"/>
              </w:rPr>
              <w:t>注册地或者项目所在地市域内的银行出具的保函。银行保函由采购人负责核验，报市公共资源交易中心登记</w:t>
            </w:r>
            <w:r>
              <w:rPr>
                <w:rFonts w:hint="eastAsia"/>
                <w:color w:val="auto"/>
                <w:highlight w:val="none"/>
                <w:lang w:eastAsia="zh-CN"/>
              </w:rPr>
              <w:t>。</w:t>
            </w:r>
          </w:p>
          <w:p w14:paraId="66FB993E">
            <w:pPr>
              <w:pStyle w:val="58"/>
              <w:numPr>
                <w:ilvl w:val="0"/>
                <w:numId w:val="7"/>
              </w:numPr>
              <w:ind w:left="0" w:leftChars="0" w:firstLine="400" w:firstLineChars="0"/>
              <w:rPr>
                <w:color w:val="auto"/>
                <w:highlight w:val="none"/>
                <w:u w:val="single"/>
              </w:rPr>
            </w:pPr>
            <w:r>
              <w:rPr>
                <w:rFonts w:hint="eastAsia" w:ascii="宋体" w:hAnsi="宋体" w:cs="宋体"/>
                <w:color w:val="auto"/>
                <w:highlight w:val="none"/>
              </w:rPr>
              <w:t>收取单位</w:t>
            </w:r>
            <w:r>
              <w:rPr>
                <w:rFonts w:hint="eastAsia"/>
                <w:color w:val="auto"/>
                <w:highlight w:val="none"/>
              </w:rPr>
              <w:t>：</w:t>
            </w:r>
            <w:r>
              <w:rPr>
                <w:rFonts w:hint="eastAsia"/>
                <w:color w:val="auto"/>
                <w:highlight w:val="none"/>
                <w:u w:val="single"/>
                <w:lang w:eastAsia="zh-CN"/>
              </w:rPr>
              <w:t>张家界市卫生健康委员会</w:t>
            </w:r>
          </w:p>
          <w:p w14:paraId="5A6DBC1C">
            <w:pPr>
              <w:pStyle w:val="58"/>
              <w:numPr>
                <w:ilvl w:val="0"/>
                <w:numId w:val="7"/>
              </w:numPr>
              <w:ind w:left="0" w:leftChars="0" w:firstLine="400" w:firstLineChars="0"/>
              <w:rPr>
                <w:rFonts w:ascii="微软雅黑" w:hAnsi="微软雅黑" w:cs="微软雅黑"/>
                <w:color w:val="auto"/>
                <w:szCs w:val="21"/>
                <w:highlight w:val="none"/>
              </w:rPr>
            </w:pPr>
            <w:r>
              <w:rPr>
                <w:rFonts w:hint="eastAsia"/>
                <w:color w:val="auto"/>
                <w:highlight w:val="none"/>
              </w:rPr>
              <w:t>缴纳</w:t>
            </w:r>
            <w:r>
              <w:rPr>
                <w:rFonts w:hint="eastAsia"/>
                <w:color w:val="auto"/>
                <w:highlight w:val="none"/>
                <w:lang w:val="en-US" w:eastAsia="zh-CN"/>
              </w:rPr>
              <w:t>期限</w:t>
            </w:r>
            <w:r>
              <w:rPr>
                <w:rFonts w:hint="eastAsia"/>
                <w:color w:val="auto"/>
                <w:highlight w:val="none"/>
              </w:rPr>
              <w:t>：</w:t>
            </w:r>
            <w:r>
              <w:rPr>
                <w:rFonts w:hint="eastAsia"/>
                <w:color w:val="auto"/>
                <w:highlight w:val="none"/>
                <w:lang w:eastAsia="zh-CN"/>
              </w:rPr>
              <w:t>提交履约保证金的期限应当在采购文件中进行约定。供应商自领取中标、成交通知书后7个工作日内提交履约保证金，最长不超过14个工作日。若供应商未在规定时间内提交履约保证金，视为放弃中标成交资格。采购人应当取消其中标、成交资格，供应商的投标保证金不予退还，并将其列入张家界市“严重失信企业名单”实行联合惩戒，3年内不接受其参与市域内政府采购项目的投标</w:t>
            </w:r>
            <w:r>
              <w:rPr>
                <w:rFonts w:hint="eastAsia"/>
                <w:color w:val="auto"/>
                <w:highlight w:val="none"/>
              </w:rPr>
              <w:t>。</w:t>
            </w:r>
          </w:p>
        </w:tc>
      </w:tr>
      <w:tr w14:paraId="1F54032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 w:hRule="atLeast"/>
          <w:jc w:val="center"/>
        </w:trPr>
        <w:tc>
          <w:tcPr>
            <w:tcW w:w="1110" w:type="dxa"/>
            <w:tcBorders>
              <w:tl2br w:val="nil"/>
              <w:tr2bl w:val="nil"/>
            </w:tcBorders>
            <w:vAlign w:val="center"/>
          </w:tcPr>
          <w:p w14:paraId="41CC0D8F">
            <w:pPr>
              <w:pStyle w:val="48"/>
              <w:rPr>
                <w:rFonts w:ascii="微软雅黑" w:hAnsi="微软雅黑" w:cs="微软雅黑"/>
                <w:bCs/>
                <w:color w:val="auto"/>
                <w:szCs w:val="20"/>
                <w:highlight w:val="none"/>
              </w:rPr>
            </w:pPr>
            <w:r>
              <w:rPr>
                <w:rFonts w:hint="eastAsia" w:ascii="微软雅黑" w:hAnsi="微软雅黑" w:cs="微软雅黑"/>
                <w:bCs/>
                <w:color w:val="auto"/>
                <w:szCs w:val="20"/>
                <w:highlight w:val="none"/>
              </w:rPr>
              <w:t>第</w:t>
            </w:r>
            <w:r>
              <w:rPr>
                <w:rFonts w:hint="eastAsia" w:ascii="微软雅黑" w:hAnsi="微软雅黑" w:cs="微软雅黑"/>
                <w:bCs/>
                <w:color w:val="auto"/>
                <w:szCs w:val="20"/>
                <w:highlight w:val="none"/>
                <w:lang w:val="en-US" w:eastAsia="zh-CN"/>
              </w:rPr>
              <w:t>二十九</w:t>
            </w:r>
            <w:r>
              <w:rPr>
                <w:rFonts w:hint="eastAsia" w:ascii="微软雅黑" w:hAnsi="微软雅黑" w:cs="微软雅黑"/>
                <w:bCs/>
                <w:color w:val="auto"/>
                <w:szCs w:val="20"/>
                <w:highlight w:val="none"/>
              </w:rPr>
              <w:t>条</w:t>
            </w:r>
          </w:p>
        </w:tc>
        <w:tc>
          <w:tcPr>
            <w:tcW w:w="2363" w:type="dxa"/>
            <w:tcBorders>
              <w:tl2br w:val="nil"/>
              <w:tr2bl w:val="nil"/>
            </w:tcBorders>
            <w:vAlign w:val="center"/>
          </w:tcPr>
          <w:p w14:paraId="534029AF">
            <w:pPr>
              <w:pStyle w:val="48"/>
              <w:rPr>
                <w:rFonts w:ascii="微软雅黑" w:hAnsi="微软雅黑" w:cs="微软雅黑"/>
                <w:b w:val="0"/>
                <w:color w:val="auto"/>
                <w:highlight w:val="none"/>
              </w:rPr>
            </w:pPr>
            <w:r>
              <w:rPr>
                <w:rFonts w:hint="eastAsia" w:ascii="微软雅黑" w:hAnsi="微软雅黑" w:cs="微软雅黑"/>
                <w:bCs/>
                <w:color w:val="auto"/>
                <w:szCs w:val="20"/>
                <w:highlight w:val="none"/>
                <w:lang w:val="en-US" w:eastAsia="zh-CN"/>
              </w:rPr>
              <w:t>询问及</w:t>
            </w:r>
            <w:r>
              <w:rPr>
                <w:rFonts w:hint="eastAsia" w:ascii="微软雅黑" w:hAnsi="微软雅黑" w:cs="微软雅黑"/>
                <w:bCs/>
                <w:color w:val="auto"/>
                <w:szCs w:val="20"/>
                <w:highlight w:val="none"/>
              </w:rPr>
              <w:t>质疑</w:t>
            </w:r>
          </w:p>
        </w:tc>
        <w:tc>
          <w:tcPr>
            <w:tcW w:w="6487" w:type="dxa"/>
            <w:tcBorders>
              <w:tl2br w:val="nil"/>
              <w:tr2bl w:val="nil"/>
            </w:tcBorders>
            <w:vAlign w:val="center"/>
          </w:tcPr>
          <w:p w14:paraId="2BB2A443">
            <w:pPr>
              <w:pStyle w:val="58"/>
              <w:numPr>
                <w:ilvl w:val="0"/>
                <w:numId w:val="0"/>
              </w:numPr>
              <w:ind w:leftChars="200"/>
              <w:rPr>
                <w:color w:val="auto"/>
                <w:highlight w:val="none"/>
              </w:rPr>
            </w:pPr>
            <w:r>
              <w:rPr>
                <w:rFonts w:hint="eastAsia"/>
                <w:color w:val="auto"/>
                <w:highlight w:val="none"/>
              </w:rPr>
              <w:t>质疑函递交方式：书面递交</w:t>
            </w:r>
          </w:p>
          <w:p w14:paraId="0FF61D10">
            <w:pPr>
              <w:widowControl/>
              <w:spacing w:line="300" w:lineRule="exact"/>
              <w:ind w:firstLine="440" w:firstLineChars="200"/>
              <w:jc w:val="left"/>
              <w:rPr>
                <w:rFonts w:hint="eastAsia"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联系部门：张家界市卫生健康委员会</w:t>
            </w:r>
          </w:p>
          <w:p w14:paraId="74BE6019">
            <w:pPr>
              <w:widowControl/>
              <w:spacing w:line="300" w:lineRule="exact"/>
              <w:ind w:firstLine="440" w:firstLineChars="200"/>
              <w:jc w:val="left"/>
              <w:rPr>
                <w:rFonts w:hint="default" w:ascii="宋体" w:hAnsi="宋体" w:eastAsia="微软雅黑" w:cs="宋体"/>
                <w:color w:val="auto"/>
                <w:kern w:val="2"/>
                <w:sz w:val="22"/>
                <w:szCs w:val="24"/>
                <w:highlight w:val="none"/>
                <w:lang w:val="en-US" w:eastAsia="zh-CN" w:bidi="ar-SA"/>
              </w:rPr>
            </w:pPr>
            <w:r>
              <w:rPr>
                <w:rFonts w:hint="eastAsia" w:ascii="宋体" w:hAnsi="宋体" w:eastAsia="微软雅黑" w:cs="宋体"/>
                <w:color w:val="auto"/>
                <w:kern w:val="2"/>
                <w:sz w:val="22"/>
                <w:szCs w:val="24"/>
                <w:highlight w:val="none"/>
                <w:lang w:val="en-US" w:eastAsia="zh-CN" w:bidi="ar-SA"/>
              </w:rPr>
              <w:t>联系电话：</w:t>
            </w:r>
            <w:r>
              <w:rPr>
                <w:rFonts w:hint="eastAsia" w:ascii="Times New Roman"/>
                <w:color w:val="auto"/>
                <w:highlight w:val="none"/>
                <w:lang w:val="en-US" w:eastAsia="zh-CN"/>
              </w:rPr>
              <w:t>13974427988</w:t>
            </w:r>
          </w:p>
          <w:p w14:paraId="730E8F86">
            <w:pPr>
              <w:pStyle w:val="58"/>
              <w:ind w:firstLine="440"/>
              <w:rPr>
                <w:color w:val="auto"/>
                <w:highlight w:val="none"/>
              </w:rPr>
            </w:pPr>
            <w:r>
              <w:rPr>
                <w:rFonts w:hint="eastAsia" w:ascii="宋体" w:hAnsi="宋体" w:eastAsia="微软雅黑" w:cs="宋体"/>
                <w:color w:val="auto"/>
                <w:kern w:val="2"/>
                <w:sz w:val="22"/>
                <w:szCs w:val="24"/>
                <w:highlight w:val="none"/>
                <w:lang w:val="en-US" w:eastAsia="zh-CN" w:bidi="ar-SA"/>
              </w:rPr>
              <w:t>通信地址：张家界市永定区南庄坪</w:t>
            </w:r>
          </w:p>
        </w:tc>
      </w:tr>
    </w:tbl>
    <w:p w14:paraId="545764A9">
      <w:pPr>
        <w:rPr>
          <w:color w:val="auto"/>
          <w:highlight w:val="none"/>
        </w:rPr>
      </w:pPr>
      <w:r>
        <w:rPr>
          <w:rFonts w:hint="eastAsia"/>
          <w:color w:val="auto"/>
          <w:highlight w:val="none"/>
        </w:rPr>
        <w:br w:type="page"/>
      </w:r>
    </w:p>
    <w:p w14:paraId="65C108CB">
      <w:pPr>
        <w:pStyle w:val="4"/>
        <w:spacing w:before="156"/>
        <w:jc w:val="center"/>
        <w:rPr>
          <w:color w:val="auto"/>
          <w:highlight w:val="none"/>
        </w:rPr>
      </w:pPr>
      <w:bookmarkStart w:id="34" w:name="_Toc31744"/>
      <w:bookmarkStart w:id="35" w:name="_Toc15273"/>
      <w:bookmarkStart w:id="36" w:name="_Toc21546"/>
      <w:bookmarkStart w:id="37" w:name="_Toc5598"/>
      <w:r>
        <w:rPr>
          <w:rStyle w:val="50"/>
          <w:rFonts w:hint="eastAsia"/>
          <w:color w:val="auto"/>
          <w:highlight w:val="none"/>
        </w:rPr>
        <w:t xml:space="preserve">第二节 </w:t>
      </w:r>
      <w:r>
        <w:rPr>
          <w:rStyle w:val="50"/>
          <w:rFonts w:hint="eastAsia"/>
          <w:color w:val="auto"/>
          <w:highlight w:val="none"/>
          <w:lang w:eastAsia="zh-CN"/>
        </w:rPr>
        <w:t>供应商</w:t>
      </w:r>
      <w:r>
        <w:rPr>
          <w:rStyle w:val="50"/>
          <w:rFonts w:hint="eastAsia"/>
          <w:color w:val="auto"/>
          <w:highlight w:val="none"/>
        </w:rPr>
        <w:t>须知正文</w:t>
      </w:r>
      <w:bookmarkEnd w:id="34"/>
      <w:bookmarkEnd w:id="35"/>
      <w:bookmarkEnd w:id="36"/>
      <w:bookmarkEnd w:id="37"/>
    </w:p>
    <w:p w14:paraId="16604256">
      <w:pPr>
        <w:pStyle w:val="6"/>
        <w:numPr>
          <w:ilvl w:val="0"/>
          <w:numId w:val="8"/>
        </w:numPr>
        <w:ind w:firstLine="480"/>
        <w:outlineLvl w:val="2"/>
        <w:rPr>
          <w:color w:val="auto"/>
          <w:highlight w:val="none"/>
        </w:rPr>
      </w:pPr>
      <w:bookmarkStart w:id="38" w:name="_Toc24182"/>
      <w:bookmarkStart w:id="39" w:name="_Toc25461"/>
      <w:r>
        <w:rPr>
          <w:rFonts w:hint="eastAsia"/>
          <w:color w:val="auto"/>
          <w:highlight w:val="none"/>
        </w:rPr>
        <w:t>适用范围及</w:t>
      </w:r>
      <w:r>
        <w:rPr>
          <w:rFonts w:hint="eastAsia"/>
          <w:color w:val="auto"/>
          <w:highlight w:val="none"/>
          <w:lang w:val="en-US" w:eastAsia="zh-CN"/>
        </w:rPr>
        <w:t>谈判</w:t>
      </w:r>
      <w:r>
        <w:rPr>
          <w:rFonts w:hint="eastAsia"/>
          <w:color w:val="auto"/>
          <w:highlight w:val="none"/>
        </w:rPr>
        <w:t>原则</w:t>
      </w:r>
    </w:p>
    <w:p w14:paraId="53927D7F">
      <w:pPr>
        <w:pStyle w:val="45"/>
        <w:numPr>
          <w:ilvl w:val="0"/>
          <w:numId w:val="9"/>
        </w:numPr>
        <w:spacing w:before="156"/>
        <w:ind w:firstLine="480"/>
        <w:outlineLvl w:val="9"/>
        <w:rPr>
          <w:color w:val="auto"/>
          <w:highlight w:val="none"/>
        </w:rPr>
      </w:pPr>
      <w:r>
        <w:rPr>
          <w:rFonts w:hint="eastAsia"/>
          <w:color w:val="auto"/>
          <w:highlight w:val="none"/>
        </w:rPr>
        <w:t>本谈判文件仅适用于本次谈判所述的项目采购。</w:t>
      </w:r>
    </w:p>
    <w:p w14:paraId="7F4B968B">
      <w:pPr>
        <w:pStyle w:val="45"/>
        <w:numPr>
          <w:ilvl w:val="0"/>
          <w:numId w:val="9"/>
        </w:numPr>
        <w:spacing w:before="156"/>
        <w:ind w:firstLine="480"/>
        <w:rPr>
          <w:color w:val="auto"/>
          <w:highlight w:val="none"/>
        </w:rPr>
      </w:pPr>
      <w:r>
        <w:rPr>
          <w:rFonts w:hint="eastAsia"/>
          <w:color w:val="auto"/>
          <w:highlight w:val="none"/>
          <w:lang w:val="en-US" w:eastAsia="zh-CN"/>
        </w:rPr>
        <w:t>本次竞争性谈判</w:t>
      </w:r>
      <w:r>
        <w:rPr>
          <w:rFonts w:hint="eastAsia"/>
          <w:color w:val="auto"/>
          <w:highlight w:val="none"/>
        </w:rPr>
        <w:t>遵循“公开、公平、公正”和“诚实信用”原则，适用“起始价规则”并按“价低者得”原则确定</w:t>
      </w:r>
      <w:r>
        <w:rPr>
          <w:rFonts w:hint="eastAsia"/>
          <w:color w:val="auto"/>
          <w:highlight w:val="none"/>
          <w:lang w:eastAsia="zh-CN"/>
        </w:rPr>
        <w:t>成交供应商</w:t>
      </w:r>
      <w:r>
        <w:rPr>
          <w:rFonts w:hint="eastAsia"/>
          <w:color w:val="auto"/>
          <w:highlight w:val="none"/>
        </w:rPr>
        <w:t>。</w:t>
      </w:r>
    </w:p>
    <w:p w14:paraId="199F5542">
      <w:pPr>
        <w:pStyle w:val="6"/>
        <w:numPr>
          <w:ilvl w:val="0"/>
          <w:numId w:val="8"/>
        </w:numPr>
        <w:ind w:firstLine="480"/>
        <w:outlineLvl w:val="2"/>
        <w:rPr>
          <w:color w:val="auto"/>
          <w:highlight w:val="none"/>
        </w:rPr>
      </w:pPr>
      <w:r>
        <w:rPr>
          <w:rFonts w:hint="eastAsia"/>
          <w:color w:val="auto"/>
          <w:highlight w:val="none"/>
        </w:rPr>
        <w:t>定义</w:t>
      </w:r>
    </w:p>
    <w:p w14:paraId="50885F02">
      <w:pPr>
        <w:pStyle w:val="45"/>
        <w:numPr>
          <w:ilvl w:val="0"/>
          <w:numId w:val="10"/>
        </w:numPr>
        <w:spacing w:before="156"/>
        <w:ind w:firstLine="480"/>
        <w:rPr>
          <w:color w:val="auto"/>
          <w:highlight w:val="none"/>
        </w:rPr>
      </w:pPr>
      <w:r>
        <w:rPr>
          <w:rFonts w:hint="eastAsia"/>
          <w:color w:val="auto"/>
          <w:highlight w:val="none"/>
        </w:rPr>
        <w:t>货物：系指各种形态和种类的物品，包括原材料、燃料、设备、产品等。</w:t>
      </w:r>
    </w:p>
    <w:p w14:paraId="14648878">
      <w:pPr>
        <w:pStyle w:val="45"/>
        <w:numPr>
          <w:ilvl w:val="0"/>
          <w:numId w:val="10"/>
        </w:numPr>
        <w:spacing w:before="156"/>
        <w:ind w:firstLine="480"/>
        <w:rPr>
          <w:color w:val="auto"/>
          <w:highlight w:val="none"/>
        </w:rPr>
      </w:pPr>
      <w:r>
        <w:rPr>
          <w:rFonts w:hint="eastAsia"/>
          <w:color w:val="auto"/>
          <w:highlight w:val="none"/>
        </w:rPr>
        <w:t>服务：系指除货物和工程以外的其他政府采购对象，包括咨询、调研、评估、规划、设计、监理、审计、保险、租赁、印刷、维修、物业管理等。</w:t>
      </w:r>
    </w:p>
    <w:p w14:paraId="6C827A87">
      <w:pPr>
        <w:pStyle w:val="45"/>
        <w:numPr>
          <w:ilvl w:val="0"/>
          <w:numId w:val="10"/>
        </w:numPr>
        <w:spacing w:before="156"/>
        <w:ind w:firstLine="480"/>
        <w:rPr>
          <w:color w:val="auto"/>
          <w:highlight w:val="none"/>
        </w:rPr>
      </w:pPr>
      <w:r>
        <w:rPr>
          <w:rFonts w:hint="eastAsia"/>
          <w:color w:val="auto"/>
          <w:highlight w:val="none"/>
        </w:rPr>
        <w:t>工程</w:t>
      </w:r>
      <w:r>
        <w:rPr>
          <w:rFonts w:hint="eastAsia"/>
          <w:color w:val="auto"/>
          <w:highlight w:val="none"/>
          <w:lang w:eastAsia="zh-CN"/>
        </w:rPr>
        <w:t>：</w:t>
      </w:r>
      <w:r>
        <w:rPr>
          <w:rFonts w:hint="eastAsia"/>
          <w:color w:val="auto"/>
          <w:highlight w:val="none"/>
        </w:rPr>
        <w:t>系指建设工程，包括建筑物和构筑物的新建、改建、扩建、装修、拆除、修缮等</w:t>
      </w:r>
      <w:r>
        <w:rPr>
          <w:rFonts w:hint="eastAsia"/>
          <w:color w:val="auto"/>
          <w:highlight w:val="none"/>
          <w:lang w:eastAsia="zh-CN"/>
        </w:rPr>
        <w:t>。</w:t>
      </w:r>
    </w:p>
    <w:p w14:paraId="0C77EFF7">
      <w:pPr>
        <w:pStyle w:val="45"/>
        <w:numPr>
          <w:ilvl w:val="0"/>
          <w:numId w:val="10"/>
        </w:numPr>
        <w:spacing w:before="156"/>
        <w:ind w:firstLine="480"/>
        <w:rPr>
          <w:color w:val="auto"/>
          <w:highlight w:val="none"/>
        </w:rPr>
      </w:pPr>
      <w:r>
        <w:rPr>
          <w:rFonts w:hint="eastAsia"/>
          <w:color w:val="auto"/>
          <w:highlight w:val="none"/>
        </w:rPr>
        <w:t>时限（年份、月份等）计算：系指从</w:t>
      </w:r>
      <w:r>
        <w:rPr>
          <w:rFonts w:hint="eastAsia"/>
          <w:color w:val="auto"/>
          <w:highlight w:val="none"/>
          <w:lang w:val="en-US" w:eastAsia="zh-CN"/>
        </w:rPr>
        <w:t>谈判</w:t>
      </w:r>
      <w:r>
        <w:rPr>
          <w:rFonts w:hint="eastAsia"/>
          <w:color w:val="auto"/>
          <w:highlight w:val="none"/>
        </w:rPr>
        <w:t>之日向前追溯 X 年/月（“X” 为“一”及以后整数）起算。</w:t>
      </w:r>
    </w:p>
    <w:p w14:paraId="2B7E286C">
      <w:pPr>
        <w:pStyle w:val="45"/>
        <w:numPr>
          <w:ilvl w:val="0"/>
          <w:numId w:val="10"/>
        </w:numPr>
        <w:spacing w:before="156"/>
        <w:ind w:firstLine="480"/>
        <w:rPr>
          <w:color w:val="auto"/>
          <w:highlight w:val="none"/>
        </w:rPr>
      </w:pPr>
      <w:r>
        <w:rPr>
          <w:rFonts w:hint="eastAsia"/>
          <w:color w:val="auto"/>
          <w:highlight w:val="none"/>
        </w:rPr>
        <w:t>业绩：除非本谈判文件中另有规定，业绩系指符合本谈判文件规定且已供货（安装）完毕的与最终用户签订的合同。供应商与其关联公司（如母公司、控股公司、分公司、子公司、同一法定代表人的公司等）之间签订的合同，均不予认可。</w:t>
      </w:r>
    </w:p>
    <w:p w14:paraId="418AFEA0">
      <w:pPr>
        <w:pStyle w:val="45"/>
        <w:numPr>
          <w:ilvl w:val="0"/>
          <w:numId w:val="0"/>
        </w:numPr>
        <w:spacing w:before="156"/>
        <w:ind w:firstLine="480" w:firstLineChars="200"/>
        <w:rPr>
          <w:color w:val="auto"/>
          <w:highlight w:val="none"/>
        </w:rPr>
      </w:pPr>
      <w:r>
        <w:rPr>
          <w:rFonts w:hint="eastAsia"/>
          <w:color w:val="auto"/>
          <w:highlight w:val="none"/>
        </w:rPr>
        <w:t>除非本谈判文件中另有规定，否则业绩均为已供货（安装）完毕的业绩，业绩时间均以合同签订之日为追溯节点。</w:t>
      </w:r>
    </w:p>
    <w:p w14:paraId="6738FC65">
      <w:pPr>
        <w:pStyle w:val="45"/>
        <w:numPr>
          <w:ilvl w:val="0"/>
          <w:numId w:val="10"/>
        </w:numPr>
        <w:spacing w:before="156"/>
        <w:ind w:firstLine="480"/>
        <w:rPr>
          <w:color w:val="auto"/>
          <w:highlight w:val="none"/>
        </w:rPr>
      </w:pPr>
      <w:r>
        <w:rPr>
          <w:rFonts w:hint="eastAsia"/>
          <w:color w:val="auto"/>
          <w:highlight w:val="none"/>
        </w:rPr>
        <w:t>谈判文件中没有提及采购货物来源地的，根据《中华人民共和国政府采购法》的相关规定均应是本国货物，优先采购节能、环保产品。谈判的货物必须是合法生产的符合国家有关标准要求的货物，并满足谈判文件规定的规格、参数、质量、价格、有效期、售后服务等要求。</w:t>
      </w:r>
    </w:p>
    <w:p w14:paraId="1FE7B519">
      <w:pPr>
        <w:pStyle w:val="45"/>
        <w:numPr>
          <w:ilvl w:val="0"/>
          <w:numId w:val="0"/>
        </w:numPr>
        <w:spacing w:before="156"/>
        <w:ind w:firstLine="480" w:firstLineChars="200"/>
        <w:rPr>
          <w:color w:val="auto"/>
          <w:highlight w:val="none"/>
        </w:rPr>
      </w:pPr>
      <w:r>
        <w:rPr>
          <w:rFonts w:hint="eastAsia"/>
          <w:color w:val="auto"/>
          <w:highlight w:val="none"/>
        </w:rPr>
        <w:t>本谈判文件所采购的货物、产品、配件等全部标的，均应是全新、未使用过的，是完全符合相应质量标准的原装正品。无论谈判文件是否列明，供应商所提供的货物、产品、配件均须符合国家产品质量、安全、卫生、环保、检疫检验、生产经营许可等现行法律法规的规定。</w:t>
      </w:r>
    </w:p>
    <w:p w14:paraId="1509420A">
      <w:pPr>
        <w:pStyle w:val="45"/>
        <w:numPr>
          <w:ilvl w:val="0"/>
          <w:numId w:val="0"/>
        </w:numPr>
        <w:spacing w:before="156"/>
        <w:ind w:leftChars="200"/>
        <w:rPr>
          <w:rFonts w:hint="eastAsia" w:eastAsia="宋体"/>
          <w:color w:val="auto"/>
          <w:highlight w:val="none"/>
          <w:lang w:eastAsia="zh-CN"/>
        </w:rPr>
      </w:pPr>
      <w:r>
        <w:rPr>
          <w:rFonts w:hint="eastAsia"/>
          <w:color w:val="auto"/>
          <w:highlight w:val="none"/>
        </w:rPr>
        <w:t>本谈判文件所要求的证书、认证、资质，均应当是有权机构颁发，且在有效期内的</w:t>
      </w:r>
      <w:r>
        <w:rPr>
          <w:rFonts w:hint="eastAsia"/>
          <w:color w:val="auto"/>
          <w:highlight w:val="none"/>
          <w:lang w:eastAsia="zh-CN"/>
        </w:rPr>
        <w:t>。</w:t>
      </w:r>
    </w:p>
    <w:p w14:paraId="5CF19C04">
      <w:pPr>
        <w:pStyle w:val="6"/>
        <w:numPr>
          <w:ilvl w:val="0"/>
          <w:numId w:val="8"/>
        </w:numPr>
        <w:ind w:firstLine="480"/>
        <w:outlineLvl w:val="2"/>
        <w:rPr>
          <w:color w:val="auto"/>
          <w:highlight w:val="none"/>
        </w:rPr>
      </w:pPr>
      <w:r>
        <w:rPr>
          <w:rFonts w:hint="eastAsia"/>
          <w:color w:val="auto"/>
          <w:highlight w:val="none"/>
          <w:lang w:eastAsia="zh-CN"/>
        </w:rPr>
        <w:t>采购人</w:t>
      </w:r>
      <w:r>
        <w:rPr>
          <w:rFonts w:hint="eastAsia"/>
          <w:color w:val="auto"/>
          <w:highlight w:val="none"/>
        </w:rPr>
        <w:t>、</w:t>
      </w:r>
      <w:r>
        <w:rPr>
          <w:rFonts w:hint="eastAsia"/>
          <w:color w:val="auto"/>
          <w:highlight w:val="none"/>
          <w:lang w:val="en-US" w:eastAsia="zh-CN"/>
        </w:rPr>
        <w:t>采购代理</w:t>
      </w:r>
      <w:r>
        <w:rPr>
          <w:rFonts w:hint="eastAsia"/>
          <w:color w:val="auto"/>
          <w:highlight w:val="none"/>
        </w:rPr>
        <w:t>机构及</w:t>
      </w:r>
      <w:r>
        <w:rPr>
          <w:rFonts w:hint="eastAsia"/>
          <w:color w:val="auto"/>
          <w:highlight w:val="none"/>
          <w:lang w:eastAsia="zh-CN"/>
        </w:rPr>
        <w:t>供应商</w:t>
      </w:r>
    </w:p>
    <w:p w14:paraId="6DF91E5A">
      <w:pPr>
        <w:pStyle w:val="45"/>
        <w:numPr>
          <w:ilvl w:val="0"/>
          <w:numId w:val="11"/>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：是指依法开展政府采购活动的国家机关、事业单位、团体组织。本项目的采购人见</w:t>
      </w:r>
      <w:r>
        <w:rPr>
          <w:rFonts w:hint="eastAsia"/>
          <w:b/>
          <w:color w:val="auto"/>
          <w:highlight w:val="none"/>
        </w:rPr>
        <w:t>【供应商须知前附表】</w:t>
      </w:r>
      <w:r>
        <w:rPr>
          <w:rFonts w:hint="eastAsia"/>
          <w:b/>
          <w:bCs/>
          <w:color w:val="auto"/>
          <w:highlight w:val="none"/>
        </w:rPr>
        <w:t>。</w:t>
      </w:r>
    </w:p>
    <w:p w14:paraId="6DEEBEFE">
      <w:pPr>
        <w:pStyle w:val="45"/>
        <w:numPr>
          <w:ilvl w:val="0"/>
          <w:numId w:val="11"/>
        </w:numPr>
        <w:spacing w:before="156"/>
        <w:ind w:firstLine="480"/>
        <w:rPr>
          <w:color w:val="auto"/>
          <w:highlight w:val="none"/>
        </w:rPr>
      </w:pPr>
      <w:r>
        <w:rPr>
          <w:rFonts w:hint="eastAsia"/>
          <w:color w:val="auto"/>
          <w:highlight w:val="none"/>
        </w:rPr>
        <w:t>采购代理机构：是指集中采购机构或从事采购代理业务的社会中介机构。本项目的采购代理机构见</w:t>
      </w:r>
      <w:r>
        <w:rPr>
          <w:rFonts w:hint="eastAsia"/>
          <w:b/>
          <w:color w:val="auto"/>
          <w:highlight w:val="none"/>
        </w:rPr>
        <w:t>【供应商须知前附表】</w:t>
      </w:r>
      <w:r>
        <w:rPr>
          <w:rFonts w:hint="eastAsia"/>
          <w:b/>
          <w:bCs/>
          <w:color w:val="auto"/>
          <w:highlight w:val="none"/>
        </w:rPr>
        <w:t>。</w:t>
      </w:r>
    </w:p>
    <w:p w14:paraId="4DAADE31">
      <w:pPr>
        <w:pStyle w:val="45"/>
        <w:numPr>
          <w:ilvl w:val="0"/>
          <w:numId w:val="1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：是指向采购人提供货物、工程或者服务的法人、非法人组织或者自然人。分支机构不得参加政府采购活动，但银行、保险、石油石化、电力、电信等特殊行业除外。本项目的供应商须满足以下条件：</w:t>
      </w:r>
    </w:p>
    <w:p w14:paraId="389AA545">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在</w:t>
      </w:r>
      <w:r>
        <w:rPr>
          <w:rFonts w:hint="eastAsia"/>
          <w:color w:val="auto"/>
          <w:highlight w:val="none"/>
        </w:rPr>
        <w:t>中华人民共和国境内注册，能够独立承担民事责任，有生产或供应能力的本国供应商。</w:t>
      </w:r>
    </w:p>
    <w:p w14:paraId="1455967A">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具备《中华人民共和国政府采购法》第二十二条关于供应商条件的规定，遵守本项目采购人本级和上级财政部门政府采购的有关规定。</w:t>
      </w:r>
    </w:p>
    <w:p w14:paraId="4341C3FF">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outlineLvl w:val="9"/>
        <w:rPr>
          <w:color w:val="auto"/>
          <w:highlight w:val="none"/>
        </w:rPr>
      </w:pPr>
      <w:r>
        <w:rPr>
          <w:rFonts w:hint="eastAsia" w:ascii="Times New Roman" w:hAnsi="Times New Roman" w:eastAsia="宋体" w:cs="Times New Roman"/>
          <w:color w:val="auto"/>
          <w:highlight w:val="none"/>
        </w:rPr>
        <w:t>以采购代理机构认可的方式获得了本项目的谈判文件。</w:t>
      </w:r>
    </w:p>
    <w:p w14:paraId="6C2D3DE6">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若</w:t>
      </w:r>
      <w:r>
        <w:rPr>
          <w:rFonts w:hint="eastAsia"/>
          <w:b/>
          <w:color w:val="auto"/>
          <w:highlight w:val="none"/>
        </w:rPr>
        <w:t>【供应商须知前附表】</w:t>
      </w:r>
      <w:r>
        <w:rPr>
          <w:rFonts w:hint="eastAsia"/>
          <w:color w:val="auto"/>
          <w:highlight w:val="none"/>
        </w:rPr>
        <w:t>中写明专门面向中小企业采购的，如供应商为非中小企业，其响应文件将被认定为</w:t>
      </w:r>
      <w:r>
        <w:rPr>
          <w:rFonts w:hint="eastAsia"/>
          <w:b/>
          <w:color w:val="auto"/>
          <w:highlight w:val="none"/>
        </w:rPr>
        <w:t>响应无效</w:t>
      </w:r>
      <w:r>
        <w:rPr>
          <w:rFonts w:hint="eastAsia"/>
          <w:color w:val="auto"/>
          <w:highlight w:val="none"/>
        </w:rPr>
        <w:t>。</w:t>
      </w:r>
    </w:p>
    <w:p w14:paraId="62B054E3">
      <w:pPr>
        <w:pStyle w:val="45"/>
        <w:keepNext w:val="0"/>
        <w:keepLines w:val="0"/>
        <w:pageBreakBefore w:val="0"/>
        <w:widowControl w:val="0"/>
        <w:numPr>
          <w:ilvl w:val="0"/>
          <w:numId w:val="12"/>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color w:val="auto"/>
          <w:highlight w:val="none"/>
        </w:rPr>
        <w:t>若</w:t>
      </w:r>
      <w:r>
        <w:rPr>
          <w:rFonts w:hint="eastAsia"/>
          <w:b/>
          <w:color w:val="auto"/>
          <w:highlight w:val="none"/>
        </w:rPr>
        <w:t>【供应商须知前附表】</w:t>
      </w:r>
      <w:r>
        <w:rPr>
          <w:rFonts w:hint="eastAsia"/>
          <w:color w:val="auto"/>
          <w:highlight w:val="none"/>
        </w:rPr>
        <w:t>中写明允许采购进口产品，供应商应保证所投产品可履行合法报通关手续进入中国关境内。</w:t>
      </w:r>
    </w:p>
    <w:p w14:paraId="6C63C536">
      <w:pPr>
        <w:pStyle w:val="45"/>
        <w:spacing w:before="240"/>
        <w:ind w:firstLine="480"/>
        <w:rPr>
          <w:color w:val="auto"/>
          <w:highlight w:val="none"/>
        </w:rPr>
      </w:pPr>
      <w:r>
        <w:rPr>
          <w:rFonts w:hint="eastAsia"/>
          <w:color w:val="auto"/>
          <w:highlight w:val="none"/>
        </w:rPr>
        <w:t>若</w:t>
      </w:r>
      <w:r>
        <w:rPr>
          <w:rFonts w:hint="eastAsia"/>
          <w:b/>
          <w:color w:val="auto"/>
          <w:highlight w:val="none"/>
        </w:rPr>
        <w:t>【供应商须知前附表】</w:t>
      </w:r>
      <w:r>
        <w:rPr>
          <w:rFonts w:hint="eastAsia"/>
          <w:color w:val="auto"/>
          <w:highlight w:val="none"/>
        </w:rPr>
        <w:t>中未写明允许采购进口产品，如供应商所投产品为进口产品，其响应文件将被认定为</w:t>
      </w:r>
      <w:r>
        <w:rPr>
          <w:rFonts w:hint="eastAsia"/>
          <w:b/>
          <w:color w:val="auto"/>
          <w:highlight w:val="none"/>
        </w:rPr>
        <w:t>响应无效</w:t>
      </w:r>
      <w:r>
        <w:rPr>
          <w:rFonts w:hint="eastAsia"/>
          <w:color w:val="auto"/>
          <w:highlight w:val="none"/>
        </w:rPr>
        <w:t>。</w:t>
      </w:r>
    </w:p>
    <w:p w14:paraId="53B743AE">
      <w:pPr>
        <w:pStyle w:val="45"/>
        <w:numPr>
          <w:ilvl w:val="0"/>
          <w:numId w:val="11"/>
        </w:numPr>
        <w:spacing w:before="156"/>
        <w:ind w:firstLine="480"/>
        <w:outlineLvl w:val="9"/>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若</w:t>
      </w:r>
      <w:r>
        <w:rPr>
          <w:rFonts w:hint="eastAsia"/>
          <w:b/>
          <w:color w:val="auto"/>
          <w:highlight w:val="none"/>
        </w:rPr>
        <w:t>【供应商须知前附表】</w:t>
      </w:r>
      <w:r>
        <w:rPr>
          <w:rFonts w:hint="eastAsia" w:ascii="Times New Roman" w:hAnsi="Times New Roman" w:eastAsia="宋体" w:cs="Times New Roman"/>
          <w:color w:val="auto"/>
          <w:highlight w:val="none"/>
          <w:lang w:eastAsia="zh-CN"/>
        </w:rPr>
        <w:t>中允许联合形式，对联合体规定如下：</w:t>
      </w:r>
    </w:p>
    <w:p w14:paraId="603A4C9B">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两个以上供应商可以组成一个联合体，以一个供应商的身份谈判。</w:t>
      </w:r>
    </w:p>
    <w:p w14:paraId="507D32AA">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联合体各方均应符合《中华人民共和国政府采购法》第二十二条规定的条件。</w:t>
      </w:r>
    </w:p>
    <w:p w14:paraId="07A00F94">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采购人根据采购项目对供应商的特殊要求，联合体中至少应当有一方符合相关规定。</w:t>
      </w:r>
    </w:p>
    <w:p w14:paraId="4A2BB973">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联合体各方应签订联合体协议，明确约定联合体各方承担的工作和相应的责任，并将联合体协议作为响应文件的一部分提交。</w:t>
      </w:r>
    </w:p>
    <w:p w14:paraId="1D884779">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大中型企业、其他自然人、法人或者非法人组织与小型、微型企业组成联合体共同参加谈判，联合体协议中应写明小型、微型企业的协议合同金额占到联合体协议报价总金额的比例。</w:t>
      </w:r>
    </w:p>
    <w:p w14:paraId="415B84D8">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联合体中有同类资质的供应商按照联合体分工承担相同工作的，应当按照资质等级较低的供应商确定资质等级。</w:t>
      </w:r>
    </w:p>
    <w:p w14:paraId="6EB0F300">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rPr>
          <w:color w:val="auto"/>
          <w:highlight w:val="none"/>
        </w:rPr>
      </w:pPr>
      <w:r>
        <w:rPr>
          <w:rFonts w:hint="eastAsia" w:ascii="Times New Roman" w:hAnsi="Times New Roman" w:eastAsia="宋体" w:cs="Times New Roman"/>
          <w:color w:val="auto"/>
          <w:highlight w:val="none"/>
        </w:rPr>
        <w:t>以联合体形式参加政府采购活动的，联合体各方不得再单独参加或者与其他供应商另外组成联合体参加</w:t>
      </w:r>
      <w:r>
        <w:rPr>
          <w:rFonts w:hint="eastAsia"/>
          <w:color w:val="auto"/>
          <w:highlight w:val="none"/>
        </w:rPr>
        <w:t>本项目谈判，否则相关响应文件将被认定为</w:t>
      </w:r>
      <w:r>
        <w:rPr>
          <w:rFonts w:hint="eastAsia"/>
          <w:b/>
          <w:color w:val="auto"/>
          <w:highlight w:val="none"/>
        </w:rPr>
        <w:t>响应无效</w:t>
      </w:r>
      <w:r>
        <w:rPr>
          <w:rFonts w:hint="eastAsia"/>
          <w:color w:val="auto"/>
          <w:highlight w:val="none"/>
        </w:rPr>
        <w:t>。</w:t>
      </w:r>
    </w:p>
    <w:p w14:paraId="16004802">
      <w:pPr>
        <w:pStyle w:val="45"/>
        <w:keepNext w:val="0"/>
        <w:keepLines w:val="0"/>
        <w:pageBreakBefore w:val="0"/>
        <w:widowControl w:val="0"/>
        <w:numPr>
          <w:ilvl w:val="0"/>
          <w:numId w:val="13"/>
        </w:numPr>
        <w:kinsoku/>
        <w:wordWrap/>
        <w:overflowPunct/>
        <w:topLinePunct w:val="0"/>
        <w:autoSpaceDE/>
        <w:autoSpaceDN/>
        <w:bidi w:val="0"/>
        <w:adjustRightInd w:val="0"/>
        <w:snapToGrid w:val="0"/>
        <w:spacing w:before="240"/>
        <w:ind w:left="0" w:leftChars="0" w:firstLine="420" w:firstLineChars="0"/>
        <w:textAlignment w:val="auto"/>
        <w:outlineLvl w:val="9"/>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对联合体形式的其他资格要求见供应商资格。</w:t>
      </w:r>
    </w:p>
    <w:p w14:paraId="203E9AAA">
      <w:pPr>
        <w:pStyle w:val="45"/>
        <w:numPr>
          <w:ilvl w:val="0"/>
          <w:numId w:val="11"/>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单位负责人为同一人或者存在直接控股、管理关系的不同供应商，不得参加同一合同项下的政府采购活动。否则其将被认定为</w:t>
      </w:r>
      <w:r>
        <w:rPr>
          <w:rFonts w:hint="eastAsia" w:ascii="Times New Roman" w:hAnsi="Times New Roman" w:eastAsia="宋体" w:cs="Times New Roman"/>
          <w:b/>
          <w:color w:val="auto"/>
          <w:highlight w:val="none"/>
          <w:lang w:eastAsia="zh-CN"/>
        </w:rPr>
        <w:t>响应无效</w:t>
      </w:r>
      <w:r>
        <w:rPr>
          <w:rFonts w:hint="eastAsia" w:ascii="Times New Roman" w:hAnsi="Times New Roman" w:eastAsia="宋体" w:cs="Times New Roman"/>
          <w:color w:val="auto"/>
          <w:highlight w:val="none"/>
          <w:lang w:eastAsia="zh-CN"/>
        </w:rPr>
        <w:t>。</w:t>
      </w:r>
    </w:p>
    <w:p w14:paraId="3EC5CC85">
      <w:pPr>
        <w:pStyle w:val="45"/>
        <w:numPr>
          <w:ilvl w:val="0"/>
          <w:numId w:val="11"/>
        </w:numPr>
        <w:spacing w:before="156"/>
        <w:ind w:firstLine="48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t>为本项目提供过整体设计、规范编制或者项目管理、监理、检测等服务的供应商，不得再参加本项目上述服务以外的其他采购活动。否则其将被认定为</w:t>
      </w:r>
      <w:r>
        <w:rPr>
          <w:rFonts w:hint="eastAsia" w:ascii="Times New Roman" w:hAnsi="Times New Roman" w:eastAsia="宋体" w:cs="Times New Roman"/>
          <w:b/>
          <w:bCs/>
          <w:color w:val="auto"/>
          <w:highlight w:val="none"/>
          <w:lang w:eastAsia="zh-CN"/>
        </w:rPr>
        <w:t>响应无效</w:t>
      </w:r>
      <w:r>
        <w:rPr>
          <w:rFonts w:hint="eastAsia" w:ascii="Times New Roman" w:hAnsi="Times New Roman" w:eastAsia="宋体" w:cs="Times New Roman"/>
          <w:color w:val="auto"/>
          <w:highlight w:val="none"/>
          <w:lang w:eastAsia="zh-CN"/>
        </w:rPr>
        <w:t>。</w:t>
      </w:r>
    </w:p>
    <w:p w14:paraId="0A05ADCD">
      <w:pPr>
        <w:pStyle w:val="6"/>
        <w:numPr>
          <w:ilvl w:val="0"/>
          <w:numId w:val="8"/>
        </w:numPr>
        <w:ind w:firstLine="480"/>
        <w:outlineLvl w:val="2"/>
        <w:rPr>
          <w:color w:val="auto"/>
          <w:highlight w:val="none"/>
        </w:rPr>
      </w:pPr>
      <w:r>
        <w:rPr>
          <w:rFonts w:hint="eastAsia"/>
          <w:color w:val="auto"/>
          <w:highlight w:val="none"/>
        </w:rPr>
        <w:t>资金来源</w:t>
      </w:r>
    </w:p>
    <w:p w14:paraId="53F9A74B">
      <w:pPr>
        <w:pStyle w:val="45"/>
        <w:numPr>
          <w:ilvl w:val="0"/>
          <w:numId w:val="14"/>
        </w:numPr>
        <w:spacing w:before="156"/>
        <w:ind w:firstLine="480"/>
        <w:rPr>
          <w:color w:val="auto"/>
          <w:highlight w:val="none"/>
        </w:rPr>
      </w:pPr>
      <w:r>
        <w:rPr>
          <w:rFonts w:hint="eastAsia"/>
          <w:color w:val="auto"/>
          <w:highlight w:val="none"/>
        </w:rPr>
        <w:t>本项目的采购人已获得足以支付本次谈判后所签订的合同项下的资金。</w:t>
      </w:r>
    </w:p>
    <w:p w14:paraId="1E590BAF">
      <w:pPr>
        <w:pStyle w:val="45"/>
        <w:numPr>
          <w:ilvl w:val="0"/>
          <w:numId w:val="14"/>
        </w:numPr>
        <w:spacing w:before="156"/>
        <w:ind w:firstLine="480"/>
        <w:outlineLvl w:val="9"/>
        <w:rPr>
          <w:color w:val="auto"/>
          <w:highlight w:val="none"/>
        </w:rPr>
      </w:pPr>
      <w:r>
        <w:rPr>
          <w:rFonts w:hint="eastAsia"/>
          <w:color w:val="auto"/>
          <w:highlight w:val="none"/>
        </w:rPr>
        <w:t>项目预算金额或分项（或分包）预算金额见</w:t>
      </w:r>
      <w:r>
        <w:rPr>
          <w:rFonts w:hint="eastAsia"/>
          <w:color w:val="auto"/>
          <w:highlight w:val="none"/>
          <w:u w:val="single"/>
          <w:lang w:val="en-US" w:eastAsia="zh-CN"/>
        </w:rPr>
        <w:t>竞争性</w:t>
      </w:r>
      <w:r>
        <w:rPr>
          <w:rFonts w:hint="eastAsia"/>
          <w:color w:val="auto"/>
          <w:highlight w:val="none"/>
          <w:u w:val="single"/>
        </w:rPr>
        <w:t>谈判</w:t>
      </w:r>
      <w:r>
        <w:rPr>
          <w:rFonts w:hint="eastAsia"/>
          <w:color w:val="auto"/>
          <w:highlight w:val="none"/>
          <w:u w:val="single"/>
          <w:lang w:val="en-US" w:eastAsia="zh-CN"/>
        </w:rPr>
        <w:t>公告</w:t>
      </w:r>
      <w:r>
        <w:rPr>
          <w:rFonts w:hint="eastAsia"/>
          <w:color w:val="auto"/>
          <w:highlight w:val="none"/>
        </w:rPr>
        <w:t>。</w:t>
      </w:r>
    </w:p>
    <w:p w14:paraId="7755FCF2">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费用</w:t>
      </w:r>
    </w:p>
    <w:p w14:paraId="7FB000C4">
      <w:pPr>
        <w:pStyle w:val="45"/>
        <w:spacing w:before="156"/>
        <w:ind w:firstLine="480"/>
        <w:rPr>
          <w:color w:val="auto"/>
          <w:highlight w:val="none"/>
        </w:rPr>
      </w:pPr>
      <w:r>
        <w:rPr>
          <w:rFonts w:hint="eastAsia"/>
          <w:color w:val="auto"/>
          <w:highlight w:val="none"/>
        </w:rPr>
        <w:t>不论谈判的结果如何，供应商应承担其所有与准备和参加谈判有关的费用。</w:t>
      </w:r>
    </w:p>
    <w:p w14:paraId="35F1B8CD">
      <w:pPr>
        <w:pStyle w:val="6"/>
        <w:numPr>
          <w:ilvl w:val="0"/>
          <w:numId w:val="8"/>
        </w:numPr>
        <w:ind w:firstLine="480"/>
        <w:outlineLvl w:val="2"/>
        <w:rPr>
          <w:color w:val="auto"/>
          <w:highlight w:val="none"/>
        </w:rPr>
      </w:pPr>
      <w:r>
        <w:rPr>
          <w:rFonts w:hint="eastAsia"/>
          <w:color w:val="auto"/>
          <w:highlight w:val="none"/>
        </w:rPr>
        <w:t>节能产品、环境标志产品</w:t>
      </w:r>
    </w:p>
    <w:p w14:paraId="3FCED872">
      <w:pPr>
        <w:pStyle w:val="45"/>
        <w:numPr>
          <w:ilvl w:val="0"/>
          <w:numId w:val="15"/>
        </w:numPr>
        <w:spacing w:before="156"/>
        <w:ind w:firstLine="480"/>
        <w:rPr>
          <w:color w:val="auto"/>
          <w:highlight w:val="none"/>
        </w:rPr>
      </w:pPr>
      <w:r>
        <w:rPr>
          <w:rFonts w:hint="eastAsia"/>
          <w:color w:val="auto"/>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37FC547">
      <w:pPr>
        <w:pStyle w:val="45"/>
        <w:numPr>
          <w:ilvl w:val="0"/>
          <w:numId w:val="15"/>
        </w:numPr>
        <w:spacing w:before="156"/>
        <w:ind w:firstLine="480"/>
        <w:rPr>
          <w:color w:val="auto"/>
          <w:highlight w:val="none"/>
        </w:rPr>
      </w:pPr>
      <w:r>
        <w:rPr>
          <w:rFonts w:hint="eastAsia"/>
          <w:color w:val="auto"/>
          <w:highlight w:val="none"/>
          <w:lang w:eastAsia="zh-CN"/>
        </w:rPr>
        <w:t>采购人</w:t>
      </w:r>
      <w:r>
        <w:rPr>
          <w:rFonts w:hint="eastAsia"/>
          <w:color w:val="auto"/>
          <w:highlight w:val="none"/>
        </w:rPr>
        <w:t>拟采购的产品属于品目清单范围的，</w:t>
      </w:r>
      <w:r>
        <w:rPr>
          <w:rFonts w:hint="eastAsia"/>
          <w:color w:val="auto"/>
          <w:highlight w:val="none"/>
          <w:lang w:eastAsia="zh-CN"/>
        </w:rPr>
        <w:t>采购人</w:t>
      </w:r>
      <w:r>
        <w:rPr>
          <w:rFonts w:hint="eastAsia"/>
          <w:color w:val="auto"/>
          <w:highlight w:val="none"/>
        </w:rPr>
        <w:t>及其委托的</w:t>
      </w:r>
      <w:r>
        <w:rPr>
          <w:rFonts w:hint="eastAsia"/>
          <w:color w:val="auto"/>
          <w:highlight w:val="none"/>
          <w:lang w:eastAsia="zh-CN"/>
        </w:rPr>
        <w:t>采购代理机构</w:t>
      </w:r>
      <w:r>
        <w:rPr>
          <w:rFonts w:hint="eastAsia"/>
          <w:color w:val="auto"/>
          <w:highlight w:val="none"/>
        </w:rPr>
        <w:t>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09C1CE29">
      <w:pPr>
        <w:pStyle w:val="45"/>
        <w:numPr>
          <w:ilvl w:val="0"/>
          <w:numId w:val="15"/>
        </w:numPr>
        <w:spacing w:before="156"/>
        <w:ind w:firstLine="480"/>
        <w:rPr>
          <w:color w:val="auto"/>
          <w:highlight w:val="none"/>
        </w:rPr>
      </w:pPr>
      <w:r>
        <w:rPr>
          <w:rFonts w:hint="eastAsia"/>
          <w:color w:val="auto"/>
          <w:highlight w:val="none"/>
        </w:rPr>
        <w:t>如本项目采购产品属于实施政府强制采购品目清单范围的节能产品，则</w:t>
      </w:r>
      <w:r>
        <w:rPr>
          <w:rFonts w:hint="eastAsia"/>
          <w:color w:val="auto"/>
          <w:highlight w:val="none"/>
          <w:lang w:eastAsia="zh-CN"/>
        </w:rPr>
        <w:t>供应商</w:t>
      </w:r>
      <w:r>
        <w:rPr>
          <w:rFonts w:hint="eastAsia"/>
          <w:color w:val="auto"/>
          <w:highlight w:val="none"/>
        </w:rPr>
        <w:t>所报产品必须获得国家确定的认证机构出具的、处于有效期之内的节能产品认证证书，否则响应无效；</w:t>
      </w:r>
    </w:p>
    <w:p w14:paraId="30224201">
      <w:pPr>
        <w:pStyle w:val="45"/>
        <w:numPr>
          <w:ilvl w:val="0"/>
          <w:numId w:val="15"/>
        </w:numPr>
        <w:spacing w:before="156"/>
        <w:ind w:firstLine="480"/>
        <w:rPr>
          <w:color w:val="auto"/>
          <w:highlight w:val="none"/>
        </w:rPr>
      </w:pPr>
      <w:r>
        <w:rPr>
          <w:rFonts w:hint="eastAsia"/>
          <w:color w:val="auto"/>
          <w:highlight w:val="none"/>
        </w:rPr>
        <w:t>非政府强制采购的节能产品或环境标志产品，依据品目清单和认证证书实施政府优先采购。优先采购的具体规定见第四章《评审方法和评审标准》（如涉及）。</w:t>
      </w:r>
    </w:p>
    <w:p w14:paraId="3036C7BC">
      <w:pPr>
        <w:pStyle w:val="6"/>
        <w:numPr>
          <w:ilvl w:val="0"/>
          <w:numId w:val="8"/>
        </w:numPr>
        <w:ind w:firstLine="480"/>
        <w:outlineLvl w:val="2"/>
        <w:rPr>
          <w:color w:val="auto"/>
          <w:highlight w:val="none"/>
        </w:rPr>
      </w:pPr>
      <w:r>
        <w:rPr>
          <w:rFonts w:hint="eastAsia"/>
          <w:color w:val="auto"/>
          <w:highlight w:val="none"/>
          <w:lang w:val="en-US" w:eastAsia="zh-CN"/>
        </w:rPr>
        <w:t>适用法律</w:t>
      </w:r>
    </w:p>
    <w:p w14:paraId="22E76BB2">
      <w:pPr>
        <w:pStyle w:val="45"/>
        <w:numPr>
          <w:ilvl w:val="0"/>
          <w:numId w:val="0"/>
        </w:numPr>
        <w:spacing w:before="156"/>
        <w:ind w:firstLine="480" w:firstLineChars="200"/>
        <w:rPr>
          <w:rFonts w:hint="eastAsia"/>
          <w:color w:val="auto"/>
          <w:highlight w:val="none"/>
        </w:rPr>
      </w:pPr>
      <w:r>
        <w:rPr>
          <w:rFonts w:hint="eastAsia"/>
          <w:color w:val="auto"/>
          <w:highlight w:val="none"/>
          <w:lang w:val="en-US" w:eastAsia="zh-CN"/>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623B3391">
      <w:pPr>
        <w:pStyle w:val="6"/>
        <w:numPr>
          <w:ilvl w:val="0"/>
          <w:numId w:val="8"/>
        </w:numPr>
        <w:ind w:firstLine="480"/>
        <w:outlineLvl w:val="2"/>
        <w:rPr>
          <w:color w:val="auto"/>
          <w:highlight w:val="none"/>
        </w:rPr>
      </w:pPr>
      <w:r>
        <w:rPr>
          <w:rFonts w:hint="eastAsia"/>
          <w:color w:val="auto"/>
          <w:highlight w:val="none"/>
          <w:lang w:val="en-US" w:eastAsia="zh-CN"/>
        </w:rPr>
        <w:t>现场考察</w:t>
      </w:r>
    </w:p>
    <w:p w14:paraId="574F1D57">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供应商应按</w:t>
      </w:r>
      <w:r>
        <w:rPr>
          <w:rFonts w:hint="eastAsia"/>
          <w:b/>
          <w:bCs/>
          <w:color w:val="auto"/>
          <w:highlight w:val="none"/>
        </w:rPr>
        <w:t>【供应商须知前附表】</w:t>
      </w:r>
      <w:r>
        <w:rPr>
          <w:rFonts w:hint="eastAsia"/>
          <w:color w:val="auto"/>
          <w:highlight w:val="none"/>
        </w:rPr>
        <w:t>中规定对采购项目现场和周围环境的现场考察；</w:t>
      </w:r>
    </w:p>
    <w:p w14:paraId="7AB785E8">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rFonts w:hint="eastAsia"/>
          <w:color w:val="auto"/>
          <w:highlight w:val="none"/>
        </w:rPr>
      </w:pPr>
      <w:r>
        <w:rPr>
          <w:rFonts w:hint="eastAsia"/>
          <w:color w:val="auto"/>
          <w:highlight w:val="none"/>
        </w:rPr>
        <w:t>考察现场的费用由供应商自己承担，考察期间所发生的人身伤害及财产损失由供应商自己负责；</w:t>
      </w:r>
    </w:p>
    <w:p w14:paraId="44A16E9B">
      <w:pPr>
        <w:pStyle w:val="45"/>
        <w:keepNext w:val="0"/>
        <w:keepLines w:val="0"/>
        <w:pageBreakBefore w:val="0"/>
        <w:widowControl w:val="0"/>
        <w:numPr>
          <w:ilvl w:val="0"/>
          <w:numId w:val="16"/>
        </w:numPr>
        <w:kinsoku/>
        <w:wordWrap/>
        <w:overflowPunct/>
        <w:topLinePunct w:val="0"/>
        <w:autoSpaceDE/>
        <w:autoSpaceDN/>
        <w:bidi w:val="0"/>
        <w:adjustRightInd w:val="0"/>
        <w:snapToGrid w:val="0"/>
        <w:spacing w:before="156"/>
        <w:ind w:left="0" w:leftChars="0" w:firstLine="425" w:firstLineChars="0"/>
        <w:textAlignment w:val="auto"/>
        <w:rPr>
          <w:color w:val="auto"/>
          <w:highlight w:val="none"/>
        </w:rPr>
      </w:pPr>
      <w:r>
        <w:rPr>
          <w:rFonts w:hint="eastAsia"/>
          <w:color w:val="auto"/>
          <w:highlight w:val="none"/>
        </w:rPr>
        <w:t>采购人不对供应商据此而做出的推论、理解和结论负责。一旦成交，供应商不得以任何借口，提出额外补偿，或延长合同期限的要求。</w:t>
      </w:r>
    </w:p>
    <w:p w14:paraId="715BC113">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文件构成</w:t>
      </w:r>
    </w:p>
    <w:p w14:paraId="5A5A7D9D">
      <w:pPr>
        <w:pStyle w:val="45"/>
        <w:numPr>
          <w:ilvl w:val="0"/>
          <w:numId w:val="17"/>
        </w:numPr>
        <w:spacing w:before="156"/>
        <w:ind w:firstLine="480"/>
        <w:outlineLvl w:val="9"/>
        <w:rPr>
          <w:color w:val="auto"/>
          <w:highlight w:val="none"/>
        </w:rPr>
      </w:pPr>
      <w:r>
        <w:rPr>
          <w:rFonts w:hint="eastAsia"/>
          <w:color w:val="auto"/>
          <w:highlight w:val="none"/>
          <w:lang w:val="en-US" w:eastAsia="zh-CN"/>
        </w:rPr>
        <w:t>谈判</w:t>
      </w:r>
      <w:r>
        <w:rPr>
          <w:rFonts w:hint="eastAsia"/>
          <w:color w:val="auto"/>
          <w:highlight w:val="none"/>
        </w:rPr>
        <w:t>文件包括下列内容：</w:t>
      </w:r>
    </w:p>
    <w:p w14:paraId="750D41F0">
      <w:pPr>
        <w:pStyle w:val="45"/>
        <w:spacing w:before="156"/>
        <w:ind w:left="480" w:leftChars="200" w:firstLine="0" w:firstLineChars="0"/>
        <w:rPr>
          <w:color w:val="auto"/>
          <w:highlight w:val="none"/>
        </w:rPr>
      </w:pPr>
      <w:r>
        <w:rPr>
          <w:rFonts w:hint="eastAsia"/>
          <w:color w:val="auto"/>
          <w:highlight w:val="none"/>
        </w:rPr>
        <w:t>第一章 </w:t>
      </w:r>
      <w:r>
        <w:rPr>
          <w:rFonts w:hint="eastAsia"/>
          <w:color w:val="auto"/>
          <w:highlight w:val="none"/>
          <w:lang w:val="en-US" w:eastAsia="zh-CN"/>
        </w:rPr>
        <w:t>竞争性谈判</w:t>
      </w:r>
      <w:r>
        <w:rPr>
          <w:rFonts w:hint="eastAsia"/>
          <w:color w:val="auto"/>
          <w:highlight w:val="none"/>
        </w:rPr>
        <w:t>公告</w:t>
      </w:r>
    </w:p>
    <w:p w14:paraId="6687D86B">
      <w:pPr>
        <w:pStyle w:val="45"/>
        <w:spacing w:before="156"/>
        <w:ind w:left="480" w:leftChars="200" w:firstLine="0" w:firstLineChars="0"/>
        <w:rPr>
          <w:color w:val="auto"/>
          <w:highlight w:val="none"/>
        </w:rPr>
      </w:pPr>
      <w:r>
        <w:rPr>
          <w:rFonts w:hint="eastAsia"/>
          <w:color w:val="auto"/>
          <w:highlight w:val="none"/>
        </w:rPr>
        <w:t>第二章 </w:t>
      </w:r>
      <w:r>
        <w:rPr>
          <w:rFonts w:hint="eastAsia"/>
          <w:color w:val="auto"/>
          <w:highlight w:val="none"/>
          <w:lang w:eastAsia="zh-CN"/>
        </w:rPr>
        <w:t>供应商</w:t>
      </w:r>
      <w:r>
        <w:rPr>
          <w:rFonts w:hint="eastAsia"/>
          <w:color w:val="auto"/>
          <w:highlight w:val="none"/>
        </w:rPr>
        <w:t>须知</w:t>
      </w:r>
    </w:p>
    <w:p w14:paraId="2B6F928F">
      <w:pPr>
        <w:pStyle w:val="45"/>
        <w:spacing w:before="156"/>
        <w:ind w:left="480" w:leftChars="200" w:firstLine="0" w:firstLineChars="0"/>
        <w:rPr>
          <w:color w:val="auto"/>
          <w:highlight w:val="none"/>
        </w:rPr>
      </w:pPr>
      <w:r>
        <w:rPr>
          <w:rFonts w:hint="eastAsia"/>
          <w:color w:val="auto"/>
          <w:highlight w:val="none"/>
        </w:rPr>
        <w:t xml:space="preserve">第三章 </w:t>
      </w:r>
      <w:r>
        <w:rPr>
          <w:rFonts w:hint="eastAsia"/>
          <w:color w:val="auto"/>
          <w:highlight w:val="none"/>
          <w:lang w:val="en-US" w:eastAsia="zh-CN"/>
        </w:rPr>
        <w:t>采购</w:t>
      </w:r>
      <w:r>
        <w:rPr>
          <w:rFonts w:hint="eastAsia"/>
          <w:color w:val="auto"/>
          <w:highlight w:val="none"/>
        </w:rPr>
        <w:t>需求</w:t>
      </w:r>
    </w:p>
    <w:p w14:paraId="63A51D75">
      <w:pPr>
        <w:pStyle w:val="45"/>
        <w:spacing w:before="156"/>
        <w:ind w:left="480" w:leftChars="200" w:firstLine="0" w:firstLineChars="0"/>
        <w:rPr>
          <w:color w:val="auto"/>
          <w:highlight w:val="none"/>
        </w:rPr>
      </w:pPr>
      <w:r>
        <w:rPr>
          <w:rFonts w:hint="eastAsia"/>
          <w:color w:val="auto"/>
          <w:highlight w:val="none"/>
        </w:rPr>
        <w:t>第四章 评审方法及标准</w:t>
      </w:r>
    </w:p>
    <w:p w14:paraId="4E597557">
      <w:pPr>
        <w:pStyle w:val="45"/>
        <w:spacing w:before="156"/>
        <w:ind w:left="480" w:leftChars="200" w:firstLine="0" w:firstLineChars="0"/>
        <w:rPr>
          <w:color w:val="auto"/>
          <w:highlight w:val="none"/>
        </w:rPr>
      </w:pPr>
      <w:r>
        <w:rPr>
          <w:rFonts w:hint="eastAsia"/>
          <w:color w:val="auto"/>
          <w:highlight w:val="none"/>
        </w:rPr>
        <w:t>第五章 政府采购合同</w:t>
      </w:r>
      <w:r>
        <w:rPr>
          <w:rFonts w:hint="eastAsia"/>
          <w:color w:val="auto"/>
          <w:highlight w:val="none"/>
          <w:lang w:val="en-US" w:eastAsia="zh-CN"/>
        </w:rPr>
        <w:t>参考范本</w:t>
      </w:r>
      <w:r>
        <w:rPr>
          <w:rFonts w:hint="eastAsia"/>
          <w:color w:val="auto"/>
          <w:highlight w:val="none"/>
        </w:rPr>
        <w:t xml:space="preserve"> </w:t>
      </w:r>
    </w:p>
    <w:p w14:paraId="0543B209">
      <w:pPr>
        <w:pStyle w:val="45"/>
        <w:spacing w:before="156"/>
        <w:ind w:left="480" w:leftChars="200" w:firstLine="0" w:firstLineChars="0"/>
        <w:rPr>
          <w:color w:val="auto"/>
          <w:highlight w:val="none"/>
        </w:rPr>
      </w:pPr>
      <w:r>
        <w:rPr>
          <w:rFonts w:hint="eastAsia"/>
          <w:color w:val="auto"/>
          <w:highlight w:val="none"/>
        </w:rPr>
        <w:t>第六章 响应文件组成</w:t>
      </w:r>
    </w:p>
    <w:p w14:paraId="6772DBF5">
      <w:pPr>
        <w:pStyle w:val="45"/>
        <w:spacing w:before="156"/>
        <w:ind w:left="480" w:leftChars="200" w:firstLine="0" w:firstLineChars="0"/>
        <w:rPr>
          <w:color w:val="auto"/>
          <w:highlight w:val="none"/>
        </w:rPr>
      </w:pPr>
      <w:r>
        <w:rPr>
          <w:rFonts w:hint="eastAsia"/>
          <w:color w:val="auto"/>
          <w:highlight w:val="none"/>
        </w:rPr>
        <w:t>第七章 政府采购供应商质疑函范本</w:t>
      </w:r>
    </w:p>
    <w:p w14:paraId="361542C6">
      <w:pPr>
        <w:pStyle w:val="45"/>
        <w:numPr>
          <w:ilvl w:val="0"/>
          <w:numId w:val="17"/>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文件中有不一致的，有澄清的部分以最终的澄清更正内容为准。</w:t>
      </w:r>
    </w:p>
    <w:p w14:paraId="66F86E28">
      <w:pPr>
        <w:pStyle w:val="45"/>
        <w:numPr>
          <w:ilvl w:val="0"/>
          <w:numId w:val="17"/>
        </w:numPr>
        <w:spacing w:before="156"/>
        <w:ind w:firstLine="480"/>
        <w:outlineLvl w:val="9"/>
        <w:rPr>
          <w:color w:val="auto"/>
          <w:highlight w:val="none"/>
        </w:rPr>
      </w:pPr>
      <w:r>
        <w:rPr>
          <w:rFonts w:hint="eastAsia"/>
          <w:color w:val="auto"/>
          <w:highlight w:val="none"/>
        </w:rPr>
        <w:t>现场考察及相关事项见</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p>
    <w:p w14:paraId="0390284E">
      <w:pPr>
        <w:pStyle w:val="45"/>
        <w:numPr>
          <w:ilvl w:val="0"/>
          <w:numId w:val="17"/>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应认真阅读</w:t>
      </w:r>
      <w:r>
        <w:rPr>
          <w:rFonts w:hint="eastAsia"/>
          <w:color w:val="auto"/>
          <w:highlight w:val="none"/>
          <w:lang w:val="en-US" w:eastAsia="zh-CN"/>
        </w:rPr>
        <w:t>谈判</w:t>
      </w:r>
      <w:r>
        <w:rPr>
          <w:rFonts w:hint="eastAsia"/>
          <w:color w:val="auto"/>
          <w:highlight w:val="none"/>
        </w:rPr>
        <w:t>文件所有的事项、格式、条款和技术规范等。</w:t>
      </w:r>
    </w:p>
    <w:p w14:paraId="050729E0">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文件的澄清与修改</w:t>
      </w:r>
    </w:p>
    <w:p w14:paraId="5C5901E7">
      <w:pPr>
        <w:pStyle w:val="45"/>
        <w:numPr>
          <w:ilvl w:val="0"/>
          <w:numId w:val="18"/>
        </w:numPr>
        <w:spacing w:before="156"/>
        <w:ind w:firstLine="480"/>
        <w:rPr>
          <w:color w:val="auto"/>
          <w:highlight w:val="none"/>
        </w:rPr>
      </w:pPr>
      <w:r>
        <w:rPr>
          <w:rFonts w:hint="eastAsia"/>
          <w:bCs/>
          <w:color w:val="auto"/>
          <w:highlight w:val="none"/>
        </w:rPr>
        <w:t>供应商如</w:t>
      </w:r>
      <w:r>
        <w:rPr>
          <w:rFonts w:hint="eastAsia"/>
          <w:color w:val="auto"/>
          <w:highlight w:val="none"/>
        </w:rPr>
        <w:t>对谈判文件内容有疑问，必须在</w:t>
      </w:r>
      <w:r>
        <w:rPr>
          <w:rFonts w:hint="eastAsia"/>
          <w:b/>
          <w:color w:val="auto"/>
          <w:highlight w:val="none"/>
        </w:rPr>
        <w:t>【供应商须知前附表】</w:t>
      </w:r>
      <w:r>
        <w:rPr>
          <w:rFonts w:hint="eastAsia"/>
          <w:color w:val="auto"/>
          <w:highlight w:val="none"/>
        </w:rPr>
        <w:t>规定的询问截止时间前以书面提问形式提交给采购代理机构。</w:t>
      </w:r>
    </w:p>
    <w:p w14:paraId="56C43CF3">
      <w:pPr>
        <w:pStyle w:val="45"/>
        <w:numPr>
          <w:ilvl w:val="0"/>
          <w:numId w:val="18"/>
        </w:numPr>
        <w:spacing w:before="156"/>
        <w:ind w:firstLine="480"/>
        <w:rPr>
          <w:color w:val="auto"/>
          <w:highlight w:val="none"/>
        </w:rPr>
      </w:pPr>
      <w:r>
        <w:rPr>
          <w:rFonts w:hint="eastAsia"/>
          <w:color w:val="auto"/>
          <w:highlight w:val="none"/>
        </w:rPr>
        <w:t>采购人可主动地或在解答供应商提出的问题时对谈判文件进行澄清与修改。采购代理机构将在湖南省政府采购网及张家界市公共资源交易网以发布澄清（更正）公告的方式，澄清或修改谈判文件，澄清或修改的内容作为谈判文件的组成部分，对供应商起约束作用。供应商应主动上网查询。采购代理机构不承担供应商未及时关注相关信息引发的相关责任。</w:t>
      </w:r>
    </w:p>
    <w:p w14:paraId="2A3655B8">
      <w:pPr>
        <w:pStyle w:val="45"/>
        <w:numPr>
          <w:ilvl w:val="0"/>
          <w:numId w:val="18"/>
        </w:numPr>
        <w:spacing w:before="156"/>
        <w:ind w:firstLine="480"/>
        <w:rPr>
          <w:color w:val="auto"/>
          <w:highlight w:val="none"/>
        </w:rPr>
      </w:pPr>
      <w:r>
        <w:rPr>
          <w:rFonts w:hint="eastAsia"/>
          <w:color w:val="auto"/>
          <w:highlight w:val="none"/>
        </w:rPr>
        <w:t>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31CF88ED">
      <w:pPr>
        <w:pStyle w:val="45"/>
        <w:numPr>
          <w:ilvl w:val="0"/>
          <w:numId w:val="18"/>
        </w:numPr>
        <w:spacing w:before="156"/>
        <w:ind w:firstLine="480"/>
        <w:rPr>
          <w:color w:val="auto"/>
          <w:highlight w:val="none"/>
        </w:rPr>
      </w:pPr>
      <w:r>
        <w:rPr>
          <w:rFonts w:hint="eastAsia"/>
          <w:color w:val="auto"/>
          <w:highlight w:val="none"/>
        </w:rPr>
        <w:t>对于没有提出疑问又参与了本项目谈判的供应商将被视为完全认同本谈判文件（含澄清或修改的内容）。</w:t>
      </w:r>
    </w:p>
    <w:p w14:paraId="405771EB">
      <w:pPr>
        <w:pStyle w:val="6"/>
        <w:numPr>
          <w:ilvl w:val="0"/>
          <w:numId w:val="8"/>
        </w:numPr>
        <w:ind w:firstLine="480"/>
        <w:outlineLvl w:val="2"/>
        <w:rPr>
          <w:color w:val="auto"/>
          <w:highlight w:val="none"/>
        </w:rPr>
      </w:pPr>
      <w:r>
        <w:rPr>
          <w:rFonts w:hint="eastAsia"/>
          <w:color w:val="auto"/>
          <w:highlight w:val="none"/>
        </w:rPr>
        <w:t>响应范围及响应文件中标准和计量单位的使用</w:t>
      </w:r>
    </w:p>
    <w:p w14:paraId="4A9EC822">
      <w:pPr>
        <w:pStyle w:val="45"/>
        <w:numPr>
          <w:ilvl w:val="0"/>
          <w:numId w:val="19"/>
        </w:numPr>
        <w:spacing w:before="156"/>
        <w:ind w:firstLine="480"/>
        <w:rPr>
          <w:color w:val="auto"/>
          <w:highlight w:val="none"/>
        </w:rPr>
      </w:pPr>
      <w:r>
        <w:rPr>
          <w:rFonts w:hint="eastAsia"/>
          <w:color w:val="auto"/>
          <w:highlight w:val="none"/>
        </w:rPr>
        <w:t>项目有分包的，供应商可参与其中某一个或多个分包的谈判，成交包数详见</w:t>
      </w:r>
      <w:r>
        <w:rPr>
          <w:rFonts w:hint="eastAsia"/>
          <w:b/>
          <w:color w:val="auto"/>
          <w:highlight w:val="none"/>
        </w:rPr>
        <w:t>【供应商须知前附表】</w:t>
      </w:r>
      <w:r>
        <w:rPr>
          <w:rFonts w:hint="eastAsia"/>
          <w:color w:val="auto"/>
          <w:highlight w:val="none"/>
        </w:rPr>
        <w:t>中规定。</w:t>
      </w:r>
    </w:p>
    <w:p w14:paraId="5D0F8CE6">
      <w:pPr>
        <w:pStyle w:val="45"/>
        <w:numPr>
          <w:ilvl w:val="0"/>
          <w:numId w:val="19"/>
        </w:numPr>
        <w:spacing w:before="156"/>
        <w:ind w:firstLine="480"/>
        <w:rPr>
          <w:color w:val="auto"/>
          <w:highlight w:val="none"/>
        </w:rPr>
      </w:pPr>
      <w:r>
        <w:rPr>
          <w:rFonts w:hint="eastAsia"/>
          <w:color w:val="auto"/>
          <w:highlight w:val="none"/>
        </w:rPr>
        <w:t>无论谈判文件中是否要求，供应商所投货物及伴随的服务和工程均应符合国家强制性标准。</w:t>
      </w:r>
    </w:p>
    <w:p w14:paraId="23A9C1C6">
      <w:pPr>
        <w:pStyle w:val="45"/>
        <w:numPr>
          <w:ilvl w:val="0"/>
          <w:numId w:val="19"/>
        </w:numPr>
        <w:spacing w:before="156"/>
        <w:ind w:firstLine="480"/>
        <w:rPr>
          <w:color w:val="auto"/>
          <w:highlight w:val="none"/>
        </w:rPr>
      </w:pPr>
      <w:r>
        <w:rPr>
          <w:rFonts w:hint="eastAsia"/>
          <w:color w:val="auto"/>
          <w:highlight w:val="none"/>
        </w:rPr>
        <w:t>供应商与采购代理机构之间与谈判有关的所有往来通知、函件和响应文件均用中文表述。供应商随响应文件提供的证明文件和资料可以为其他语言，但必须附中文译文。翻译的中文资料与外文资料如果出现差异时，以中文为准。</w:t>
      </w:r>
    </w:p>
    <w:p w14:paraId="17B1D53D">
      <w:pPr>
        <w:pStyle w:val="45"/>
        <w:numPr>
          <w:ilvl w:val="0"/>
          <w:numId w:val="19"/>
        </w:numPr>
        <w:spacing w:before="156"/>
        <w:ind w:firstLine="480"/>
        <w:rPr>
          <w:color w:val="auto"/>
          <w:highlight w:val="none"/>
        </w:rPr>
      </w:pPr>
      <w:r>
        <w:rPr>
          <w:rFonts w:hint="eastAsia"/>
          <w:color w:val="auto"/>
          <w:highlight w:val="none"/>
        </w:rPr>
        <w:t>除谈判文件中有特殊要求外，响应文件中所使用的计量单位，应采用中华人民共和国法定计量单位。</w:t>
      </w:r>
    </w:p>
    <w:p w14:paraId="6F7CC4B7">
      <w:pPr>
        <w:pStyle w:val="6"/>
        <w:numPr>
          <w:ilvl w:val="0"/>
          <w:numId w:val="8"/>
        </w:numPr>
        <w:ind w:firstLine="480"/>
        <w:outlineLvl w:val="2"/>
        <w:rPr>
          <w:color w:val="auto"/>
          <w:highlight w:val="none"/>
        </w:rPr>
      </w:pPr>
      <w:r>
        <w:rPr>
          <w:rFonts w:hint="eastAsia"/>
          <w:color w:val="auto"/>
          <w:highlight w:val="none"/>
        </w:rPr>
        <w:t>响应文件构成</w:t>
      </w:r>
    </w:p>
    <w:p w14:paraId="4C21A503">
      <w:pPr>
        <w:pStyle w:val="45"/>
        <w:numPr>
          <w:ilvl w:val="0"/>
          <w:numId w:val="20"/>
        </w:numPr>
        <w:spacing w:before="156"/>
        <w:ind w:firstLine="480"/>
        <w:rPr>
          <w:color w:val="auto"/>
          <w:highlight w:val="none"/>
        </w:rPr>
      </w:pPr>
      <w:r>
        <w:rPr>
          <w:rFonts w:hint="eastAsia"/>
          <w:color w:val="auto"/>
          <w:highlight w:val="none"/>
        </w:rPr>
        <w:t>供应商应完整地按谈判文件提供的响应文件格式及要求编写响应文件，具体内容详见</w:t>
      </w:r>
      <w:r>
        <w:rPr>
          <w:rFonts w:hint="eastAsia"/>
          <w:b/>
          <w:bCs/>
          <w:color w:val="auto"/>
          <w:highlight w:val="none"/>
        </w:rPr>
        <w:t>第六章响应文件</w:t>
      </w:r>
      <w:r>
        <w:rPr>
          <w:rFonts w:hint="eastAsia"/>
          <w:b/>
          <w:bCs/>
          <w:color w:val="auto"/>
          <w:highlight w:val="none"/>
          <w:lang w:val="en-US" w:eastAsia="zh-CN"/>
        </w:rPr>
        <w:t>组成</w:t>
      </w:r>
      <w:r>
        <w:rPr>
          <w:rFonts w:hint="eastAsia"/>
          <w:color w:val="auto"/>
          <w:highlight w:val="none"/>
        </w:rPr>
        <w:t>的相关内容。</w:t>
      </w:r>
    </w:p>
    <w:p w14:paraId="350C40A0">
      <w:pPr>
        <w:pStyle w:val="45"/>
        <w:numPr>
          <w:ilvl w:val="0"/>
          <w:numId w:val="20"/>
        </w:numPr>
        <w:spacing w:before="156"/>
        <w:ind w:firstLine="480"/>
        <w:outlineLvl w:val="9"/>
        <w:rPr>
          <w:color w:val="auto"/>
          <w:highlight w:val="none"/>
        </w:rPr>
      </w:pPr>
      <w:r>
        <w:rPr>
          <w:rFonts w:hint="eastAsia"/>
          <w:color w:val="auto"/>
          <w:highlight w:val="none"/>
        </w:rPr>
        <w:t>上述文件应按照</w:t>
      </w:r>
      <w:r>
        <w:rPr>
          <w:rFonts w:hint="eastAsia"/>
          <w:color w:val="auto"/>
          <w:highlight w:val="none"/>
          <w:lang w:val="en-US" w:eastAsia="zh-CN"/>
        </w:rPr>
        <w:t>谈判</w:t>
      </w:r>
      <w:r>
        <w:rPr>
          <w:rFonts w:hint="eastAsia"/>
          <w:color w:val="auto"/>
          <w:highlight w:val="none"/>
        </w:rPr>
        <w:t>文件规定的格式填写、签署和盖章。</w:t>
      </w:r>
    </w:p>
    <w:p w14:paraId="58988EE5">
      <w:pPr>
        <w:pStyle w:val="6"/>
        <w:numPr>
          <w:ilvl w:val="0"/>
          <w:numId w:val="8"/>
        </w:numPr>
        <w:ind w:firstLine="480"/>
        <w:outlineLvl w:val="2"/>
        <w:rPr>
          <w:color w:val="auto"/>
          <w:highlight w:val="none"/>
        </w:rPr>
      </w:pPr>
      <w:r>
        <w:rPr>
          <w:rFonts w:hint="eastAsia"/>
          <w:color w:val="auto"/>
          <w:highlight w:val="none"/>
        </w:rPr>
        <w:t>证明响应标的的合格性和符合</w:t>
      </w:r>
      <w:r>
        <w:rPr>
          <w:rFonts w:hint="eastAsia"/>
          <w:color w:val="auto"/>
          <w:highlight w:val="none"/>
          <w:lang w:val="en-US" w:eastAsia="zh-CN"/>
        </w:rPr>
        <w:t>谈判</w:t>
      </w:r>
      <w:r>
        <w:rPr>
          <w:rFonts w:hint="eastAsia"/>
          <w:color w:val="auto"/>
          <w:highlight w:val="none"/>
        </w:rPr>
        <w:t>文件规定的响应文件</w:t>
      </w:r>
    </w:p>
    <w:p w14:paraId="1002DF16">
      <w:pPr>
        <w:pStyle w:val="45"/>
        <w:numPr>
          <w:ilvl w:val="0"/>
          <w:numId w:val="21"/>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应提交证明文件，证明其响应内容符合</w:t>
      </w:r>
      <w:r>
        <w:rPr>
          <w:rFonts w:hint="eastAsia"/>
          <w:color w:val="auto"/>
          <w:highlight w:val="none"/>
          <w:lang w:val="en-US" w:eastAsia="zh-CN"/>
        </w:rPr>
        <w:t>谈判</w:t>
      </w:r>
      <w:r>
        <w:rPr>
          <w:rFonts w:hint="eastAsia"/>
          <w:color w:val="auto"/>
          <w:highlight w:val="none"/>
        </w:rPr>
        <w:t>文件规定。该证明文件是响应文件的一部分。</w:t>
      </w:r>
    </w:p>
    <w:p w14:paraId="18399143">
      <w:pPr>
        <w:pStyle w:val="45"/>
        <w:numPr>
          <w:ilvl w:val="0"/>
          <w:numId w:val="21"/>
        </w:numPr>
        <w:spacing w:before="156"/>
        <w:ind w:firstLine="480"/>
        <w:outlineLvl w:val="9"/>
        <w:rPr>
          <w:color w:val="auto"/>
          <w:highlight w:val="none"/>
        </w:rPr>
      </w:pPr>
      <w:r>
        <w:rPr>
          <w:rFonts w:hint="eastAsia"/>
          <w:color w:val="auto"/>
          <w:highlight w:val="none"/>
        </w:rPr>
        <w:t>上款所述的证明文件，可以是文字资料、图纸和数据。</w:t>
      </w:r>
    </w:p>
    <w:p w14:paraId="23CE8E17">
      <w:pPr>
        <w:pStyle w:val="45"/>
        <w:numPr>
          <w:ilvl w:val="0"/>
          <w:numId w:val="21"/>
        </w:numPr>
        <w:spacing w:before="156"/>
        <w:ind w:firstLine="480"/>
        <w:rPr>
          <w:color w:val="auto"/>
          <w:highlight w:val="none"/>
        </w:rPr>
      </w:pPr>
      <w:r>
        <w:rPr>
          <w:rFonts w:hint="eastAsia"/>
          <w:color w:val="auto"/>
          <w:highlight w:val="none"/>
        </w:rPr>
        <w:t>本条所指证明文件不包括对</w:t>
      </w:r>
      <w:r>
        <w:rPr>
          <w:rFonts w:hint="eastAsia"/>
          <w:color w:val="auto"/>
          <w:highlight w:val="none"/>
          <w:lang w:val="en-US" w:eastAsia="zh-CN"/>
        </w:rPr>
        <w:t>谈判</w:t>
      </w:r>
      <w:r>
        <w:rPr>
          <w:rFonts w:hint="eastAsia"/>
          <w:color w:val="auto"/>
          <w:highlight w:val="none"/>
        </w:rPr>
        <w:t>文件相关部分的文字、图标的复制。</w:t>
      </w:r>
    </w:p>
    <w:p w14:paraId="35889164">
      <w:pPr>
        <w:pStyle w:val="45"/>
        <w:numPr>
          <w:ilvl w:val="0"/>
          <w:numId w:val="21"/>
        </w:numPr>
        <w:spacing w:before="156"/>
        <w:ind w:firstLine="480"/>
        <w:rPr>
          <w:color w:val="auto"/>
          <w:highlight w:val="none"/>
        </w:rPr>
      </w:pPr>
      <w:r>
        <w:rPr>
          <w:rFonts w:hint="eastAsia"/>
          <w:color w:val="auto"/>
          <w:highlight w:val="none"/>
        </w:rPr>
        <w:t>为保证公平公正，除非另有规定或说明，</w:t>
      </w:r>
      <w:r>
        <w:rPr>
          <w:rFonts w:hint="eastAsia"/>
          <w:color w:val="auto"/>
          <w:highlight w:val="none"/>
          <w:lang w:eastAsia="zh-CN"/>
        </w:rPr>
        <w:t>供应商</w:t>
      </w:r>
      <w:r>
        <w:rPr>
          <w:rFonts w:hint="eastAsia"/>
          <w:color w:val="auto"/>
          <w:highlight w:val="none"/>
        </w:rPr>
        <w:t>对同一项目响应时，不得同时提供备选响应方案。</w:t>
      </w:r>
    </w:p>
    <w:p w14:paraId="620D7A5A">
      <w:pPr>
        <w:pStyle w:val="6"/>
        <w:numPr>
          <w:ilvl w:val="0"/>
          <w:numId w:val="8"/>
        </w:numPr>
        <w:ind w:firstLine="480"/>
        <w:outlineLvl w:val="2"/>
        <w:rPr>
          <w:color w:val="auto"/>
          <w:highlight w:val="none"/>
        </w:rPr>
      </w:pPr>
      <w:r>
        <w:rPr>
          <w:rFonts w:hint="eastAsia"/>
          <w:color w:val="auto"/>
          <w:highlight w:val="none"/>
        </w:rPr>
        <w:t>报价</w:t>
      </w:r>
    </w:p>
    <w:p w14:paraId="6075A380">
      <w:pPr>
        <w:pStyle w:val="45"/>
        <w:numPr>
          <w:ilvl w:val="0"/>
          <w:numId w:val="22"/>
        </w:numPr>
        <w:spacing w:before="156"/>
        <w:ind w:firstLine="480"/>
        <w:rPr>
          <w:color w:val="auto"/>
          <w:highlight w:val="none"/>
        </w:rPr>
      </w:pPr>
      <w:r>
        <w:rPr>
          <w:rFonts w:hint="eastAsia"/>
          <w:color w:val="auto"/>
          <w:highlight w:val="none"/>
          <w:lang w:eastAsia="zh-CN"/>
        </w:rPr>
        <w:t>供应商</w:t>
      </w:r>
      <w:r>
        <w:rPr>
          <w:rFonts w:hint="eastAsia"/>
          <w:color w:val="auto"/>
          <w:highlight w:val="none"/>
        </w:rPr>
        <w:t>的报价应当包括满足本次</w:t>
      </w:r>
      <w:r>
        <w:rPr>
          <w:rFonts w:hint="eastAsia"/>
          <w:color w:val="auto"/>
          <w:highlight w:val="none"/>
          <w:lang w:val="en-US" w:eastAsia="zh-CN"/>
        </w:rPr>
        <w:t>谈判</w:t>
      </w:r>
      <w:r>
        <w:rPr>
          <w:rFonts w:hint="eastAsia"/>
          <w:color w:val="auto"/>
          <w:highlight w:val="none"/>
        </w:rPr>
        <w:t>全部项目需求所应提供的</w:t>
      </w:r>
      <w:r>
        <w:rPr>
          <w:rFonts w:hint="eastAsia"/>
          <w:color w:val="auto"/>
          <w:highlight w:val="none"/>
          <w:lang w:val="en-US" w:eastAsia="zh-CN"/>
        </w:rPr>
        <w:t>货物服务</w:t>
      </w:r>
      <w:r>
        <w:rPr>
          <w:rFonts w:hint="eastAsia"/>
          <w:color w:val="auto"/>
          <w:highlight w:val="none"/>
        </w:rPr>
        <w:t>，以及伴随的</w:t>
      </w:r>
      <w:r>
        <w:rPr>
          <w:rFonts w:hint="eastAsia"/>
          <w:color w:val="auto"/>
          <w:highlight w:val="none"/>
          <w:lang w:val="en-US" w:eastAsia="zh-CN"/>
        </w:rPr>
        <w:t>货物</w:t>
      </w:r>
      <w:r>
        <w:rPr>
          <w:rFonts w:hint="eastAsia"/>
          <w:color w:val="auto"/>
          <w:highlight w:val="none"/>
        </w:rPr>
        <w:t>和工程。所有报价均应以人民币报价。</w:t>
      </w:r>
    </w:p>
    <w:p w14:paraId="06E18C40">
      <w:pPr>
        <w:pStyle w:val="45"/>
        <w:numPr>
          <w:ilvl w:val="0"/>
          <w:numId w:val="22"/>
        </w:numPr>
        <w:spacing w:before="156"/>
        <w:ind w:firstLine="480"/>
        <w:rPr>
          <w:color w:val="auto"/>
          <w:highlight w:val="none"/>
        </w:rPr>
      </w:pPr>
      <w:r>
        <w:rPr>
          <w:rFonts w:hint="eastAsia"/>
          <w:color w:val="auto"/>
          <w:highlight w:val="none"/>
        </w:rPr>
        <w:t>报价在合同履行过程中是固定不变的，不得以任何理由予以变更。任何包含价格调整要求的谈判，其响应文件将被认定为</w:t>
      </w:r>
      <w:r>
        <w:rPr>
          <w:rFonts w:hint="eastAsia"/>
          <w:b/>
          <w:bCs/>
          <w:color w:val="auto"/>
          <w:highlight w:val="none"/>
        </w:rPr>
        <w:t>响应无效</w:t>
      </w:r>
      <w:r>
        <w:rPr>
          <w:rFonts w:hint="eastAsia"/>
          <w:color w:val="auto"/>
          <w:highlight w:val="none"/>
        </w:rPr>
        <w:t>。</w:t>
      </w:r>
    </w:p>
    <w:p w14:paraId="600B6937">
      <w:pPr>
        <w:pStyle w:val="45"/>
        <w:numPr>
          <w:ilvl w:val="0"/>
          <w:numId w:val="22"/>
        </w:numPr>
        <w:spacing w:before="156"/>
        <w:ind w:firstLine="480"/>
        <w:outlineLvl w:val="9"/>
        <w:rPr>
          <w:color w:val="auto"/>
          <w:highlight w:val="none"/>
        </w:rPr>
      </w:pPr>
      <w:r>
        <w:rPr>
          <w:rFonts w:hint="eastAsia"/>
          <w:color w:val="auto"/>
          <w:highlight w:val="none"/>
        </w:rPr>
        <w:t>采购人不接受具有附加条件的报价。</w:t>
      </w:r>
    </w:p>
    <w:p w14:paraId="52EEB24F">
      <w:pPr>
        <w:pStyle w:val="6"/>
        <w:numPr>
          <w:ilvl w:val="0"/>
          <w:numId w:val="8"/>
        </w:numPr>
        <w:ind w:firstLine="480"/>
        <w:outlineLvl w:val="2"/>
        <w:rPr>
          <w:color w:val="auto"/>
          <w:highlight w:val="none"/>
        </w:rPr>
      </w:pPr>
      <w:r>
        <w:rPr>
          <w:rFonts w:hint="eastAsia"/>
          <w:color w:val="auto"/>
          <w:highlight w:val="none"/>
          <w:lang w:val="en-US" w:eastAsia="zh-CN"/>
        </w:rPr>
        <w:t>谈判</w:t>
      </w:r>
      <w:r>
        <w:rPr>
          <w:rFonts w:hint="eastAsia"/>
          <w:color w:val="auto"/>
          <w:highlight w:val="none"/>
        </w:rPr>
        <w:t>保证金</w:t>
      </w:r>
    </w:p>
    <w:p w14:paraId="6E0E1417">
      <w:pPr>
        <w:pStyle w:val="45"/>
        <w:numPr>
          <w:ilvl w:val="0"/>
          <w:numId w:val="23"/>
        </w:numPr>
        <w:spacing w:before="156"/>
        <w:ind w:firstLine="480"/>
        <w:rPr>
          <w:color w:val="auto"/>
          <w:highlight w:val="none"/>
        </w:rPr>
      </w:pPr>
      <w:r>
        <w:rPr>
          <w:rFonts w:hint="eastAsia"/>
          <w:color w:val="auto"/>
          <w:highlight w:val="none"/>
        </w:rPr>
        <w:t>供应商应提交</w:t>
      </w:r>
      <w:r>
        <w:rPr>
          <w:rFonts w:hint="eastAsia"/>
          <w:b/>
          <w:bCs/>
          <w:color w:val="auto"/>
          <w:highlight w:val="none"/>
        </w:rPr>
        <w:t>【供应商须知前附表】</w:t>
      </w:r>
      <w:r>
        <w:rPr>
          <w:rFonts w:hint="eastAsia"/>
          <w:color w:val="auto"/>
          <w:highlight w:val="none"/>
        </w:rPr>
        <w:t>表中规定的谈判保证金，并作为其响应文件的一部分。供应商未按规定提交谈判保证金的，其响应文件将被认定为</w:t>
      </w:r>
      <w:r>
        <w:rPr>
          <w:rFonts w:hint="eastAsia"/>
          <w:b/>
          <w:bCs/>
          <w:color w:val="auto"/>
          <w:highlight w:val="none"/>
        </w:rPr>
        <w:t>响应无效</w:t>
      </w:r>
      <w:r>
        <w:rPr>
          <w:rFonts w:hint="eastAsia"/>
          <w:color w:val="auto"/>
          <w:highlight w:val="none"/>
        </w:rPr>
        <w:t>。</w:t>
      </w:r>
    </w:p>
    <w:p w14:paraId="434F07D2">
      <w:pPr>
        <w:pStyle w:val="45"/>
        <w:numPr>
          <w:ilvl w:val="0"/>
          <w:numId w:val="23"/>
        </w:numPr>
        <w:spacing w:before="156"/>
        <w:ind w:firstLine="480"/>
        <w:rPr>
          <w:color w:val="auto"/>
          <w:highlight w:val="none"/>
        </w:rPr>
      </w:pPr>
      <w:r>
        <w:rPr>
          <w:rFonts w:hint="eastAsia"/>
          <w:color w:val="auto"/>
          <w:highlight w:val="none"/>
          <w:lang w:val="en-US" w:eastAsia="zh-CN"/>
        </w:rPr>
        <w:t>谈判</w:t>
      </w:r>
      <w:r>
        <w:rPr>
          <w:rFonts w:hint="eastAsia"/>
          <w:color w:val="auto"/>
          <w:highlight w:val="none"/>
        </w:rPr>
        <w:t>保证金必须是从供应商单位的基本账户转入保证金的托管账户管理。采购人不接受以现金方式提交的保证金，以现金方式提交的保证金无效。联合体投标的，其保证金由牵头人递交。</w:t>
      </w:r>
    </w:p>
    <w:p w14:paraId="13E7CA13">
      <w:pPr>
        <w:pStyle w:val="45"/>
        <w:numPr>
          <w:ilvl w:val="0"/>
          <w:numId w:val="23"/>
        </w:numPr>
        <w:spacing w:before="156"/>
        <w:ind w:firstLine="480"/>
        <w:outlineLvl w:val="9"/>
        <w:rPr>
          <w:color w:val="auto"/>
          <w:highlight w:val="none"/>
        </w:rPr>
      </w:pPr>
      <w:r>
        <w:rPr>
          <w:rFonts w:hint="eastAsia"/>
          <w:color w:val="auto"/>
          <w:highlight w:val="none"/>
          <w:lang w:eastAsia="zh-CN"/>
        </w:rPr>
        <w:t>供应商</w:t>
      </w:r>
      <w:r>
        <w:rPr>
          <w:rFonts w:hint="eastAsia"/>
          <w:color w:val="auto"/>
          <w:highlight w:val="none"/>
        </w:rPr>
        <w:t>请注意：</w:t>
      </w:r>
    </w:p>
    <w:p w14:paraId="4D548045">
      <w:pPr>
        <w:pStyle w:val="45"/>
        <w:numPr>
          <w:ilvl w:val="0"/>
          <w:numId w:val="24"/>
        </w:numPr>
        <w:spacing w:before="156"/>
        <w:ind w:firstLineChars="0"/>
        <w:outlineLvl w:val="9"/>
        <w:rPr>
          <w:color w:val="auto"/>
          <w:highlight w:val="none"/>
        </w:rPr>
      </w:pPr>
      <w:r>
        <w:rPr>
          <w:rFonts w:hint="eastAsia"/>
          <w:color w:val="auto"/>
          <w:highlight w:val="none"/>
        </w:rPr>
        <w:t>前次采购失败的，采购代理机构将退还供应商的谈判保证金。</w:t>
      </w:r>
    </w:p>
    <w:p w14:paraId="14EBDF79">
      <w:pPr>
        <w:pStyle w:val="45"/>
        <w:numPr>
          <w:ilvl w:val="0"/>
          <w:numId w:val="24"/>
        </w:numPr>
        <w:spacing w:before="156"/>
        <w:ind w:firstLineChars="0"/>
        <w:rPr>
          <w:color w:val="auto"/>
          <w:highlight w:val="none"/>
        </w:rPr>
      </w:pPr>
      <w:r>
        <w:rPr>
          <w:rFonts w:hint="eastAsia"/>
          <w:color w:val="auto"/>
          <w:highlight w:val="none"/>
        </w:rPr>
        <w:t>采购代理机构谈判保证金缴纳账号采用动态虚拟账号（分包项目每一个包别对应一个账号），项目采购失败后，谈判保证金缴纳账号将会发生变化，请供应商参与后续采购时，注意勿将谈判保证金错交至其他项目虚拟账号或前次公告账号。</w:t>
      </w:r>
    </w:p>
    <w:p w14:paraId="6C41B508">
      <w:pPr>
        <w:pStyle w:val="45"/>
        <w:numPr>
          <w:ilvl w:val="0"/>
          <w:numId w:val="24"/>
        </w:numPr>
        <w:spacing w:before="156"/>
        <w:ind w:firstLineChars="0"/>
        <w:rPr>
          <w:color w:val="auto"/>
          <w:highlight w:val="none"/>
        </w:rPr>
      </w:pPr>
      <w:r>
        <w:rPr>
          <w:rFonts w:hint="eastAsia"/>
          <w:color w:val="auto"/>
          <w:highlight w:val="none"/>
        </w:rPr>
        <w:t>凡转账到其他项目虚拟账号或本项目前次公告账号的，其响应文件将被认定为</w:t>
      </w:r>
      <w:r>
        <w:rPr>
          <w:rFonts w:hint="eastAsia"/>
          <w:b/>
          <w:bCs/>
          <w:color w:val="auto"/>
          <w:highlight w:val="none"/>
        </w:rPr>
        <w:t>响应无效</w:t>
      </w:r>
      <w:r>
        <w:rPr>
          <w:rFonts w:hint="eastAsia"/>
          <w:color w:val="auto"/>
          <w:highlight w:val="none"/>
        </w:rPr>
        <w:t>。</w:t>
      </w:r>
    </w:p>
    <w:p w14:paraId="1413E943">
      <w:pPr>
        <w:pStyle w:val="45"/>
        <w:numPr>
          <w:ilvl w:val="0"/>
          <w:numId w:val="23"/>
        </w:numPr>
        <w:spacing w:before="156"/>
        <w:ind w:firstLine="480"/>
        <w:outlineLvl w:val="9"/>
        <w:rPr>
          <w:color w:val="auto"/>
          <w:highlight w:val="none"/>
        </w:rPr>
      </w:pPr>
      <w:r>
        <w:rPr>
          <w:rFonts w:hint="eastAsia"/>
          <w:color w:val="auto"/>
          <w:highlight w:val="none"/>
        </w:rPr>
        <w:t>有下列情形之一的，保证金不予退还：</w:t>
      </w:r>
    </w:p>
    <w:p w14:paraId="1E15B4E5">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在响应截止时间后撤回响应文件的；</w:t>
      </w:r>
    </w:p>
    <w:p w14:paraId="1F674BC0">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在响应文件中提供虚假材料的；</w:t>
      </w:r>
    </w:p>
    <w:p w14:paraId="4A6482C4">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成交后无不可抗力放弃</w:t>
      </w:r>
      <w:r>
        <w:rPr>
          <w:rFonts w:hint="eastAsia"/>
          <w:color w:val="auto"/>
          <w:highlight w:val="none"/>
          <w:lang w:val="en-US" w:eastAsia="zh-CN"/>
        </w:rPr>
        <w:t>成交</w:t>
      </w:r>
      <w:r>
        <w:rPr>
          <w:rFonts w:hint="eastAsia"/>
          <w:color w:val="auto"/>
          <w:highlight w:val="none"/>
        </w:rPr>
        <w:t>结果或不按期向</w:t>
      </w:r>
      <w:r>
        <w:rPr>
          <w:rFonts w:hint="eastAsia"/>
          <w:color w:val="auto"/>
          <w:highlight w:val="none"/>
          <w:lang w:eastAsia="zh-CN"/>
        </w:rPr>
        <w:t>采购人</w:t>
      </w:r>
      <w:r>
        <w:rPr>
          <w:rFonts w:hint="eastAsia"/>
          <w:color w:val="auto"/>
          <w:highlight w:val="none"/>
        </w:rPr>
        <w:t>提交履约担保签订合同的；</w:t>
      </w:r>
    </w:p>
    <w:p w14:paraId="3E301DFB">
      <w:pPr>
        <w:pStyle w:val="45"/>
        <w:numPr>
          <w:ilvl w:val="0"/>
          <w:numId w:val="25"/>
        </w:numPr>
        <w:spacing w:before="156"/>
        <w:ind w:firstLineChars="0"/>
        <w:rPr>
          <w:color w:val="auto"/>
          <w:highlight w:val="none"/>
        </w:rPr>
      </w:pPr>
      <w:r>
        <w:rPr>
          <w:rFonts w:hint="eastAsia"/>
          <w:color w:val="auto"/>
          <w:highlight w:val="none"/>
          <w:lang w:eastAsia="zh-CN"/>
        </w:rPr>
        <w:t>成交供应商</w:t>
      </w:r>
      <w:r>
        <w:rPr>
          <w:rFonts w:hint="eastAsia"/>
          <w:color w:val="auto"/>
          <w:highlight w:val="none"/>
        </w:rPr>
        <w:t>在签订合同时向</w:t>
      </w:r>
      <w:r>
        <w:rPr>
          <w:rFonts w:hint="eastAsia"/>
          <w:color w:val="auto"/>
          <w:highlight w:val="none"/>
          <w:lang w:eastAsia="zh-CN"/>
        </w:rPr>
        <w:t>采购人</w:t>
      </w:r>
      <w:r>
        <w:rPr>
          <w:rFonts w:hint="eastAsia"/>
          <w:color w:val="auto"/>
          <w:highlight w:val="none"/>
        </w:rPr>
        <w:t>提出附加条件的；</w:t>
      </w:r>
    </w:p>
    <w:p w14:paraId="238B99D0">
      <w:pPr>
        <w:pStyle w:val="45"/>
        <w:numPr>
          <w:ilvl w:val="0"/>
          <w:numId w:val="25"/>
        </w:numPr>
        <w:spacing w:before="156"/>
        <w:ind w:firstLineChars="0"/>
        <w:rPr>
          <w:color w:val="auto"/>
          <w:highlight w:val="none"/>
        </w:rPr>
      </w:pPr>
      <w:r>
        <w:rPr>
          <w:rFonts w:hint="eastAsia"/>
          <w:color w:val="auto"/>
          <w:highlight w:val="none"/>
          <w:lang w:eastAsia="zh-CN"/>
        </w:rPr>
        <w:t>供应商</w:t>
      </w:r>
      <w:r>
        <w:rPr>
          <w:rFonts w:hint="eastAsia"/>
          <w:color w:val="auto"/>
          <w:highlight w:val="none"/>
        </w:rPr>
        <w:t>与</w:t>
      </w:r>
      <w:r>
        <w:rPr>
          <w:rFonts w:hint="eastAsia"/>
          <w:color w:val="auto"/>
          <w:highlight w:val="none"/>
          <w:lang w:eastAsia="zh-CN"/>
        </w:rPr>
        <w:t>采购人</w:t>
      </w:r>
      <w:r>
        <w:rPr>
          <w:rFonts w:hint="eastAsia"/>
          <w:color w:val="auto"/>
          <w:highlight w:val="none"/>
        </w:rPr>
        <w:t>、其他</w:t>
      </w:r>
      <w:r>
        <w:rPr>
          <w:rFonts w:hint="eastAsia"/>
          <w:color w:val="auto"/>
          <w:highlight w:val="none"/>
          <w:lang w:eastAsia="zh-CN"/>
        </w:rPr>
        <w:t>供应商</w:t>
      </w:r>
      <w:r>
        <w:rPr>
          <w:rFonts w:hint="eastAsia"/>
          <w:color w:val="auto"/>
          <w:highlight w:val="none"/>
        </w:rPr>
        <w:t>或者</w:t>
      </w:r>
      <w:r>
        <w:rPr>
          <w:rFonts w:hint="eastAsia"/>
          <w:color w:val="auto"/>
          <w:highlight w:val="none"/>
          <w:lang w:val="en-US" w:eastAsia="zh-CN"/>
        </w:rPr>
        <w:t>采购代理机构</w:t>
      </w:r>
      <w:r>
        <w:rPr>
          <w:rFonts w:hint="eastAsia"/>
          <w:color w:val="auto"/>
          <w:highlight w:val="none"/>
        </w:rPr>
        <w:t>恶意串通的。</w:t>
      </w:r>
    </w:p>
    <w:p w14:paraId="03BF40A2">
      <w:pPr>
        <w:pStyle w:val="45"/>
        <w:numPr>
          <w:ilvl w:val="0"/>
          <w:numId w:val="23"/>
        </w:numPr>
        <w:spacing w:before="156"/>
        <w:ind w:firstLine="480"/>
        <w:rPr>
          <w:color w:val="auto"/>
          <w:highlight w:val="none"/>
        </w:rPr>
      </w:pPr>
      <w:r>
        <w:rPr>
          <w:rFonts w:hint="eastAsia"/>
          <w:color w:val="auto"/>
          <w:highlight w:val="none"/>
        </w:rPr>
        <w:t>联合体参加谈判的，可以由联合体中的一方或者共同提交谈判保证金。以一方名义提交谈判保证金的，对联合体各方均具有约束力。</w:t>
      </w:r>
    </w:p>
    <w:p w14:paraId="6E232AE0">
      <w:pPr>
        <w:pStyle w:val="45"/>
        <w:numPr>
          <w:ilvl w:val="0"/>
          <w:numId w:val="23"/>
        </w:numPr>
        <w:spacing w:before="156"/>
        <w:ind w:firstLine="480"/>
        <w:rPr>
          <w:color w:val="auto"/>
          <w:highlight w:val="none"/>
        </w:rPr>
      </w:pPr>
      <w:r>
        <w:rPr>
          <w:rFonts w:hint="eastAsia"/>
          <w:color w:val="auto"/>
          <w:highlight w:val="none"/>
        </w:rPr>
        <w:t>采购代理机构将在成交通知书发出后五个工作日内退还未成交供应商的谈判保证金，在采购合同签订后五个工作日内退还成交供应商的谈判保证金</w:t>
      </w:r>
      <w:r>
        <w:rPr>
          <w:rFonts w:hint="eastAsia"/>
          <w:color w:val="auto"/>
          <w:highlight w:val="none"/>
          <w:lang w:eastAsia="zh-CN"/>
        </w:rPr>
        <w:t>。</w:t>
      </w:r>
    </w:p>
    <w:p w14:paraId="536D18DD">
      <w:pPr>
        <w:pStyle w:val="6"/>
        <w:numPr>
          <w:ilvl w:val="0"/>
          <w:numId w:val="8"/>
        </w:numPr>
        <w:ind w:firstLine="480"/>
        <w:outlineLvl w:val="2"/>
        <w:rPr>
          <w:color w:val="auto"/>
          <w:highlight w:val="none"/>
        </w:rPr>
      </w:pPr>
      <w:r>
        <w:rPr>
          <w:rFonts w:hint="eastAsia"/>
          <w:color w:val="auto"/>
          <w:highlight w:val="none"/>
        </w:rPr>
        <w:t>响应有效期</w:t>
      </w:r>
    </w:p>
    <w:p w14:paraId="075DB540">
      <w:pPr>
        <w:pStyle w:val="45"/>
        <w:numPr>
          <w:ilvl w:val="0"/>
          <w:numId w:val="26"/>
        </w:numPr>
        <w:spacing w:before="240"/>
        <w:ind w:left="0" w:leftChars="0" w:firstLine="480" w:firstLineChars="200"/>
        <w:rPr>
          <w:color w:val="auto"/>
          <w:highlight w:val="none"/>
        </w:rPr>
      </w:pPr>
      <w:r>
        <w:rPr>
          <w:rFonts w:hint="eastAsia"/>
          <w:color w:val="auto"/>
          <w:highlight w:val="none"/>
        </w:rPr>
        <w:t>谈判有效期为从响应文件提交截止之日算起的日历天数，谈判有效期详见</w:t>
      </w:r>
      <w:r>
        <w:rPr>
          <w:rFonts w:hint="eastAsia"/>
          <w:b/>
          <w:color w:val="auto"/>
          <w:highlight w:val="none"/>
        </w:rPr>
        <w:t>【供应商须知前附表】</w:t>
      </w:r>
      <w:r>
        <w:rPr>
          <w:rFonts w:hint="eastAsia"/>
          <w:color w:val="auto"/>
          <w:highlight w:val="none"/>
        </w:rPr>
        <w:t>。</w:t>
      </w:r>
    </w:p>
    <w:p w14:paraId="2BC376E1">
      <w:pPr>
        <w:pStyle w:val="45"/>
        <w:numPr>
          <w:ilvl w:val="0"/>
          <w:numId w:val="26"/>
        </w:numPr>
        <w:spacing w:before="240"/>
        <w:ind w:left="0" w:leftChars="0" w:firstLine="480" w:firstLineChars="200"/>
        <w:rPr>
          <w:color w:val="auto"/>
          <w:highlight w:val="none"/>
        </w:rPr>
      </w:pPr>
      <w:r>
        <w:rPr>
          <w:rFonts w:hint="eastAsia"/>
          <w:color w:val="auto"/>
          <w:highlight w:val="none"/>
        </w:rPr>
        <w:t>在谈判有效期内，供应商的谈判保持有效，供应商不得要求撤销或修改其响应文件。谈判有效期不满足要求的响应，其响应文件将被认定为</w:t>
      </w:r>
      <w:r>
        <w:rPr>
          <w:rFonts w:hint="eastAsia"/>
          <w:b/>
          <w:bCs/>
          <w:color w:val="auto"/>
          <w:highlight w:val="none"/>
        </w:rPr>
        <w:t>响应</w:t>
      </w:r>
      <w:r>
        <w:rPr>
          <w:rFonts w:hint="eastAsia"/>
          <w:b/>
          <w:color w:val="auto"/>
          <w:highlight w:val="none"/>
        </w:rPr>
        <w:t>无效</w:t>
      </w:r>
      <w:r>
        <w:rPr>
          <w:rFonts w:hint="eastAsia"/>
          <w:color w:val="auto"/>
          <w:highlight w:val="none"/>
        </w:rPr>
        <w:t>。</w:t>
      </w:r>
    </w:p>
    <w:p w14:paraId="4FD9BE30">
      <w:pPr>
        <w:pStyle w:val="45"/>
        <w:numPr>
          <w:ilvl w:val="0"/>
          <w:numId w:val="26"/>
        </w:numPr>
        <w:spacing w:before="240"/>
        <w:ind w:left="0" w:leftChars="0" w:firstLine="480" w:firstLineChars="200"/>
        <w:rPr>
          <w:color w:val="auto"/>
          <w:highlight w:val="none"/>
        </w:rPr>
      </w:pPr>
      <w:r>
        <w:rPr>
          <w:rFonts w:hint="eastAsia"/>
          <w:color w:val="auto"/>
          <w:highlight w:val="none"/>
        </w:rPr>
        <w:t>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4632F695">
      <w:pPr>
        <w:pStyle w:val="6"/>
        <w:numPr>
          <w:ilvl w:val="0"/>
          <w:numId w:val="8"/>
        </w:numPr>
        <w:ind w:firstLine="480"/>
        <w:outlineLvl w:val="2"/>
        <w:rPr>
          <w:color w:val="auto"/>
          <w:highlight w:val="none"/>
        </w:rPr>
      </w:pPr>
      <w:r>
        <w:rPr>
          <w:rFonts w:hint="eastAsia"/>
          <w:color w:val="auto"/>
          <w:highlight w:val="none"/>
        </w:rPr>
        <w:t>报名截止</w:t>
      </w:r>
    </w:p>
    <w:p w14:paraId="03881470">
      <w:pPr>
        <w:pStyle w:val="45"/>
        <w:numPr>
          <w:ilvl w:val="0"/>
          <w:numId w:val="27"/>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应在</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中规定的报名截止时间前，在网上提交响应文件。</w:t>
      </w:r>
    </w:p>
    <w:p w14:paraId="5313D8B8">
      <w:pPr>
        <w:pStyle w:val="45"/>
        <w:numPr>
          <w:ilvl w:val="0"/>
          <w:numId w:val="27"/>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在</w:t>
      </w:r>
      <w:r>
        <w:rPr>
          <w:rFonts w:hint="eastAsia"/>
          <w:color w:val="auto"/>
          <w:highlight w:val="none"/>
          <w:lang w:val="en-US" w:eastAsia="zh-CN"/>
        </w:rPr>
        <w:t>谈判</w:t>
      </w:r>
      <w:r>
        <w:rPr>
          <w:rFonts w:hint="eastAsia"/>
          <w:color w:val="auto"/>
          <w:highlight w:val="none"/>
        </w:rPr>
        <w:t>文件规定的报名截止时间前上传了响应文件，但未在规定时间内递交保证金，响应无效。</w:t>
      </w:r>
    </w:p>
    <w:p w14:paraId="704587F7">
      <w:pPr>
        <w:pStyle w:val="45"/>
        <w:numPr>
          <w:ilvl w:val="0"/>
          <w:numId w:val="27"/>
        </w:numPr>
        <w:spacing w:before="156"/>
        <w:ind w:firstLine="480"/>
        <w:rPr>
          <w:color w:val="auto"/>
          <w:highlight w:val="none"/>
        </w:rPr>
      </w:pPr>
      <w:r>
        <w:rPr>
          <w:rFonts w:hint="eastAsia"/>
          <w:color w:val="auto"/>
          <w:highlight w:val="none"/>
          <w:lang w:eastAsia="zh-CN"/>
        </w:rPr>
        <w:t>采购人</w:t>
      </w:r>
      <w:r>
        <w:rPr>
          <w:rFonts w:hint="eastAsia"/>
          <w:color w:val="auto"/>
          <w:highlight w:val="none"/>
        </w:rPr>
        <w:t>和</w:t>
      </w:r>
      <w:r>
        <w:rPr>
          <w:rFonts w:hint="eastAsia"/>
          <w:color w:val="auto"/>
          <w:highlight w:val="none"/>
          <w:lang w:eastAsia="zh-CN"/>
        </w:rPr>
        <w:t>采购代理机构</w:t>
      </w:r>
      <w:r>
        <w:rPr>
          <w:rFonts w:hint="eastAsia"/>
          <w:color w:val="auto"/>
          <w:highlight w:val="none"/>
        </w:rPr>
        <w:t>有权按本</w:t>
      </w:r>
      <w:r>
        <w:rPr>
          <w:rFonts w:hint="eastAsia"/>
          <w:color w:val="auto"/>
          <w:highlight w:val="none"/>
          <w:lang w:val="en-US" w:eastAsia="zh-CN"/>
        </w:rPr>
        <w:t>谈判</w:t>
      </w:r>
      <w:r>
        <w:rPr>
          <w:rFonts w:hint="eastAsia"/>
          <w:color w:val="auto"/>
          <w:highlight w:val="none"/>
        </w:rPr>
        <w:t>文件的规定，延迟报名截止时间。在此情况下，</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和</w:t>
      </w:r>
      <w:r>
        <w:rPr>
          <w:rFonts w:hint="eastAsia"/>
          <w:color w:val="auto"/>
          <w:highlight w:val="none"/>
          <w:lang w:eastAsia="zh-CN"/>
        </w:rPr>
        <w:t>供应商</w:t>
      </w:r>
      <w:r>
        <w:rPr>
          <w:rFonts w:hint="eastAsia"/>
          <w:color w:val="auto"/>
          <w:highlight w:val="none"/>
        </w:rPr>
        <w:t>受报名截止时间制约的所有权利和义务均应延长至新的截止时间。</w:t>
      </w:r>
    </w:p>
    <w:p w14:paraId="5BE73B0B">
      <w:pPr>
        <w:pStyle w:val="6"/>
        <w:numPr>
          <w:ilvl w:val="0"/>
          <w:numId w:val="8"/>
        </w:numPr>
        <w:ind w:firstLine="480"/>
        <w:outlineLvl w:val="2"/>
        <w:rPr>
          <w:color w:val="auto"/>
          <w:highlight w:val="none"/>
        </w:rPr>
      </w:pPr>
      <w:r>
        <w:rPr>
          <w:rFonts w:hint="eastAsia"/>
          <w:color w:val="auto"/>
          <w:highlight w:val="none"/>
        </w:rPr>
        <w:t>响应文件的递交、修改与撤回</w:t>
      </w:r>
    </w:p>
    <w:p w14:paraId="0E41F74C">
      <w:pPr>
        <w:pStyle w:val="45"/>
        <w:numPr>
          <w:ilvl w:val="0"/>
          <w:numId w:val="28"/>
        </w:numPr>
        <w:spacing w:before="156"/>
        <w:ind w:firstLine="480"/>
        <w:rPr>
          <w:color w:val="auto"/>
          <w:highlight w:val="none"/>
        </w:rPr>
      </w:pPr>
      <w:r>
        <w:rPr>
          <w:rFonts w:hint="eastAsia"/>
          <w:color w:val="auto"/>
          <w:highlight w:val="none"/>
          <w:lang w:eastAsia="zh-CN"/>
        </w:rPr>
        <w:t>供应商</w:t>
      </w:r>
      <w:r>
        <w:rPr>
          <w:rFonts w:hint="eastAsia"/>
          <w:color w:val="auto"/>
          <w:highlight w:val="none"/>
        </w:rPr>
        <w:t>应当在第一章“</w:t>
      </w:r>
      <w:r>
        <w:rPr>
          <w:rFonts w:hint="eastAsia"/>
          <w:color w:val="auto"/>
          <w:highlight w:val="none"/>
          <w:lang w:val="en-US" w:eastAsia="zh-CN"/>
        </w:rPr>
        <w:t>竞争性谈判</w:t>
      </w:r>
      <w:r>
        <w:rPr>
          <w:rFonts w:hint="eastAsia"/>
          <w:color w:val="auto"/>
          <w:highlight w:val="none"/>
        </w:rPr>
        <w:t>公告”规定的报名截止时间前，交纳</w:t>
      </w:r>
      <w:r>
        <w:rPr>
          <w:rFonts w:hint="eastAsia"/>
          <w:color w:val="auto"/>
          <w:highlight w:val="none"/>
          <w:lang w:val="en-US" w:eastAsia="zh-CN"/>
        </w:rPr>
        <w:t>谈判</w:t>
      </w:r>
      <w:r>
        <w:rPr>
          <w:rFonts w:hint="eastAsia"/>
          <w:color w:val="auto"/>
          <w:highlight w:val="none"/>
        </w:rPr>
        <w:t>保证金，系统确认保证金到账后，将响应文件在电子交易系统传输递交。</w:t>
      </w:r>
    </w:p>
    <w:p w14:paraId="6B7CF244">
      <w:pPr>
        <w:pStyle w:val="45"/>
        <w:numPr>
          <w:ilvl w:val="0"/>
          <w:numId w:val="28"/>
        </w:numPr>
        <w:spacing w:before="156"/>
        <w:ind w:firstLine="480"/>
        <w:outlineLvl w:val="9"/>
        <w:rPr>
          <w:color w:val="auto"/>
          <w:highlight w:val="none"/>
        </w:rPr>
      </w:pPr>
      <w:r>
        <w:rPr>
          <w:rFonts w:hint="eastAsia"/>
          <w:color w:val="auto"/>
          <w:highlight w:val="none"/>
          <w:lang w:eastAsia="zh-CN"/>
        </w:rPr>
        <w:t>供应商</w:t>
      </w:r>
      <w:r>
        <w:rPr>
          <w:rFonts w:hint="eastAsia"/>
          <w:color w:val="auto"/>
          <w:highlight w:val="none"/>
        </w:rPr>
        <w:t>应当在报名截止时间前完成响应文件的传输递交。</w:t>
      </w:r>
    </w:p>
    <w:p w14:paraId="2CE2FB2F">
      <w:pPr>
        <w:pStyle w:val="6"/>
        <w:numPr>
          <w:ilvl w:val="0"/>
          <w:numId w:val="8"/>
        </w:numPr>
        <w:ind w:firstLine="480"/>
        <w:outlineLvl w:val="2"/>
        <w:rPr>
          <w:color w:val="auto"/>
          <w:highlight w:val="none"/>
        </w:rPr>
      </w:pPr>
      <w:r>
        <w:rPr>
          <w:rFonts w:hint="eastAsia"/>
          <w:color w:val="auto"/>
          <w:highlight w:val="none"/>
        </w:rPr>
        <w:t>评审小组</w:t>
      </w:r>
    </w:p>
    <w:p w14:paraId="7D6533B7">
      <w:pPr>
        <w:pStyle w:val="45"/>
        <w:numPr>
          <w:ilvl w:val="0"/>
          <w:numId w:val="29"/>
        </w:numPr>
        <w:spacing w:before="156"/>
        <w:ind w:firstLine="480"/>
        <w:rPr>
          <w:color w:val="auto"/>
          <w:highlight w:val="none"/>
        </w:rPr>
      </w:pPr>
      <w:r>
        <w:rPr>
          <w:rFonts w:hint="eastAsia"/>
          <w:color w:val="auto"/>
          <w:highlight w:val="none"/>
        </w:rPr>
        <w:t>按照《中华人民共和国政府采购法</w:t>
      </w:r>
      <w:r>
        <w:rPr>
          <w:rFonts w:hint="eastAsia"/>
          <w:color w:val="auto"/>
          <w:highlight w:val="none"/>
          <w:lang w:eastAsia="zh-CN"/>
        </w:rPr>
        <w:t>》《</w:t>
      </w:r>
      <w:r>
        <w:rPr>
          <w:rFonts w:hint="eastAsia"/>
          <w:color w:val="auto"/>
          <w:highlight w:val="none"/>
        </w:rPr>
        <w:t>中华人民共和国政府采购法实施条例》及本项目本级和上级财政部门、政府采购监督管理部门的有关规定依法组建的谈判小组，负责本项目评审工作。</w:t>
      </w:r>
    </w:p>
    <w:p w14:paraId="23F1AC5B">
      <w:pPr>
        <w:pStyle w:val="45"/>
        <w:numPr>
          <w:ilvl w:val="0"/>
          <w:numId w:val="29"/>
        </w:numPr>
        <w:spacing w:before="156"/>
        <w:ind w:firstLine="480"/>
        <w:outlineLvl w:val="9"/>
        <w:rPr>
          <w:color w:val="auto"/>
          <w:highlight w:val="none"/>
        </w:rPr>
      </w:pPr>
      <w:r>
        <w:rPr>
          <w:rFonts w:hint="eastAsia"/>
          <w:color w:val="auto"/>
          <w:highlight w:val="none"/>
        </w:rPr>
        <w:t>评审小组成员有下列情形之一的，应当回避：</w:t>
      </w:r>
    </w:p>
    <w:p w14:paraId="58619B78">
      <w:pPr>
        <w:pStyle w:val="45"/>
        <w:spacing w:before="240"/>
        <w:ind w:firstLine="480"/>
        <w:rPr>
          <w:color w:val="auto"/>
          <w:highlight w:val="none"/>
        </w:rPr>
      </w:pPr>
      <w:r>
        <w:rPr>
          <w:rFonts w:hint="eastAsia"/>
          <w:color w:val="auto"/>
          <w:highlight w:val="none"/>
        </w:rPr>
        <w:t>（1）参加采购活动前 3 年内与供应商存在劳动关系；</w:t>
      </w:r>
    </w:p>
    <w:p w14:paraId="449A4571">
      <w:pPr>
        <w:pStyle w:val="45"/>
        <w:spacing w:before="240"/>
        <w:ind w:firstLine="480"/>
        <w:rPr>
          <w:color w:val="auto"/>
          <w:highlight w:val="none"/>
        </w:rPr>
      </w:pPr>
      <w:r>
        <w:rPr>
          <w:rFonts w:hint="eastAsia"/>
          <w:color w:val="auto"/>
          <w:highlight w:val="none"/>
        </w:rPr>
        <w:t>（2）参加采购活动前 3 年内担任供应商的董事、监事；</w:t>
      </w:r>
    </w:p>
    <w:p w14:paraId="360A5B0F">
      <w:pPr>
        <w:pStyle w:val="45"/>
        <w:spacing w:before="240"/>
        <w:ind w:firstLine="480"/>
        <w:rPr>
          <w:color w:val="auto"/>
          <w:highlight w:val="none"/>
        </w:rPr>
      </w:pPr>
      <w:r>
        <w:rPr>
          <w:rFonts w:hint="eastAsia"/>
          <w:color w:val="auto"/>
          <w:highlight w:val="none"/>
        </w:rPr>
        <w:t>（3）参加采购活动前 3 年内是供应商的控股股东或者实际控制人；</w:t>
      </w:r>
    </w:p>
    <w:p w14:paraId="1558179A">
      <w:pPr>
        <w:pStyle w:val="45"/>
        <w:spacing w:before="240"/>
        <w:ind w:firstLine="480"/>
        <w:rPr>
          <w:color w:val="auto"/>
          <w:highlight w:val="none"/>
        </w:rPr>
      </w:pPr>
      <w:r>
        <w:rPr>
          <w:rFonts w:hint="eastAsia"/>
          <w:color w:val="auto"/>
          <w:highlight w:val="none"/>
        </w:rPr>
        <w:t>（4）与供应商的法定代表人或者负责人有夫妻、直系血亲、三代以内旁系血亲或者近姻亲关系；</w:t>
      </w:r>
    </w:p>
    <w:p w14:paraId="07809C6B">
      <w:pPr>
        <w:pStyle w:val="45"/>
        <w:numPr>
          <w:ilvl w:val="0"/>
          <w:numId w:val="0"/>
        </w:numPr>
        <w:spacing w:before="156"/>
        <w:ind w:left="403" w:leftChars="0"/>
        <w:rPr>
          <w:color w:val="auto"/>
          <w:highlight w:val="none"/>
        </w:rPr>
      </w:pPr>
      <w:r>
        <w:rPr>
          <w:rFonts w:hint="eastAsia"/>
          <w:color w:val="auto"/>
          <w:highlight w:val="none"/>
        </w:rPr>
        <w:t>（5）与供应商有其他可能影响政府采购活动公平、公正进行的关系。</w:t>
      </w:r>
    </w:p>
    <w:p w14:paraId="633A59FF">
      <w:pPr>
        <w:pStyle w:val="45"/>
        <w:numPr>
          <w:ilvl w:val="0"/>
          <w:numId w:val="29"/>
        </w:numPr>
        <w:spacing w:before="156"/>
        <w:ind w:firstLine="480"/>
        <w:rPr>
          <w:color w:val="auto"/>
          <w:highlight w:val="none"/>
        </w:rPr>
      </w:pPr>
      <w:r>
        <w:rPr>
          <w:rFonts w:hint="eastAsia"/>
          <w:color w:val="auto"/>
          <w:highlight w:val="none"/>
        </w:rPr>
        <w:t>评审专家组成员对需要共同认定的事项存在争议的，应当按照少数服从多数的原则作出结论。持不同意见的评审专家组成员应当在评审报告上签署不同意见及理由，否则视为同意评审报告。</w:t>
      </w:r>
    </w:p>
    <w:p w14:paraId="5AF37C20">
      <w:pPr>
        <w:pStyle w:val="6"/>
        <w:numPr>
          <w:ilvl w:val="0"/>
          <w:numId w:val="8"/>
        </w:numPr>
        <w:ind w:firstLine="480"/>
        <w:outlineLvl w:val="2"/>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程序</w:t>
      </w:r>
    </w:p>
    <w:p w14:paraId="72238E64">
      <w:pPr>
        <w:pStyle w:val="45"/>
        <w:numPr>
          <w:ilvl w:val="0"/>
          <w:numId w:val="30"/>
        </w:numPr>
        <w:spacing w:before="156"/>
        <w:ind w:firstLine="480"/>
        <w:rPr>
          <w:color w:val="auto"/>
          <w:highlight w:val="none"/>
        </w:rPr>
      </w:pPr>
      <w:r>
        <w:rPr>
          <w:rFonts w:hint="eastAsia"/>
          <w:color w:val="auto"/>
          <w:highlight w:val="none"/>
        </w:rPr>
        <w:t>公布网上</w:t>
      </w:r>
      <w:r>
        <w:rPr>
          <w:rFonts w:hint="eastAsia"/>
          <w:color w:val="auto"/>
          <w:highlight w:val="none"/>
          <w:lang w:val="en-US" w:eastAsia="zh-CN"/>
        </w:rPr>
        <w:t>报价</w:t>
      </w:r>
      <w:r>
        <w:rPr>
          <w:rFonts w:hint="eastAsia"/>
          <w:color w:val="auto"/>
          <w:highlight w:val="none"/>
        </w:rPr>
        <w:t>信息</w:t>
      </w:r>
      <w:r>
        <w:rPr>
          <w:rFonts w:hint="eastAsia"/>
          <w:color w:val="auto"/>
          <w:highlight w:val="none"/>
          <w:lang w:val="en-US" w:eastAsia="zh-CN"/>
        </w:rPr>
        <w:t xml:space="preserve">                                   </w:t>
      </w:r>
    </w:p>
    <w:p w14:paraId="3026A22C">
      <w:pPr>
        <w:pStyle w:val="45"/>
        <w:spacing w:before="156"/>
        <w:ind w:firstLine="480"/>
        <w:rPr>
          <w:color w:val="auto"/>
          <w:highlight w:val="none"/>
        </w:rPr>
      </w:pPr>
      <w:r>
        <w:rPr>
          <w:rFonts w:hint="eastAsia"/>
          <w:color w:val="auto"/>
          <w:highlight w:val="none"/>
          <w:lang w:val="en-US" w:eastAsia="zh-CN"/>
        </w:rPr>
        <w:t>采购代理机构</w:t>
      </w:r>
      <w:r>
        <w:rPr>
          <w:rFonts w:hint="eastAsia"/>
          <w:color w:val="auto"/>
          <w:highlight w:val="none"/>
        </w:rPr>
        <w:t>将有关（项目名称）基本信息、起始价、减价幅度、保证金等信息在</w:t>
      </w:r>
      <w:r>
        <w:rPr>
          <w:rFonts w:hint="eastAsia"/>
          <w:color w:val="auto"/>
          <w:highlight w:val="none"/>
          <w:lang w:val="en-US" w:eastAsia="zh-CN"/>
        </w:rPr>
        <w:t>采购文件中明确</w:t>
      </w:r>
      <w:r>
        <w:rPr>
          <w:rFonts w:hint="eastAsia"/>
          <w:color w:val="auto"/>
          <w:highlight w:val="none"/>
        </w:rPr>
        <w:t>。</w:t>
      </w:r>
    </w:p>
    <w:p w14:paraId="385642BC">
      <w:pPr>
        <w:pStyle w:val="45"/>
        <w:numPr>
          <w:ilvl w:val="0"/>
          <w:numId w:val="30"/>
        </w:numPr>
        <w:spacing w:before="156"/>
        <w:ind w:firstLine="480"/>
        <w:outlineLvl w:val="9"/>
        <w:rPr>
          <w:color w:val="auto"/>
          <w:highlight w:val="none"/>
        </w:rPr>
      </w:pPr>
      <w:r>
        <w:rPr>
          <w:rFonts w:hint="eastAsia"/>
          <w:color w:val="auto"/>
          <w:highlight w:val="none"/>
        </w:rPr>
        <w:t>资格和符合性审查</w:t>
      </w:r>
    </w:p>
    <w:p w14:paraId="70ECFF06">
      <w:pPr>
        <w:pStyle w:val="45"/>
        <w:spacing w:before="156"/>
        <w:ind w:firstLine="480"/>
        <w:rPr>
          <w:color w:val="auto"/>
          <w:highlight w:val="none"/>
        </w:rPr>
      </w:pPr>
      <w:r>
        <w:rPr>
          <w:rFonts w:hint="eastAsia"/>
          <w:color w:val="auto"/>
          <w:highlight w:val="none"/>
        </w:rPr>
        <w:t>评审小组依据法律法规和</w:t>
      </w:r>
      <w:r>
        <w:rPr>
          <w:rFonts w:hint="eastAsia"/>
          <w:color w:val="auto"/>
          <w:highlight w:val="none"/>
          <w:lang w:val="en-US" w:eastAsia="zh-CN"/>
        </w:rPr>
        <w:t>谈判</w:t>
      </w:r>
      <w:r>
        <w:rPr>
          <w:rFonts w:hint="eastAsia"/>
          <w:color w:val="auto"/>
          <w:highlight w:val="none"/>
        </w:rPr>
        <w:t>文件中规定的内容，对</w:t>
      </w:r>
      <w:r>
        <w:rPr>
          <w:rFonts w:hint="eastAsia"/>
          <w:color w:val="auto"/>
          <w:highlight w:val="none"/>
          <w:lang w:eastAsia="zh-CN"/>
        </w:rPr>
        <w:t>供应商</w:t>
      </w:r>
      <w:r>
        <w:rPr>
          <w:rFonts w:hint="eastAsia"/>
          <w:color w:val="auto"/>
          <w:highlight w:val="none"/>
        </w:rPr>
        <w:t>资格和符合性进行审查，未通过资格审查和符合性审查的申请人不能参与网上</w:t>
      </w:r>
      <w:r>
        <w:rPr>
          <w:rFonts w:hint="eastAsia"/>
          <w:color w:val="auto"/>
          <w:highlight w:val="none"/>
          <w:lang w:val="en-US" w:eastAsia="zh-CN"/>
        </w:rPr>
        <w:t>报价</w:t>
      </w:r>
      <w:r>
        <w:rPr>
          <w:rFonts w:hint="eastAsia"/>
          <w:color w:val="auto"/>
          <w:highlight w:val="none"/>
        </w:rPr>
        <w:t>。参与并且通过资格审查和符合性审查的</w:t>
      </w:r>
      <w:r>
        <w:rPr>
          <w:rFonts w:hint="eastAsia"/>
          <w:color w:val="auto"/>
          <w:highlight w:val="none"/>
          <w:lang w:eastAsia="zh-CN"/>
        </w:rPr>
        <w:t>供应商</w:t>
      </w:r>
      <w:r>
        <w:rPr>
          <w:rFonts w:hint="eastAsia"/>
          <w:color w:val="auto"/>
          <w:highlight w:val="none"/>
        </w:rPr>
        <w:t>不得少于</w:t>
      </w:r>
      <w:r>
        <w:rPr>
          <w:rFonts w:hint="eastAsia"/>
          <w:color w:val="auto"/>
          <w:highlight w:val="none"/>
          <w:lang w:val="en-US" w:eastAsia="zh-CN"/>
        </w:rPr>
        <w:t>3</w:t>
      </w:r>
      <w:r>
        <w:rPr>
          <w:rFonts w:hint="eastAsia"/>
          <w:color w:val="auto"/>
          <w:highlight w:val="none"/>
        </w:rPr>
        <w:t>家，否则网上</w:t>
      </w:r>
      <w:r>
        <w:rPr>
          <w:rFonts w:hint="eastAsia"/>
          <w:color w:val="auto"/>
          <w:highlight w:val="none"/>
          <w:lang w:val="en-US" w:eastAsia="zh-CN"/>
        </w:rPr>
        <w:t>报价</w:t>
      </w:r>
      <w:r>
        <w:rPr>
          <w:rFonts w:hint="eastAsia"/>
          <w:color w:val="auto"/>
          <w:highlight w:val="none"/>
        </w:rPr>
        <w:t>采购活动终止。</w:t>
      </w:r>
    </w:p>
    <w:p w14:paraId="309C40EB">
      <w:pPr>
        <w:pStyle w:val="45"/>
        <w:numPr>
          <w:ilvl w:val="0"/>
          <w:numId w:val="30"/>
        </w:numPr>
        <w:spacing w:before="156"/>
        <w:ind w:firstLine="480"/>
        <w:outlineLvl w:val="9"/>
        <w:rPr>
          <w:color w:val="auto"/>
          <w:highlight w:val="none"/>
        </w:rPr>
      </w:pPr>
      <w:r>
        <w:rPr>
          <w:rFonts w:hint="eastAsia"/>
          <w:color w:val="auto"/>
          <w:highlight w:val="none"/>
        </w:rPr>
        <w:t>网上</w:t>
      </w:r>
      <w:r>
        <w:rPr>
          <w:rFonts w:hint="eastAsia"/>
          <w:color w:val="auto"/>
          <w:highlight w:val="none"/>
          <w:lang w:val="en-US" w:eastAsia="zh-CN"/>
        </w:rPr>
        <w:t>报价</w:t>
      </w:r>
    </w:p>
    <w:p w14:paraId="04B39753">
      <w:pPr>
        <w:pStyle w:val="45"/>
        <w:numPr>
          <w:ilvl w:val="0"/>
          <w:numId w:val="31"/>
        </w:numPr>
        <w:spacing w:before="156"/>
        <w:ind w:firstLineChars="0"/>
        <w:outlineLvl w:val="9"/>
        <w:rPr>
          <w:color w:val="auto"/>
          <w:highlight w:val="none"/>
        </w:rPr>
      </w:pPr>
      <w:r>
        <w:rPr>
          <w:rFonts w:hint="eastAsia"/>
          <w:color w:val="auto"/>
          <w:highlight w:val="none"/>
        </w:rPr>
        <w:t>报价规则</w:t>
      </w:r>
    </w:p>
    <w:p w14:paraId="2E8FEA0D">
      <w:pPr>
        <w:pStyle w:val="45"/>
        <w:spacing w:before="156"/>
        <w:ind w:firstLine="480"/>
        <w:rPr>
          <w:color w:val="auto"/>
          <w:highlight w:val="none"/>
        </w:rPr>
      </w:pPr>
      <w:r>
        <w:rPr>
          <w:rFonts w:hint="eastAsia"/>
          <w:color w:val="auto"/>
          <w:highlight w:val="none"/>
        </w:rPr>
        <w:t>①本次网上</w:t>
      </w:r>
      <w:r>
        <w:rPr>
          <w:rFonts w:hint="eastAsia"/>
          <w:color w:val="auto"/>
          <w:highlight w:val="none"/>
          <w:lang w:val="en-US" w:eastAsia="zh-CN"/>
        </w:rPr>
        <w:t>报价</w:t>
      </w:r>
      <w:r>
        <w:rPr>
          <w:rFonts w:hint="eastAsia"/>
          <w:color w:val="auto"/>
          <w:highlight w:val="none"/>
        </w:rPr>
        <w:t>以减价方式进行报价，同一</w:t>
      </w:r>
      <w:r>
        <w:rPr>
          <w:rFonts w:hint="eastAsia"/>
          <w:color w:val="auto"/>
          <w:highlight w:val="none"/>
          <w:lang w:eastAsia="zh-CN"/>
        </w:rPr>
        <w:t>供应商</w:t>
      </w:r>
      <w:r>
        <w:rPr>
          <w:rFonts w:hint="eastAsia"/>
          <w:color w:val="auto"/>
          <w:highlight w:val="none"/>
        </w:rPr>
        <w:t>可多次报价。初次报价不得高于起始价，初次报价后的每次报价的减价幅度应当符合规定。</w:t>
      </w:r>
    </w:p>
    <w:p w14:paraId="4E04E83B">
      <w:pPr>
        <w:pStyle w:val="45"/>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通过系统提交的报价一经报出，不得撤回。</w:t>
      </w:r>
    </w:p>
    <w:p w14:paraId="648B76CB">
      <w:pPr>
        <w:pStyle w:val="45"/>
        <w:spacing w:before="156"/>
        <w:ind w:firstLine="480"/>
        <w:rPr>
          <w:color w:val="auto"/>
          <w:highlight w:val="none"/>
        </w:rPr>
      </w:pPr>
      <w:r>
        <w:rPr>
          <w:rFonts w:hint="eastAsia"/>
          <w:color w:val="auto"/>
          <w:highlight w:val="none"/>
        </w:rPr>
        <w:t>③因网络延迟问题，</w:t>
      </w:r>
      <w:r>
        <w:rPr>
          <w:rFonts w:hint="eastAsia"/>
          <w:color w:val="auto"/>
          <w:highlight w:val="none"/>
          <w:lang w:eastAsia="zh-CN"/>
        </w:rPr>
        <w:t>供应商</w:t>
      </w:r>
      <w:r>
        <w:rPr>
          <w:rFonts w:hint="eastAsia"/>
          <w:color w:val="auto"/>
          <w:highlight w:val="none"/>
        </w:rPr>
        <w:t>应尽量避免在网上报价截止前最后几秒钟内才报价，最迟在网上报价截止前30秒报价，以防止系统无法及时接收到报价的情况发生。</w:t>
      </w:r>
    </w:p>
    <w:p w14:paraId="3F6D8420">
      <w:pPr>
        <w:pStyle w:val="45"/>
        <w:spacing w:before="156"/>
        <w:ind w:firstLine="480"/>
        <w:rPr>
          <w:color w:val="auto"/>
          <w:highlight w:val="none"/>
        </w:rPr>
      </w:pPr>
      <w:r>
        <w:rPr>
          <w:rFonts w:hint="eastAsia"/>
          <w:color w:val="auto"/>
          <w:highlight w:val="none"/>
        </w:rPr>
        <w:t>④</w:t>
      </w:r>
      <w:r>
        <w:rPr>
          <w:rFonts w:hint="eastAsia"/>
          <w:color w:val="auto"/>
          <w:highlight w:val="none"/>
          <w:lang w:eastAsia="zh-CN"/>
        </w:rPr>
        <w:t>供应商</w:t>
      </w:r>
      <w:r>
        <w:rPr>
          <w:rFonts w:hint="eastAsia"/>
          <w:color w:val="auto"/>
          <w:highlight w:val="none"/>
        </w:rPr>
        <w:t>报价有下列情形之一的，为无效报价：</w:t>
      </w:r>
    </w:p>
    <w:p w14:paraId="298FFBC1">
      <w:pPr>
        <w:pStyle w:val="45"/>
        <w:spacing w:before="156"/>
        <w:ind w:firstLine="480"/>
        <w:rPr>
          <w:color w:val="auto"/>
          <w:highlight w:val="none"/>
        </w:rPr>
      </w:pPr>
      <w:r>
        <w:rPr>
          <w:rFonts w:hint="eastAsia"/>
          <w:color w:val="auto"/>
          <w:highlight w:val="none"/>
        </w:rPr>
        <w:t>A.报价因系统故障未在网上</w:t>
      </w:r>
      <w:r>
        <w:rPr>
          <w:rFonts w:hint="eastAsia"/>
          <w:color w:val="auto"/>
          <w:highlight w:val="none"/>
          <w:lang w:val="en-US" w:eastAsia="zh-CN"/>
        </w:rPr>
        <w:t>报价</w:t>
      </w:r>
      <w:r>
        <w:rPr>
          <w:rFonts w:hint="eastAsia"/>
          <w:color w:val="auto"/>
          <w:highlight w:val="none"/>
        </w:rPr>
        <w:t>期限内收到的；</w:t>
      </w:r>
    </w:p>
    <w:p w14:paraId="324F4394">
      <w:pPr>
        <w:pStyle w:val="45"/>
        <w:spacing w:before="156"/>
        <w:ind w:firstLine="480"/>
        <w:rPr>
          <w:color w:val="auto"/>
          <w:highlight w:val="none"/>
        </w:rPr>
      </w:pPr>
      <w:r>
        <w:rPr>
          <w:rFonts w:hint="eastAsia"/>
          <w:color w:val="auto"/>
          <w:highlight w:val="none"/>
        </w:rPr>
        <w:t>B.报价因</w:t>
      </w:r>
      <w:r>
        <w:rPr>
          <w:rFonts w:hint="eastAsia"/>
          <w:color w:val="auto"/>
          <w:highlight w:val="none"/>
          <w:lang w:eastAsia="zh-CN"/>
        </w:rPr>
        <w:t>供应商</w:t>
      </w:r>
      <w:r>
        <w:rPr>
          <w:rFonts w:hint="eastAsia"/>
          <w:color w:val="auto"/>
          <w:highlight w:val="none"/>
        </w:rPr>
        <w:t>网络故障未在网上</w:t>
      </w:r>
      <w:r>
        <w:rPr>
          <w:rFonts w:hint="eastAsia"/>
          <w:color w:val="auto"/>
          <w:highlight w:val="none"/>
          <w:lang w:val="en-US" w:eastAsia="zh-CN"/>
        </w:rPr>
        <w:t>报价</w:t>
      </w:r>
      <w:r>
        <w:rPr>
          <w:rFonts w:hint="eastAsia"/>
          <w:color w:val="auto"/>
          <w:highlight w:val="none"/>
        </w:rPr>
        <w:t>期限内收到的；</w:t>
      </w:r>
    </w:p>
    <w:p w14:paraId="74515C35">
      <w:pPr>
        <w:pStyle w:val="45"/>
        <w:spacing w:before="156"/>
        <w:ind w:firstLine="480"/>
        <w:rPr>
          <w:color w:val="auto"/>
          <w:highlight w:val="none"/>
        </w:rPr>
      </w:pPr>
      <w:r>
        <w:rPr>
          <w:rFonts w:hint="eastAsia"/>
          <w:color w:val="auto"/>
          <w:highlight w:val="none"/>
        </w:rPr>
        <w:t>C.报价高于起始价等不符合报价规则的；</w:t>
      </w:r>
    </w:p>
    <w:p w14:paraId="1243259C">
      <w:pPr>
        <w:pStyle w:val="45"/>
        <w:spacing w:before="156"/>
        <w:ind w:firstLine="480"/>
        <w:rPr>
          <w:color w:val="auto"/>
          <w:highlight w:val="none"/>
        </w:rPr>
      </w:pPr>
      <w:r>
        <w:rPr>
          <w:rFonts w:hint="eastAsia"/>
          <w:color w:val="auto"/>
          <w:highlight w:val="none"/>
        </w:rPr>
        <w:t>D.报价不符合</w:t>
      </w:r>
      <w:r>
        <w:rPr>
          <w:rFonts w:hint="eastAsia"/>
          <w:color w:val="auto"/>
          <w:highlight w:val="none"/>
          <w:lang w:val="en-US" w:eastAsia="zh-CN"/>
        </w:rPr>
        <w:t>谈判</w:t>
      </w:r>
      <w:r>
        <w:rPr>
          <w:rFonts w:hint="eastAsia"/>
          <w:color w:val="auto"/>
          <w:highlight w:val="none"/>
        </w:rPr>
        <w:t>文件规定的其他情形。</w:t>
      </w:r>
    </w:p>
    <w:p w14:paraId="00C9224C">
      <w:pPr>
        <w:pStyle w:val="45"/>
        <w:numPr>
          <w:ilvl w:val="0"/>
          <w:numId w:val="31"/>
        </w:numPr>
        <w:spacing w:before="156"/>
        <w:ind w:firstLineChars="0"/>
        <w:outlineLvl w:val="9"/>
        <w:rPr>
          <w:color w:val="auto"/>
          <w:highlight w:val="none"/>
        </w:rPr>
      </w:pPr>
      <w:r>
        <w:rPr>
          <w:rFonts w:hint="eastAsia"/>
          <w:color w:val="auto"/>
          <w:highlight w:val="none"/>
        </w:rPr>
        <w:t>报价及系统接受报价、显示、确认报价</w:t>
      </w:r>
    </w:p>
    <w:p w14:paraId="62744218">
      <w:pPr>
        <w:pStyle w:val="45"/>
        <w:spacing w:before="156"/>
        <w:ind w:firstLine="480"/>
        <w:rPr>
          <w:color w:val="auto"/>
          <w:highlight w:val="none"/>
        </w:rPr>
      </w:pPr>
      <w:r>
        <w:rPr>
          <w:rFonts w:hint="eastAsia"/>
          <w:color w:val="auto"/>
          <w:highlight w:val="none"/>
        </w:rPr>
        <w:t>①系统从开始接受报价；</w:t>
      </w:r>
    </w:p>
    <w:p w14:paraId="1712FEBF">
      <w:pPr>
        <w:pStyle w:val="45"/>
        <w:spacing w:before="156"/>
        <w:ind w:firstLine="480"/>
        <w:rPr>
          <w:color w:val="auto"/>
          <w:highlight w:val="none"/>
        </w:rPr>
      </w:pPr>
      <w:r>
        <w:rPr>
          <w:rFonts w:hint="eastAsia"/>
          <w:color w:val="auto"/>
          <w:highlight w:val="none"/>
        </w:rPr>
        <w:t>②</w:t>
      </w:r>
      <w:r>
        <w:rPr>
          <w:rFonts w:hint="eastAsia"/>
          <w:color w:val="auto"/>
          <w:highlight w:val="none"/>
          <w:lang w:eastAsia="zh-CN"/>
        </w:rPr>
        <w:t>供应商</w:t>
      </w:r>
      <w:r>
        <w:rPr>
          <w:rFonts w:hint="eastAsia"/>
          <w:color w:val="auto"/>
          <w:highlight w:val="none"/>
        </w:rPr>
        <w:t>通过系统进行报价，该报价须为当前系统确认的最低报价。</w:t>
      </w:r>
    </w:p>
    <w:p w14:paraId="1F401FC3">
      <w:pPr>
        <w:pStyle w:val="45"/>
        <w:numPr>
          <w:ilvl w:val="0"/>
          <w:numId w:val="30"/>
        </w:numPr>
        <w:spacing w:before="156"/>
        <w:ind w:firstLine="480"/>
        <w:outlineLvl w:val="9"/>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开始</w:t>
      </w:r>
    </w:p>
    <w:p w14:paraId="62712434">
      <w:pPr>
        <w:pStyle w:val="45"/>
        <w:spacing w:before="156"/>
        <w:ind w:firstLine="480"/>
        <w:rPr>
          <w:color w:val="auto"/>
          <w:highlight w:val="none"/>
        </w:rPr>
      </w:pPr>
      <w:r>
        <w:rPr>
          <w:rFonts w:hint="eastAsia"/>
          <w:color w:val="auto"/>
          <w:highlight w:val="none"/>
        </w:rPr>
        <w:t>网上</w:t>
      </w:r>
      <w:r>
        <w:rPr>
          <w:rFonts w:hint="eastAsia"/>
          <w:color w:val="auto"/>
          <w:highlight w:val="none"/>
          <w:lang w:val="en-US" w:eastAsia="zh-CN"/>
        </w:rPr>
        <w:t>报价</w:t>
      </w:r>
      <w:r>
        <w:rPr>
          <w:rFonts w:hint="eastAsia"/>
          <w:color w:val="auto"/>
          <w:highlight w:val="none"/>
        </w:rPr>
        <w:t>分为自由</w:t>
      </w:r>
      <w:r>
        <w:rPr>
          <w:rFonts w:hint="eastAsia"/>
          <w:color w:val="auto"/>
          <w:highlight w:val="none"/>
          <w:lang w:val="en-US" w:eastAsia="zh-CN"/>
        </w:rPr>
        <w:t>报价</w:t>
      </w:r>
      <w:r>
        <w:rPr>
          <w:rFonts w:hint="eastAsia"/>
          <w:color w:val="auto"/>
          <w:highlight w:val="none"/>
        </w:rPr>
        <w:t>和限时</w:t>
      </w:r>
      <w:r>
        <w:rPr>
          <w:rFonts w:hint="eastAsia"/>
          <w:color w:val="auto"/>
          <w:highlight w:val="none"/>
          <w:lang w:val="en-US" w:eastAsia="zh-CN"/>
        </w:rPr>
        <w:t>报价</w:t>
      </w:r>
      <w:r>
        <w:rPr>
          <w:rFonts w:hint="eastAsia"/>
          <w:color w:val="auto"/>
          <w:highlight w:val="none"/>
        </w:rPr>
        <w:t>两个阶段；</w:t>
      </w:r>
    </w:p>
    <w:p w14:paraId="23EC6706">
      <w:pPr>
        <w:pStyle w:val="45"/>
        <w:spacing w:before="156"/>
        <w:ind w:firstLine="482"/>
        <w:rPr>
          <w:b/>
          <w:bCs/>
          <w:color w:val="auto"/>
          <w:highlight w:val="none"/>
        </w:rPr>
      </w:pPr>
      <w:r>
        <w:rPr>
          <w:rFonts w:hint="eastAsia" w:ascii="微软雅黑" w:hAnsi="微软雅黑" w:cs="微软雅黑"/>
          <w:szCs w:val="21"/>
        </w:rPr>
        <w:t>网上自由报价开始时间自通过评审专家评审通过后，系统自动颁发资格证书，</w:t>
      </w:r>
      <w:r>
        <w:rPr>
          <w:rFonts w:hint="eastAsia" w:ascii="微软雅黑" w:hAnsi="微软雅黑" w:cs="微软雅黑"/>
          <w:szCs w:val="21"/>
          <w:lang w:eastAsia="zh-CN"/>
        </w:rPr>
        <w:t>供应商</w:t>
      </w:r>
      <w:r>
        <w:rPr>
          <w:rFonts w:hint="eastAsia" w:ascii="微软雅黑" w:hAnsi="微软雅黑" w:cs="微软雅黑"/>
          <w:szCs w:val="21"/>
        </w:rPr>
        <w:t>即可在系统进行网上报价（</w:t>
      </w:r>
      <w:r>
        <w:rPr>
          <w:rFonts w:hint="eastAsia" w:ascii="微软雅黑" w:hAnsi="微软雅黑" w:cs="微软雅黑"/>
          <w:szCs w:val="21"/>
          <w:lang w:eastAsia="zh-CN"/>
        </w:rPr>
        <w:t>供应商</w:t>
      </w:r>
      <w:r>
        <w:rPr>
          <w:rFonts w:hint="eastAsia" w:ascii="微软雅黑" w:hAnsi="微软雅黑" w:cs="微软雅黑"/>
          <w:szCs w:val="21"/>
        </w:rPr>
        <w:t>在自由报价期间需进行至少一次有效报价，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ascii="微软雅黑" w:hAnsi="微软雅黑" w:cs="微软雅黑"/>
          <w:b/>
          <w:bCs/>
          <w:szCs w:val="21"/>
        </w:rPr>
        <w:t>取得资格的</w:t>
      </w:r>
      <w:r>
        <w:rPr>
          <w:rFonts w:hint="eastAsia" w:ascii="微软雅黑" w:hAnsi="微软雅黑" w:cs="微软雅黑"/>
          <w:b/>
          <w:bCs/>
          <w:szCs w:val="21"/>
          <w:lang w:eastAsia="zh-CN"/>
        </w:rPr>
        <w:t>供应商</w:t>
      </w:r>
      <w:r>
        <w:rPr>
          <w:rFonts w:hint="eastAsia" w:ascii="微软雅黑" w:hAnsi="微软雅黑" w:cs="微软雅黑"/>
          <w:b/>
          <w:bCs/>
          <w:szCs w:val="21"/>
        </w:rPr>
        <w:t>，按照报价规则的要求，在限时报价阶段，通过产权交易系统采用反向报价多次报价方式竞争。</w:t>
      </w:r>
    </w:p>
    <w:p w14:paraId="16D787C4">
      <w:pPr>
        <w:pStyle w:val="45"/>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开始时间由系统按公告规定自动确定。在公告规定的网上</w:t>
      </w:r>
      <w:r>
        <w:rPr>
          <w:rFonts w:hint="eastAsia"/>
          <w:color w:val="auto"/>
          <w:highlight w:val="none"/>
          <w:lang w:val="en-US" w:eastAsia="zh-CN"/>
        </w:rPr>
        <w:t>报价</w:t>
      </w:r>
      <w:r>
        <w:rPr>
          <w:rFonts w:hint="eastAsia"/>
          <w:color w:val="auto"/>
          <w:highlight w:val="none"/>
        </w:rPr>
        <w:t>开始时间前1分钟，系统将当前最低有效报价进行三次提示。</w:t>
      </w:r>
      <w:r>
        <w:rPr>
          <w:rFonts w:hint="eastAsia"/>
          <w:color w:val="auto"/>
          <w:highlight w:val="none"/>
          <w:lang w:val="en-US" w:eastAsia="zh-CN"/>
        </w:rPr>
        <w:t>报价</w:t>
      </w:r>
      <w:r>
        <w:rPr>
          <w:rFonts w:hint="eastAsia"/>
          <w:color w:val="auto"/>
          <w:highlight w:val="none"/>
        </w:rPr>
        <w:t>截止，按下列规则处理：</w:t>
      </w:r>
    </w:p>
    <w:p w14:paraId="00DCD601">
      <w:pPr>
        <w:pStyle w:val="45"/>
        <w:numPr>
          <w:ilvl w:val="0"/>
          <w:numId w:val="32"/>
        </w:numPr>
        <w:spacing w:before="156"/>
        <w:ind w:firstLineChars="0"/>
        <w:outlineLvl w:val="9"/>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期间无人报价</w:t>
      </w:r>
    </w:p>
    <w:p w14:paraId="4C4F645A">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期间，一直无人报价，网上自由</w:t>
      </w:r>
      <w:r>
        <w:rPr>
          <w:rFonts w:hint="eastAsia"/>
          <w:color w:val="auto"/>
          <w:highlight w:val="none"/>
          <w:lang w:val="en-US" w:eastAsia="zh-CN"/>
        </w:rPr>
        <w:t>报价</w:t>
      </w:r>
      <w:r>
        <w:rPr>
          <w:rFonts w:hint="eastAsia"/>
          <w:color w:val="auto"/>
          <w:highlight w:val="none"/>
        </w:rPr>
        <w:t>截止时，系统显示网上</w:t>
      </w:r>
      <w:r>
        <w:rPr>
          <w:rFonts w:hint="eastAsia"/>
          <w:color w:val="auto"/>
          <w:highlight w:val="none"/>
          <w:lang w:val="en-US" w:eastAsia="zh-CN"/>
        </w:rPr>
        <w:t>报价</w:t>
      </w:r>
      <w:r>
        <w:rPr>
          <w:rFonts w:hint="eastAsia"/>
          <w:color w:val="auto"/>
          <w:highlight w:val="none"/>
        </w:rPr>
        <w:t>不成交。</w:t>
      </w:r>
    </w:p>
    <w:p w14:paraId="430385C6">
      <w:pPr>
        <w:pStyle w:val="45"/>
        <w:numPr>
          <w:ilvl w:val="0"/>
          <w:numId w:val="32"/>
        </w:numPr>
        <w:spacing w:before="156"/>
        <w:ind w:firstLineChars="0"/>
        <w:outlineLvl w:val="9"/>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期间有</w:t>
      </w:r>
      <w:r>
        <w:rPr>
          <w:rFonts w:hint="eastAsia"/>
          <w:color w:val="auto"/>
          <w:highlight w:val="none"/>
          <w:lang w:val="en-US" w:eastAsia="zh-CN"/>
        </w:rPr>
        <w:t>三</w:t>
      </w:r>
      <w:r>
        <w:rPr>
          <w:rStyle w:val="37"/>
          <w:rFonts w:hint="eastAsia" w:ascii="宋体" w:hAnsi="宋体" w:cs="宋体"/>
          <w:bCs/>
          <w:color w:val="auto"/>
          <w:szCs w:val="24"/>
          <w:highlight w:val="none"/>
          <w:shd w:val="clear" w:color="auto" w:fill="FFFFFF"/>
        </w:rPr>
        <w:t>家或</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家以上</w:t>
      </w:r>
      <w:r>
        <w:rPr>
          <w:rFonts w:hint="eastAsia"/>
          <w:color w:val="auto"/>
          <w:highlight w:val="none"/>
        </w:rPr>
        <w:t>有效报价。</w:t>
      </w:r>
    </w:p>
    <w:p w14:paraId="7BD1E9A8">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截止时，有</w:t>
      </w:r>
      <w:r>
        <w:rPr>
          <w:rStyle w:val="37"/>
          <w:rFonts w:hint="eastAsia" w:ascii="宋体" w:hAnsi="宋体" w:cs="宋体"/>
          <w:bCs/>
          <w:color w:val="auto"/>
          <w:szCs w:val="24"/>
          <w:highlight w:val="none"/>
          <w:shd w:val="clear" w:color="auto" w:fill="FFFFFF"/>
          <w:lang w:val="en-US" w:eastAsia="zh-CN"/>
        </w:rPr>
        <w:t>3</w:t>
      </w:r>
      <w:r>
        <w:rPr>
          <w:rStyle w:val="37"/>
          <w:rFonts w:hint="eastAsia" w:ascii="宋体" w:hAnsi="宋体" w:cs="宋体"/>
          <w:bCs/>
          <w:color w:val="auto"/>
          <w:szCs w:val="24"/>
          <w:highlight w:val="none"/>
          <w:shd w:val="clear" w:color="auto" w:fill="FFFFFF"/>
        </w:rPr>
        <w:t>家及以上的</w:t>
      </w:r>
      <w:r>
        <w:rPr>
          <w:rFonts w:hint="eastAsia"/>
          <w:color w:val="auto"/>
          <w:highlight w:val="none"/>
          <w:lang w:eastAsia="zh-CN"/>
        </w:rPr>
        <w:t>供应商</w:t>
      </w:r>
      <w:r>
        <w:rPr>
          <w:rFonts w:hint="eastAsia"/>
          <w:color w:val="auto"/>
          <w:highlight w:val="none"/>
        </w:rPr>
        <w:t>有效报价，系统进入网上限时</w:t>
      </w:r>
      <w:r>
        <w:rPr>
          <w:rFonts w:hint="eastAsia"/>
          <w:color w:val="auto"/>
          <w:highlight w:val="none"/>
          <w:lang w:val="en-US" w:eastAsia="zh-CN"/>
        </w:rPr>
        <w:t>报价</w:t>
      </w:r>
      <w:r>
        <w:rPr>
          <w:rFonts w:hint="eastAsia"/>
          <w:color w:val="auto"/>
          <w:highlight w:val="none"/>
        </w:rPr>
        <w:t>程序。</w:t>
      </w:r>
    </w:p>
    <w:p w14:paraId="764F807A">
      <w:pPr>
        <w:pStyle w:val="45"/>
        <w:numPr>
          <w:ilvl w:val="0"/>
          <w:numId w:val="32"/>
        </w:numPr>
        <w:spacing w:before="156"/>
        <w:ind w:firstLineChars="0"/>
        <w:outlineLvl w:val="9"/>
        <w:rPr>
          <w:color w:val="auto"/>
          <w:highlight w:val="none"/>
        </w:rPr>
      </w:pPr>
      <w:r>
        <w:rPr>
          <w:rFonts w:hint="eastAsia"/>
          <w:color w:val="auto"/>
          <w:highlight w:val="none"/>
          <w:lang w:val="en-US" w:eastAsia="zh-CN"/>
        </w:rPr>
        <w:t>3</w:t>
      </w:r>
      <w:r>
        <w:rPr>
          <w:rFonts w:hint="eastAsia"/>
          <w:color w:val="auto"/>
          <w:highlight w:val="none"/>
        </w:rPr>
        <w:t>分钟倒计时</w:t>
      </w:r>
      <w:r>
        <w:rPr>
          <w:rFonts w:hint="eastAsia"/>
          <w:color w:val="auto"/>
          <w:highlight w:val="none"/>
          <w:lang w:val="en-US" w:eastAsia="zh-CN"/>
        </w:rPr>
        <w:t>报价</w:t>
      </w:r>
      <w:r>
        <w:rPr>
          <w:rFonts w:hint="eastAsia"/>
          <w:color w:val="auto"/>
          <w:highlight w:val="none"/>
        </w:rPr>
        <w:t>规则</w:t>
      </w:r>
    </w:p>
    <w:p w14:paraId="139BCFEC">
      <w:pPr>
        <w:pStyle w:val="45"/>
        <w:spacing w:before="156"/>
        <w:ind w:firstLine="480"/>
        <w:rPr>
          <w:color w:val="auto"/>
          <w:highlight w:val="none"/>
        </w:rPr>
      </w:pPr>
      <w:r>
        <w:rPr>
          <w:rFonts w:hint="eastAsia"/>
          <w:color w:val="auto"/>
          <w:highlight w:val="none"/>
        </w:rPr>
        <w:t>系统设置</w:t>
      </w:r>
      <w:r>
        <w:rPr>
          <w:rFonts w:hint="eastAsia"/>
          <w:color w:val="auto"/>
          <w:highlight w:val="none"/>
          <w:lang w:val="en-US" w:eastAsia="zh-CN"/>
        </w:rPr>
        <w:t>报价</w:t>
      </w:r>
      <w:r>
        <w:rPr>
          <w:rFonts w:hint="eastAsia"/>
          <w:color w:val="auto"/>
          <w:highlight w:val="none"/>
        </w:rPr>
        <w:t>开始时间到达，有</w:t>
      </w:r>
      <w:r>
        <w:rPr>
          <w:rFonts w:hint="eastAsia"/>
          <w:color w:val="auto"/>
          <w:highlight w:val="none"/>
          <w:lang w:eastAsia="zh-CN"/>
        </w:rPr>
        <w:t>供应商</w:t>
      </w:r>
      <w:r>
        <w:rPr>
          <w:rFonts w:hint="eastAsia"/>
          <w:color w:val="auto"/>
          <w:highlight w:val="none"/>
        </w:rPr>
        <w:t>参加网上限时</w:t>
      </w:r>
      <w:r>
        <w:rPr>
          <w:rFonts w:hint="eastAsia"/>
          <w:color w:val="auto"/>
          <w:highlight w:val="none"/>
          <w:lang w:val="en-US" w:eastAsia="zh-CN"/>
        </w:rPr>
        <w:t>报价</w:t>
      </w:r>
      <w:r>
        <w:rPr>
          <w:rFonts w:hint="eastAsia"/>
          <w:color w:val="auto"/>
          <w:highlight w:val="none"/>
        </w:rPr>
        <w:t>的，系统开始第一次</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可参加限时</w:t>
      </w:r>
      <w:r>
        <w:rPr>
          <w:rFonts w:hint="eastAsia"/>
          <w:color w:val="auto"/>
          <w:highlight w:val="none"/>
          <w:lang w:val="en-US" w:eastAsia="zh-CN"/>
        </w:rPr>
        <w:t>报价</w:t>
      </w:r>
      <w:r>
        <w:rPr>
          <w:rFonts w:hint="eastAsia"/>
          <w:color w:val="auto"/>
          <w:highlight w:val="none"/>
        </w:rPr>
        <w:t>，限时</w:t>
      </w:r>
      <w:r>
        <w:rPr>
          <w:rFonts w:hint="eastAsia"/>
          <w:color w:val="auto"/>
          <w:highlight w:val="none"/>
          <w:lang w:val="en-US" w:eastAsia="zh-CN"/>
        </w:rPr>
        <w:t>报价</w:t>
      </w:r>
      <w:r>
        <w:rPr>
          <w:rFonts w:hint="eastAsia"/>
          <w:color w:val="auto"/>
          <w:highlight w:val="none"/>
        </w:rPr>
        <w:t>中的报价应当在</w:t>
      </w:r>
      <w:r>
        <w:rPr>
          <w:rFonts w:hint="eastAsia"/>
          <w:color w:val="auto"/>
          <w:highlight w:val="none"/>
          <w:lang w:val="en-US" w:eastAsia="zh-CN"/>
        </w:rPr>
        <w:t>3</w:t>
      </w:r>
      <w:r>
        <w:rPr>
          <w:rFonts w:hint="eastAsia"/>
          <w:color w:val="auto"/>
          <w:highlight w:val="none"/>
        </w:rPr>
        <w:t>分钟倒计时内提交，报价规则按本须知规定执行。</w:t>
      </w:r>
    </w:p>
    <w:p w14:paraId="0E20861B">
      <w:pPr>
        <w:pStyle w:val="45"/>
        <w:spacing w:before="156"/>
        <w:ind w:firstLine="480"/>
        <w:rPr>
          <w:color w:val="auto"/>
          <w:highlight w:val="none"/>
        </w:rPr>
      </w:pPr>
      <w:r>
        <w:rPr>
          <w:rFonts w:hint="eastAsia"/>
          <w:color w:val="auto"/>
          <w:highlight w:val="none"/>
        </w:rPr>
        <w:t>如在</w:t>
      </w:r>
      <w:r>
        <w:rPr>
          <w:rFonts w:hint="eastAsia"/>
          <w:color w:val="auto"/>
          <w:highlight w:val="none"/>
          <w:lang w:val="en-US" w:eastAsia="zh-CN"/>
        </w:rPr>
        <w:t>3</w:t>
      </w:r>
      <w:r>
        <w:rPr>
          <w:rFonts w:hint="eastAsia"/>
          <w:color w:val="auto"/>
          <w:highlight w:val="none"/>
        </w:rPr>
        <w:t>分钟倒计时内的任一时刻，系统接收到具有网上限时</w:t>
      </w:r>
      <w:r>
        <w:rPr>
          <w:rFonts w:hint="eastAsia"/>
          <w:color w:val="auto"/>
          <w:highlight w:val="none"/>
          <w:lang w:val="en-US" w:eastAsia="zh-CN"/>
        </w:rPr>
        <w:t>报价</w:t>
      </w:r>
      <w:r>
        <w:rPr>
          <w:rFonts w:hint="eastAsia"/>
          <w:color w:val="auto"/>
          <w:highlight w:val="none"/>
        </w:rPr>
        <w:t>资格的任一</w:t>
      </w:r>
      <w:r>
        <w:rPr>
          <w:rFonts w:hint="eastAsia"/>
          <w:color w:val="auto"/>
          <w:highlight w:val="none"/>
          <w:lang w:eastAsia="zh-CN"/>
        </w:rPr>
        <w:t>供应商</w:t>
      </w:r>
      <w:r>
        <w:rPr>
          <w:rFonts w:hint="eastAsia"/>
          <w:color w:val="auto"/>
          <w:highlight w:val="none"/>
        </w:rPr>
        <w:t>有新的报价，系统则确认该最新报价，予以显示，并从此时刻起再顺延一个新的</w:t>
      </w:r>
      <w:r>
        <w:rPr>
          <w:rFonts w:hint="eastAsia"/>
          <w:color w:val="auto"/>
          <w:highlight w:val="none"/>
          <w:lang w:val="en-US" w:eastAsia="zh-CN"/>
        </w:rPr>
        <w:t>3</w:t>
      </w:r>
      <w:r>
        <w:rPr>
          <w:rFonts w:hint="eastAsia"/>
          <w:color w:val="auto"/>
          <w:highlight w:val="none"/>
        </w:rPr>
        <w:t>分钟倒计时，具有网上限时</w:t>
      </w:r>
      <w:r>
        <w:rPr>
          <w:rFonts w:hint="eastAsia"/>
          <w:color w:val="auto"/>
          <w:highlight w:val="none"/>
          <w:lang w:val="en-US" w:eastAsia="zh-CN"/>
        </w:rPr>
        <w:t>报价</w:t>
      </w:r>
      <w:r>
        <w:rPr>
          <w:rFonts w:hint="eastAsia"/>
          <w:color w:val="auto"/>
          <w:highlight w:val="none"/>
        </w:rPr>
        <w:t>资格的</w:t>
      </w:r>
      <w:r>
        <w:rPr>
          <w:rFonts w:hint="eastAsia"/>
          <w:color w:val="auto"/>
          <w:highlight w:val="none"/>
          <w:lang w:eastAsia="zh-CN"/>
        </w:rPr>
        <w:t>供应商</w:t>
      </w:r>
      <w:r>
        <w:rPr>
          <w:rFonts w:hint="eastAsia"/>
          <w:color w:val="auto"/>
          <w:highlight w:val="none"/>
        </w:rPr>
        <w:t>可参加新一轮</w:t>
      </w:r>
      <w:r>
        <w:rPr>
          <w:rFonts w:hint="eastAsia"/>
          <w:color w:val="auto"/>
          <w:highlight w:val="none"/>
          <w:lang w:val="en-US" w:eastAsia="zh-CN"/>
        </w:rPr>
        <w:t>报价</w:t>
      </w:r>
      <w:r>
        <w:rPr>
          <w:rFonts w:hint="eastAsia"/>
          <w:color w:val="auto"/>
          <w:highlight w:val="none"/>
        </w:rPr>
        <w:t>，并按此方式不断顺延下去，直至</w:t>
      </w:r>
      <w:r>
        <w:rPr>
          <w:rFonts w:hint="eastAsia"/>
          <w:color w:val="auto"/>
          <w:highlight w:val="none"/>
          <w:lang w:val="en-US" w:eastAsia="zh-CN"/>
        </w:rPr>
        <w:t>报价</w:t>
      </w:r>
      <w:r>
        <w:rPr>
          <w:rFonts w:hint="eastAsia"/>
          <w:color w:val="auto"/>
          <w:highlight w:val="none"/>
        </w:rPr>
        <w:t>结束。</w:t>
      </w:r>
    </w:p>
    <w:p w14:paraId="0EE08440">
      <w:pPr>
        <w:pStyle w:val="45"/>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在</w:t>
      </w:r>
      <w:r>
        <w:rPr>
          <w:rFonts w:hint="eastAsia"/>
          <w:color w:val="auto"/>
          <w:highlight w:val="none"/>
          <w:lang w:val="en-US" w:eastAsia="zh-CN"/>
        </w:rPr>
        <w:t>3</w:t>
      </w:r>
      <w:r>
        <w:rPr>
          <w:rFonts w:hint="eastAsia"/>
          <w:color w:val="auto"/>
          <w:highlight w:val="none"/>
        </w:rPr>
        <w:t>分钟倒计时延续到最后1分钟，系统对当前最低有效报价进行三次提示，每次提示延时20秒。最后一次提示延时完成，限时</w:t>
      </w:r>
      <w:r>
        <w:rPr>
          <w:rFonts w:hint="eastAsia"/>
          <w:color w:val="auto"/>
          <w:highlight w:val="none"/>
          <w:lang w:val="en-US" w:eastAsia="zh-CN"/>
        </w:rPr>
        <w:t>报价</w:t>
      </w:r>
      <w:r>
        <w:rPr>
          <w:rFonts w:hint="eastAsia"/>
          <w:color w:val="auto"/>
          <w:highlight w:val="none"/>
        </w:rPr>
        <w:t>结束，系统按规定确认成交结果。</w:t>
      </w:r>
    </w:p>
    <w:p w14:paraId="213B0100">
      <w:pPr>
        <w:pStyle w:val="45"/>
        <w:numPr>
          <w:ilvl w:val="0"/>
          <w:numId w:val="32"/>
        </w:numPr>
        <w:spacing w:before="156"/>
        <w:ind w:firstLineChars="0"/>
        <w:outlineLvl w:val="9"/>
        <w:rPr>
          <w:color w:val="auto"/>
          <w:highlight w:val="none"/>
        </w:rPr>
      </w:pPr>
      <w:r>
        <w:rPr>
          <w:rFonts w:hint="eastAsia"/>
          <w:color w:val="auto"/>
          <w:highlight w:val="none"/>
        </w:rPr>
        <w:t>成交结果报告</w:t>
      </w:r>
    </w:p>
    <w:p w14:paraId="1B977D6E">
      <w:pPr>
        <w:pStyle w:val="45"/>
        <w:numPr>
          <w:ilvl w:val="0"/>
          <w:numId w:val="33"/>
        </w:numPr>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有人报价，限时</w:t>
      </w:r>
      <w:r>
        <w:rPr>
          <w:rFonts w:hint="eastAsia"/>
          <w:color w:val="auto"/>
          <w:highlight w:val="none"/>
          <w:lang w:val="en-US" w:eastAsia="zh-CN"/>
        </w:rPr>
        <w:t>报价</w:t>
      </w:r>
      <w:r>
        <w:rPr>
          <w:rFonts w:hint="eastAsia"/>
          <w:color w:val="auto"/>
          <w:highlight w:val="none"/>
        </w:rPr>
        <w:t>无人报价时的成交结果报告</w:t>
      </w:r>
    </w:p>
    <w:p w14:paraId="2CE76849">
      <w:pPr>
        <w:pStyle w:val="45"/>
        <w:spacing w:before="156"/>
        <w:ind w:firstLine="48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有</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个或</w:t>
      </w:r>
      <w:r>
        <w:rPr>
          <w:rStyle w:val="37"/>
          <w:rFonts w:hint="eastAsia" w:ascii="宋体" w:hAnsi="宋体" w:cs="宋体"/>
          <w:bCs/>
          <w:color w:val="auto"/>
          <w:szCs w:val="24"/>
          <w:highlight w:val="none"/>
          <w:shd w:val="clear" w:color="auto" w:fill="FFFFFF"/>
          <w:lang w:val="en-US" w:eastAsia="zh-CN"/>
        </w:rPr>
        <w:t>三</w:t>
      </w:r>
      <w:r>
        <w:rPr>
          <w:rStyle w:val="37"/>
          <w:rFonts w:hint="eastAsia" w:ascii="宋体" w:hAnsi="宋体" w:cs="宋体"/>
          <w:bCs/>
          <w:color w:val="auto"/>
          <w:szCs w:val="24"/>
          <w:highlight w:val="none"/>
          <w:shd w:val="clear" w:color="auto" w:fill="FFFFFF"/>
        </w:rPr>
        <w:t>个以上</w:t>
      </w:r>
      <w:r>
        <w:rPr>
          <w:rFonts w:hint="eastAsia"/>
          <w:color w:val="auto"/>
          <w:highlight w:val="none"/>
          <w:lang w:eastAsia="zh-CN"/>
        </w:rPr>
        <w:t>供应商</w:t>
      </w:r>
      <w:r>
        <w:rPr>
          <w:rFonts w:hint="eastAsia"/>
          <w:color w:val="auto"/>
          <w:highlight w:val="none"/>
        </w:rPr>
        <w:t>有效报价，但无人进入限时</w:t>
      </w:r>
      <w:r>
        <w:rPr>
          <w:rFonts w:hint="eastAsia"/>
          <w:color w:val="auto"/>
          <w:highlight w:val="none"/>
          <w:lang w:val="en-US" w:eastAsia="zh-CN"/>
        </w:rPr>
        <w:t>报价</w:t>
      </w:r>
      <w:r>
        <w:rPr>
          <w:rFonts w:hint="eastAsia"/>
          <w:color w:val="auto"/>
          <w:highlight w:val="none"/>
        </w:rPr>
        <w:t>时，系统将最低有效报价与保留价（底价）进行比较，按下列规定确定网上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w:t>
      </w:r>
    </w:p>
    <w:p w14:paraId="0ECFF622">
      <w:pPr>
        <w:pStyle w:val="45"/>
        <w:spacing w:before="156"/>
        <w:ind w:firstLine="480"/>
        <w:rPr>
          <w:color w:val="auto"/>
          <w:highlight w:val="none"/>
        </w:rPr>
      </w:pPr>
      <w:r>
        <w:rPr>
          <w:rFonts w:hint="eastAsia"/>
          <w:color w:val="auto"/>
          <w:highlight w:val="none"/>
        </w:rPr>
        <w:t>最低有效报价不高于保留价（底价）的，应在</w:t>
      </w:r>
      <w:r>
        <w:rPr>
          <w:rFonts w:hint="eastAsia"/>
          <w:color w:val="auto"/>
          <w:highlight w:val="none"/>
          <w:lang w:val="en-US" w:eastAsia="zh-CN"/>
        </w:rPr>
        <w:t>报价</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1DC1513B">
      <w:pPr>
        <w:pStyle w:val="45"/>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6842AA0E">
      <w:pPr>
        <w:pStyle w:val="45"/>
        <w:numPr>
          <w:ilvl w:val="0"/>
          <w:numId w:val="33"/>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中有人报价时的成交结果报告</w:t>
      </w:r>
    </w:p>
    <w:p w14:paraId="031D764B">
      <w:pPr>
        <w:pStyle w:val="45"/>
        <w:spacing w:before="156"/>
        <w:ind w:firstLine="480"/>
        <w:rPr>
          <w:color w:val="auto"/>
          <w:highlight w:val="none"/>
        </w:rPr>
      </w:pPr>
      <w:r>
        <w:rPr>
          <w:rFonts w:hint="eastAsia"/>
          <w:color w:val="auto"/>
          <w:highlight w:val="none"/>
        </w:rPr>
        <w:t>任何一次完整的</w:t>
      </w:r>
      <w:r>
        <w:rPr>
          <w:rFonts w:hint="eastAsia"/>
          <w:color w:val="auto"/>
          <w:highlight w:val="none"/>
          <w:lang w:val="en-US" w:eastAsia="zh-CN"/>
        </w:rPr>
        <w:t>3</w:t>
      </w:r>
      <w:r>
        <w:rPr>
          <w:rFonts w:hint="eastAsia"/>
          <w:color w:val="auto"/>
          <w:highlight w:val="none"/>
        </w:rPr>
        <w:t>分钟倒计时截止时，系统会自动关闭限时</w:t>
      </w:r>
      <w:r>
        <w:rPr>
          <w:rFonts w:hint="eastAsia"/>
          <w:color w:val="auto"/>
          <w:highlight w:val="none"/>
          <w:lang w:val="en-US" w:eastAsia="zh-CN"/>
        </w:rPr>
        <w:t>报价</w:t>
      </w:r>
      <w:r>
        <w:rPr>
          <w:rFonts w:hint="eastAsia"/>
          <w:color w:val="auto"/>
          <w:highlight w:val="none"/>
        </w:rPr>
        <w:t>中的报价通道，确认当前系统接受的最低有效报价为最终报价，系统将最低有效报价与保留价（底价）进行比较，按下列规定确定网上</w:t>
      </w:r>
      <w:r>
        <w:rPr>
          <w:rFonts w:hint="eastAsia"/>
          <w:color w:val="auto"/>
          <w:highlight w:val="none"/>
          <w:lang w:val="en-US" w:eastAsia="zh-CN"/>
        </w:rPr>
        <w:t>报价</w:t>
      </w:r>
      <w:r>
        <w:rPr>
          <w:rFonts w:hint="eastAsia"/>
          <w:color w:val="auto"/>
          <w:highlight w:val="none"/>
        </w:rPr>
        <w:t>结果报告：</w:t>
      </w:r>
    </w:p>
    <w:p w14:paraId="15573EFE">
      <w:pPr>
        <w:pStyle w:val="45"/>
        <w:spacing w:before="156"/>
        <w:ind w:firstLine="480"/>
        <w:rPr>
          <w:color w:val="auto"/>
          <w:highlight w:val="none"/>
        </w:rPr>
      </w:pPr>
      <w:r>
        <w:rPr>
          <w:rFonts w:hint="eastAsia"/>
          <w:color w:val="auto"/>
          <w:highlight w:val="none"/>
        </w:rPr>
        <w:t>最低有效报价不高于保留价（底价）的，在</w:t>
      </w:r>
      <w:r>
        <w:rPr>
          <w:rFonts w:hint="eastAsia"/>
          <w:color w:val="auto"/>
          <w:highlight w:val="none"/>
          <w:lang w:val="en-US" w:eastAsia="zh-CN"/>
        </w:rPr>
        <w:t>谈判</w:t>
      </w:r>
      <w:r>
        <w:rPr>
          <w:rFonts w:hint="eastAsia"/>
          <w:color w:val="auto"/>
          <w:highlight w:val="none"/>
        </w:rPr>
        <w:t>结束后，确定最低报价者为本项目的第一</w:t>
      </w:r>
      <w:r>
        <w:rPr>
          <w:rFonts w:hint="eastAsia"/>
          <w:color w:val="auto"/>
          <w:highlight w:val="none"/>
          <w:lang w:val="en-US" w:eastAsia="zh-CN"/>
        </w:rPr>
        <w:t>成交</w:t>
      </w:r>
      <w:r>
        <w:rPr>
          <w:rFonts w:hint="eastAsia"/>
          <w:color w:val="auto"/>
          <w:highlight w:val="none"/>
        </w:rPr>
        <w:t>候选人，由</w:t>
      </w:r>
      <w:r>
        <w:rPr>
          <w:rFonts w:hint="eastAsia"/>
          <w:color w:val="auto"/>
          <w:highlight w:val="none"/>
          <w:lang w:eastAsia="zh-CN"/>
        </w:rPr>
        <w:t>采购代理机构</w:t>
      </w:r>
      <w:r>
        <w:rPr>
          <w:rFonts w:hint="eastAsia"/>
          <w:color w:val="auto"/>
          <w:highlight w:val="none"/>
        </w:rPr>
        <w:t>向</w:t>
      </w:r>
      <w:r>
        <w:rPr>
          <w:rFonts w:hint="eastAsia"/>
          <w:color w:val="auto"/>
          <w:highlight w:val="none"/>
          <w:lang w:eastAsia="zh-CN"/>
        </w:rPr>
        <w:t>采购人</w:t>
      </w:r>
      <w:r>
        <w:rPr>
          <w:rFonts w:hint="eastAsia"/>
          <w:color w:val="auto"/>
          <w:highlight w:val="none"/>
        </w:rPr>
        <w:t>发出</w:t>
      </w:r>
      <w:r>
        <w:rPr>
          <w:rFonts w:hint="eastAsia"/>
          <w:color w:val="auto"/>
          <w:highlight w:val="none"/>
          <w:lang w:val="en-US" w:eastAsia="zh-CN"/>
        </w:rPr>
        <w:t>评审</w:t>
      </w:r>
      <w:r>
        <w:rPr>
          <w:rFonts w:hint="eastAsia"/>
          <w:color w:val="auto"/>
          <w:highlight w:val="none"/>
        </w:rPr>
        <w:t>报告；不符合的，不予发出</w:t>
      </w:r>
      <w:r>
        <w:rPr>
          <w:rFonts w:hint="eastAsia"/>
          <w:color w:val="auto"/>
          <w:highlight w:val="none"/>
          <w:lang w:val="en-US" w:eastAsia="zh-CN"/>
        </w:rPr>
        <w:t>评审</w:t>
      </w:r>
      <w:r>
        <w:rPr>
          <w:rFonts w:hint="eastAsia"/>
          <w:color w:val="auto"/>
          <w:highlight w:val="none"/>
        </w:rPr>
        <w:t>报告。</w:t>
      </w:r>
    </w:p>
    <w:p w14:paraId="54068B3E">
      <w:pPr>
        <w:pStyle w:val="45"/>
        <w:spacing w:before="156"/>
        <w:ind w:left="480" w:leftChars="200" w:firstLine="0" w:firstLineChars="0"/>
        <w:rPr>
          <w:color w:val="auto"/>
          <w:highlight w:val="none"/>
        </w:rPr>
      </w:pPr>
      <w:r>
        <w:rPr>
          <w:rFonts w:hint="eastAsia"/>
          <w:color w:val="auto"/>
          <w:highlight w:val="none"/>
        </w:rPr>
        <w:t>最低有效报价高于保留价的，系统显示网上</w:t>
      </w:r>
      <w:r>
        <w:rPr>
          <w:rFonts w:hint="eastAsia"/>
          <w:color w:val="auto"/>
          <w:highlight w:val="none"/>
          <w:lang w:val="en-US" w:eastAsia="zh-CN"/>
        </w:rPr>
        <w:t>报价</w:t>
      </w:r>
      <w:r>
        <w:rPr>
          <w:rFonts w:hint="eastAsia"/>
          <w:color w:val="auto"/>
          <w:highlight w:val="none"/>
        </w:rPr>
        <w:t>不成交。</w:t>
      </w:r>
    </w:p>
    <w:p w14:paraId="66392670">
      <w:pPr>
        <w:pStyle w:val="45"/>
        <w:numPr>
          <w:ilvl w:val="0"/>
          <w:numId w:val="33"/>
        </w:numPr>
        <w:spacing w:before="156"/>
        <w:ind w:firstLine="480"/>
        <w:rPr>
          <w:color w:val="auto"/>
          <w:highlight w:val="none"/>
        </w:rPr>
      </w:pPr>
      <w:r>
        <w:rPr>
          <w:rFonts w:hint="eastAsia"/>
          <w:color w:val="auto"/>
          <w:highlight w:val="none"/>
        </w:rPr>
        <w:t>网上限时</w:t>
      </w:r>
      <w:r>
        <w:rPr>
          <w:rFonts w:hint="eastAsia"/>
          <w:color w:val="auto"/>
          <w:highlight w:val="none"/>
          <w:lang w:val="en-US" w:eastAsia="zh-CN"/>
        </w:rPr>
        <w:t>报价</w:t>
      </w:r>
      <w:r>
        <w:rPr>
          <w:rFonts w:hint="eastAsia"/>
          <w:color w:val="auto"/>
          <w:highlight w:val="none"/>
        </w:rPr>
        <w:t>中无人报价时的</w:t>
      </w:r>
      <w:r>
        <w:rPr>
          <w:rFonts w:hint="eastAsia"/>
          <w:color w:val="auto"/>
          <w:highlight w:val="none"/>
          <w:lang w:val="en-US" w:eastAsia="zh-CN"/>
        </w:rPr>
        <w:t>报价</w:t>
      </w:r>
      <w:r>
        <w:rPr>
          <w:rFonts w:hint="eastAsia"/>
          <w:color w:val="auto"/>
          <w:highlight w:val="none"/>
        </w:rPr>
        <w:t>结果报告</w:t>
      </w:r>
    </w:p>
    <w:p w14:paraId="001AD5E5">
      <w:pPr>
        <w:pStyle w:val="45"/>
        <w:spacing w:before="156"/>
        <w:ind w:left="0" w:leftChars="0" w:firstLine="480" w:firstLineChars="200"/>
        <w:rPr>
          <w:color w:val="auto"/>
          <w:highlight w:val="none"/>
        </w:rPr>
      </w:pPr>
      <w:r>
        <w:rPr>
          <w:rFonts w:hint="eastAsia"/>
          <w:color w:val="auto"/>
          <w:highlight w:val="none"/>
        </w:rPr>
        <w:t>网上自由</w:t>
      </w:r>
      <w:r>
        <w:rPr>
          <w:rFonts w:hint="eastAsia"/>
          <w:color w:val="auto"/>
          <w:highlight w:val="none"/>
          <w:lang w:val="en-US" w:eastAsia="zh-CN"/>
        </w:rPr>
        <w:t>报价</w:t>
      </w:r>
      <w:r>
        <w:rPr>
          <w:rFonts w:hint="eastAsia"/>
          <w:color w:val="auto"/>
          <w:highlight w:val="none"/>
        </w:rPr>
        <w:t>中最先报得的最低有效报价且不高于保留价（底价）的，系统显示成交。</w:t>
      </w:r>
    </w:p>
    <w:p w14:paraId="526BE275">
      <w:pPr>
        <w:pStyle w:val="45"/>
        <w:spacing w:before="156"/>
        <w:ind w:left="480" w:leftChars="200" w:firstLine="0" w:firstLineChars="0"/>
        <w:rPr>
          <w:color w:val="auto"/>
          <w:highlight w:val="none"/>
        </w:rPr>
      </w:pPr>
      <w:r>
        <w:rPr>
          <w:rFonts w:hint="eastAsia"/>
          <w:color w:val="auto"/>
          <w:highlight w:val="none"/>
        </w:rPr>
        <w:t>最低有效报价高于保留价（底价）的，系统显示网上</w:t>
      </w:r>
      <w:r>
        <w:rPr>
          <w:rFonts w:hint="eastAsia"/>
          <w:color w:val="auto"/>
          <w:highlight w:val="none"/>
          <w:lang w:val="en-US" w:eastAsia="zh-CN"/>
        </w:rPr>
        <w:t>报价</w:t>
      </w:r>
      <w:r>
        <w:rPr>
          <w:rFonts w:hint="eastAsia"/>
          <w:color w:val="auto"/>
          <w:highlight w:val="none"/>
        </w:rPr>
        <w:t>不成交。</w:t>
      </w:r>
    </w:p>
    <w:p w14:paraId="766F4C99">
      <w:pPr>
        <w:pStyle w:val="6"/>
        <w:numPr>
          <w:ilvl w:val="0"/>
          <w:numId w:val="8"/>
        </w:numPr>
        <w:ind w:firstLine="480"/>
        <w:outlineLvl w:val="2"/>
        <w:rPr>
          <w:color w:val="auto"/>
          <w:highlight w:val="none"/>
        </w:rPr>
      </w:pPr>
      <w:r>
        <w:rPr>
          <w:rFonts w:hint="eastAsia"/>
          <w:color w:val="auto"/>
          <w:highlight w:val="none"/>
        </w:rPr>
        <w:t>保密要求</w:t>
      </w:r>
    </w:p>
    <w:p w14:paraId="52D9B389">
      <w:pPr>
        <w:pStyle w:val="45"/>
        <w:numPr>
          <w:ilvl w:val="0"/>
          <w:numId w:val="34"/>
        </w:numPr>
        <w:spacing w:before="240"/>
        <w:ind w:left="0" w:leftChars="0" w:firstLine="480" w:firstLineChars="200"/>
        <w:rPr>
          <w:color w:val="auto"/>
          <w:highlight w:val="none"/>
        </w:rPr>
      </w:pPr>
      <w:r>
        <w:rPr>
          <w:rFonts w:hint="eastAsia"/>
          <w:color w:val="auto"/>
          <w:highlight w:val="none"/>
        </w:rPr>
        <w:t>谈判小组成员以及与评审工作有关的人员不得泄露评审情况以及评审过程中获悉的国家秘密、商业秘密。</w:t>
      </w:r>
    </w:p>
    <w:p w14:paraId="1DABB57D">
      <w:pPr>
        <w:pStyle w:val="45"/>
        <w:numPr>
          <w:ilvl w:val="0"/>
          <w:numId w:val="34"/>
        </w:numPr>
        <w:spacing w:before="240"/>
        <w:ind w:left="0" w:leftChars="0" w:firstLine="480" w:firstLineChars="200"/>
        <w:rPr>
          <w:color w:val="auto"/>
          <w:highlight w:val="none"/>
        </w:rPr>
      </w:pPr>
      <w:r>
        <w:rPr>
          <w:rFonts w:hint="eastAsia"/>
          <w:color w:val="auto"/>
          <w:highlight w:val="none"/>
        </w:rPr>
        <w:t>供应商不得与采购人、采购代理机构、其他供应商恶意串通；不得向采购人、采购代理机构或者谈判小组成员行贿或者提供其他不正当利益；不得提供虚假材料谋取成交；不得以任何方式干扰、影响采购工作。</w:t>
      </w:r>
    </w:p>
    <w:p w14:paraId="1598E123">
      <w:pPr>
        <w:pStyle w:val="45"/>
        <w:numPr>
          <w:ilvl w:val="0"/>
          <w:numId w:val="34"/>
        </w:numPr>
        <w:spacing w:before="240"/>
        <w:ind w:left="0" w:leftChars="0" w:firstLine="480" w:firstLineChars="200"/>
        <w:rPr>
          <w:color w:val="auto"/>
          <w:highlight w:val="none"/>
        </w:rPr>
      </w:pPr>
      <w:r>
        <w:rPr>
          <w:rFonts w:hint="eastAsia"/>
          <w:color w:val="auto"/>
          <w:highlight w:val="none"/>
        </w:rPr>
        <w:t>有下列情形之一的，属于恶意串通，成交无效，并依照《政府采购法》第七十七条的规定追究法律责任：</w:t>
      </w:r>
    </w:p>
    <w:p w14:paraId="42D48E4A">
      <w:pPr>
        <w:pStyle w:val="45"/>
        <w:spacing w:before="240"/>
        <w:ind w:firstLine="480"/>
        <w:rPr>
          <w:color w:val="auto"/>
          <w:highlight w:val="none"/>
        </w:rPr>
      </w:pPr>
      <w:r>
        <w:rPr>
          <w:rFonts w:hint="eastAsia"/>
          <w:color w:val="auto"/>
          <w:highlight w:val="none"/>
        </w:rPr>
        <w:t>（1）供应商直接或者间接从采购人、采购代理机构获得其他供应商的响应情况，并修改其响应文件的；</w:t>
      </w:r>
    </w:p>
    <w:p w14:paraId="0AC24ADE">
      <w:pPr>
        <w:pStyle w:val="45"/>
        <w:spacing w:before="240"/>
        <w:ind w:firstLine="480"/>
        <w:outlineLvl w:val="9"/>
        <w:rPr>
          <w:color w:val="auto"/>
          <w:highlight w:val="none"/>
        </w:rPr>
      </w:pPr>
      <w:r>
        <w:rPr>
          <w:rFonts w:hint="eastAsia"/>
          <w:color w:val="auto"/>
          <w:highlight w:val="none"/>
        </w:rPr>
        <w:t>（2）采购人、采购代理机构授意供应商撤换、修改响应文件的；</w:t>
      </w:r>
    </w:p>
    <w:p w14:paraId="626AA6CC">
      <w:pPr>
        <w:pStyle w:val="45"/>
        <w:spacing w:before="240"/>
        <w:ind w:firstLine="480"/>
        <w:rPr>
          <w:color w:val="auto"/>
          <w:highlight w:val="none"/>
        </w:rPr>
      </w:pPr>
      <w:r>
        <w:rPr>
          <w:rFonts w:hint="eastAsia"/>
          <w:color w:val="auto"/>
          <w:highlight w:val="none"/>
        </w:rPr>
        <w:t>（3）供应商之间协商技术方案、合同条款以及报价等响应文件实质性内容的；</w:t>
      </w:r>
    </w:p>
    <w:p w14:paraId="7A136488">
      <w:pPr>
        <w:pStyle w:val="45"/>
        <w:spacing w:before="240"/>
        <w:ind w:firstLine="480"/>
        <w:rPr>
          <w:color w:val="auto"/>
          <w:highlight w:val="none"/>
        </w:rPr>
      </w:pPr>
      <w:r>
        <w:rPr>
          <w:rFonts w:hint="eastAsia"/>
          <w:color w:val="auto"/>
          <w:highlight w:val="none"/>
        </w:rPr>
        <w:t>（4）属于同一集团、协会、商会等组织成员的供应商按照该组织要求协同参加竞争性谈判政府采购活动的；</w:t>
      </w:r>
    </w:p>
    <w:p w14:paraId="3F7B3DC0">
      <w:pPr>
        <w:pStyle w:val="45"/>
        <w:spacing w:before="240"/>
        <w:ind w:firstLine="480"/>
        <w:outlineLvl w:val="9"/>
        <w:rPr>
          <w:color w:val="auto"/>
          <w:highlight w:val="none"/>
        </w:rPr>
      </w:pPr>
      <w:r>
        <w:rPr>
          <w:rFonts w:hint="eastAsia"/>
          <w:color w:val="auto"/>
          <w:highlight w:val="none"/>
        </w:rPr>
        <w:t>（5）供应商之间事先约定由某一特定供应商成交的；</w:t>
      </w:r>
    </w:p>
    <w:p w14:paraId="1A6CC756">
      <w:pPr>
        <w:pStyle w:val="45"/>
        <w:spacing w:before="240"/>
        <w:ind w:firstLine="480"/>
        <w:rPr>
          <w:color w:val="auto"/>
          <w:highlight w:val="none"/>
        </w:rPr>
      </w:pPr>
      <w:r>
        <w:rPr>
          <w:rFonts w:hint="eastAsia"/>
          <w:color w:val="auto"/>
          <w:highlight w:val="none"/>
        </w:rPr>
        <w:t>（6）供应商之间商定部分供应商放弃提交响应文件或者退出谈判或者放弃成交的；</w:t>
      </w:r>
    </w:p>
    <w:p w14:paraId="2E5EC70D">
      <w:pPr>
        <w:pStyle w:val="45"/>
        <w:spacing w:before="240"/>
        <w:ind w:firstLine="480"/>
        <w:rPr>
          <w:color w:val="auto"/>
          <w:highlight w:val="none"/>
        </w:rPr>
      </w:pPr>
      <w:r>
        <w:rPr>
          <w:rFonts w:hint="eastAsia"/>
          <w:color w:val="auto"/>
          <w:highlight w:val="none"/>
        </w:rPr>
        <w:t>（7）供应商与采购人、采购代理机构以及谈判小组成员之间、供应商相互之间，为谋求特定供应商成交或者排斥其他供应商的其他串通行为的。</w:t>
      </w:r>
    </w:p>
    <w:p w14:paraId="2419339A">
      <w:pPr>
        <w:pStyle w:val="45"/>
        <w:spacing w:before="240"/>
        <w:ind w:firstLine="480"/>
        <w:outlineLvl w:val="9"/>
        <w:rPr>
          <w:color w:val="auto"/>
          <w:highlight w:val="none"/>
        </w:rPr>
      </w:pPr>
      <w:r>
        <w:rPr>
          <w:rFonts w:hint="eastAsia"/>
          <w:color w:val="auto"/>
          <w:highlight w:val="none"/>
        </w:rPr>
        <w:t>（8）法律、行政法规或规章规定的其他串通行为。</w:t>
      </w:r>
    </w:p>
    <w:p w14:paraId="62AD5840">
      <w:pPr>
        <w:pStyle w:val="6"/>
        <w:numPr>
          <w:ilvl w:val="0"/>
          <w:numId w:val="8"/>
        </w:numPr>
        <w:ind w:firstLine="480"/>
        <w:outlineLvl w:val="2"/>
        <w:rPr>
          <w:color w:val="auto"/>
          <w:highlight w:val="none"/>
        </w:rPr>
      </w:pPr>
      <w:r>
        <w:rPr>
          <w:rFonts w:hint="eastAsia"/>
          <w:color w:val="auto"/>
          <w:highlight w:val="none"/>
          <w:lang w:val="en-US" w:eastAsia="zh-CN"/>
        </w:rPr>
        <w:t>重新评审</w:t>
      </w:r>
    </w:p>
    <w:p w14:paraId="25B7FEB6">
      <w:pPr>
        <w:pStyle w:val="45"/>
        <w:spacing w:before="240"/>
        <w:ind w:firstLine="480"/>
        <w:rPr>
          <w:color w:val="auto"/>
          <w:highlight w:val="none"/>
        </w:rPr>
      </w:pPr>
      <w:r>
        <w:rPr>
          <w:color w:val="auto"/>
          <w:highlight w:val="none"/>
        </w:rPr>
        <w:t>除资格性审查认定错误和价格计算错误外，采购人、采购代理机构不</w:t>
      </w:r>
      <w:r>
        <w:rPr>
          <w:rFonts w:hint="eastAsia"/>
          <w:color w:val="auto"/>
          <w:highlight w:val="none"/>
          <w:lang w:val="en-US" w:eastAsia="zh-CN"/>
        </w:rPr>
        <w:t>得</w:t>
      </w:r>
      <w:r>
        <w:rPr>
          <w:color w:val="auto"/>
          <w:highlight w:val="none"/>
        </w:rPr>
        <w:t>以任何理由组织重新评审。</w:t>
      </w:r>
    </w:p>
    <w:p w14:paraId="7D05E330">
      <w:pPr>
        <w:pStyle w:val="45"/>
        <w:spacing w:before="240"/>
        <w:ind w:firstLine="480"/>
        <w:rPr>
          <w:color w:val="auto"/>
          <w:highlight w:val="none"/>
        </w:rPr>
      </w:pPr>
      <w:r>
        <w:rPr>
          <w:color w:val="auto"/>
          <w:highlight w:val="none"/>
        </w:rPr>
        <w:t>采购人、采购代理机构发现谈判小组未按照谈判文件规定的评定成交的标准进行评审的，应当重新开展采购活动，并同时书面报告本级财政部门。</w:t>
      </w:r>
    </w:p>
    <w:p w14:paraId="64241FB5">
      <w:pPr>
        <w:pStyle w:val="6"/>
        <w:numPr>
          <w:ilvl w:val="0"/>
          <w:numId w:val="8"/>
        </w:numPr>
        <w:ind w:firstLine="480"/>
        <w:outlineLvl w:val="2"/>
        <w:rPr>
          <w:color w:val="auto"/>
          <w:highlight w:val="none"/>
        </w:rPr>
      </w:pPr>
      <w:r>
        <w:rPr>
          <w:rFonts w:hint="eastAsia"/>
          <w:color w:val="auto"/>
          <w:highlight w:val="none"/>
        </w:rPr>
        <w:t>成交信息公布</w:t>
      </w:r>
    </w:p>
    <w:p w14:paraId="3A292141">
      <w:pPr>
        <w:pStyle w:val="45"/>
        <w:numPr>
          <w:ilvl w:val="0"/>
          <w:numId w:val="35"/>
        </w:numPr>
        <w:spacing w:before="156"/>
        <w:ind w:firstLine="480"/>
        <w:rPr>
          <w:rFonts w:hint="eastAsia"/>
          <w:color w:val="auto"/>
          <w:highlight w:val="none"/>
        </w:rPr>
      </w:pPr>
      <w:r>
        <w:rPr>
          <w:rFonts w:hint="eastAsia"/>
          <w:color w:val="auto"/>
          <w:highlight w:val="none"/>
        </w:rPr>
        <w:t>采用公开招标最低评标价法和竞争性谈判方式的项目，评标委员会、谈判小组应当根据通过资格审核和符合性审查的供应商的报价，按照报价由低到高的顺序推荐3个中标、成交候选人，并编写评审报告。第一中标、成交候选人的报价应当等于或者小于保留价。采购人应当按照评审报告推荐的中标、成交候选人的顺序确定中标、成交供应商。</w:t>
      </w:r>
    </w:p>
    <w:p w14:paraId="320E29A6">
      <w:pPr>
        <w:pStyle w:val="45"/>
        <w:numPr>
          <w:ilvl w:val="0"/>
          <w:numId w:val="35"/>
        </w:numPr>
        <w:spacing w:before="156"/>
        <w:ind w:firstLine="480"/>
        <w:rPr>
          <w:rFonts w:hint="eastAsia"/>
          <w:color w:val="auto"/>
          <w:highlight w:val="none"/>
        </w:rPr>
      </w:pPr>
      <w:r>
        <w:rPr>
          <w:rFonts w:hint="eastAsia"/>
          <w:color w:val="auto"/>
          <w:highlight w:val="none"/>
        </w:rPr>
        <w:t>若第一中标、成交候选人主动放弃或者未按照采购文件要求提交履约保证金或者未按时与采购人签订合同而被取消资格后，第二中标、成交候选人同意按照高于第一中标、成交候选人一个减价幅度的报价的，则第二中标、成交候选人应当确定为中标、成交供应商。</w:t>
      </w:r>
    </w:p>
    <w:p w14:paraId="4B9F8FFC">
      <w:pPr>
        <w:pStyle w:val="45"/>
        <w:numPr>
          <w:ilvl w:val="0"/>
          <w:numId w:val="35"/>
        </w:numPr>
        <w:spacing w:before="156"/>
        <w:ind w:firstLine="480"/>
        <w:rPr>
          <w:rFonts w:hint="eastAsia"/>
          <w:color w:val="auto"/>
          <w:highlight w:val="none"/>
        </w:rPr>
      </w:pPr>
      <w:r>
        <w:rPr>
          <w:rFonts w:hint="eastAsia"/>
          <w:color w:val="auto"/>
          <w:highlight w:val="none"/>
        </w:rPr>
        <w:t>若第二中标、成交候选人不接受此成交条件，第三中标、成交候选人同意按照高于第一中标、成交候选人一个减价幅度的报价的，则第三中标、成交候选人应当确定为中标、成交供应商。</w:t>
      </w:r>
    </w:p>
    <w:p w14:paraId="3A6DFE79">
      <w:pPr>
        <w:pStyle w:val="45"/>
        <w:numPr>
          <w:ilvl w:val="0"/>
          <w:numId w:val="35"/>
        </w:numPr>
        <w:spacing w:before="156"/>
        <w:ind w:firstLine="480"/>
        <w:rPr>
          <w:color w:val="auto"/>
          <w:highlight w:val="none"/>
        </w:rPr>
      </w:pPr>
      <w:r>
        <w:rPr>
          <w:rFonts w:hint="eastAsia"/>
          <w:color w:val="auto"/>
          <w:highlight w:val="none"/>
        </w:rPr>
        <w:t>若3个中标、成交候选人均不接受此成交条件，采购人应当重新组织采购活动。</w:t>
      </w:r>
    </w:p>
    <w:p w14:paraId="11F77BED">
      <w:pPr>
        <w:pStyle w:val="45"/>
        <w:numPr>
          <w:ilvl w:val="0"/>
          <w:numId w:val="35"/>
        </w:numPr>
        <w:spacing w:before="156"/>
        <w:ind w:firstLine="480"/>
        <w:rPr>
          <w:color w:val="auto"/>
          <w:highlight w:val="none"/>
        </w:rPr>
      </w:pPr>
      <w:r>
        <w:rPr>
          <w:rFonts w:hint="eastAsia"/>
          <w:color w:val="auto"/>
          <w:highlight w:val="none"/>
        </w:rPr>
        <w:t>成交公告内容应当包括</w:t>
      </w:r>
      <w:r>
        <w:rPr>
          <w:rFonts w:hint="eastAsia"/>
          <w:color w:val="auto"/>
          <w:highlight w:val="none"/>
          <w:lang w:eastAsia="zh-CN"/>
        </w:rPr>
        <w:t>采购人</w:t>
      </w:r>
      <w:r>
        <w:rPr>
          <w:rFonts w:hint="eastAsia"/>
          <w:color w:val="auto"/>
          <w:highlight w:val="none"/>
        </w:rPr>
        <w:t>及</w:t>
      </w:r>
      <w:r>
        <w:rPr>
          <w:rFonts w:hint="eastAsia"/>
          <w:color w:val="auto"/>
          <w:highlight w:val="none"/>
          <w:lang w:eastAsia="zh-CN"/>
        </w:rPr>
        <w:t>采购代理机构</w:t>
      </w:r>
      <w:r>
        <w:rPr>
          <w:rFonts w:hint="eastAsia"/>
          <w:color w:val="auto"/>
          <w:highlight w:val="none"/>
        </w:rPr>
        <w:t>的名称、地址、联系方式、项目名称和</w:t>
      </w:r>
      <w:r>
        <w:rPr>
          <w:rFonts w:hint="eastAsia"/>
          <w:color w:val="auto"/>
          <w:highlight w:val="none"/>
          <w:lang w:eastAsia="zh-CN"/>
        </w:rPr>
        <w:t>采购计划编号</w:t>
      </w:r>
      <w:r>
        <w:rPr>
          <w:rFonts w:hint="eastAsia"/>
          <w:color w:val="auto"/>
          <w:highlight w:val="none"/>
        </w:rPr>
        <w:t>，</w:t>
      </w:r>
      <w:r>
        <w:rPr>
          <w:rFonts w:hint="eastAsia"/>
          <w:color w:val="auto"/>
          <w:highlight w:val="none"/>
          <w:lang w:eastAsia="zh-CN"/>
        </w:rPr>
        <w:t>成交供应商</w:t>
      </w:r>
      <w:r>
        <w:rPr>
          <w:rFonts w:hint="eastAsia"/>
          <w:color w:val="auto"/>
          <w:highlight w:val="none"/>
        </w:rPr>
        <w:t>及其他候选人、地址和成交金额，评审情况及资格审查和符合性审查情况，成交结果公告期限、评审专家名单以及</w:t>
      </w:r>
      <w:r>
        <w:rPr>
          <w:rFonts w:hint="eastAsia"/>
          <w:color w:val="auto"/>
          <w:highlight w:val="none"/>
          <w:lang w:val="en-US" w:eastAsia="zh-CN"/>
        </w:rPr>
        <w:t>谈判</w:t>
      </w:r>
      <w:r>
        <w:rPr>
          <w:rFonts w:hint="eastAsia"/>
          <w:color w:val="auto"/>
          <w:highlight w:val="none"/>
        </w:rPr>
        <w:t>文件约定内容进行公告的内容。</w:t>
      </w:r>
    </w:p>
    <w:p w14:paraId="671BED58">
      <w:pPr>
        <w:pStyle w:val="6"/>
        <w:numPr>
          <w:ilvl w:val="0"/>
          <w:numId w:val="8"/>
        </w:numPr>
        <w:ind w:firstLine="480"/>
        <w:outlineLvl w:val="2"/>
        <w:rPr>
          <w:color w:val="auto"/>
          <w:highlight w:val="none"/>
        </w:rPr>
      </w:pPr>
      <w:r>
        <w:rPr>
          <w:rFonts w:hint="eastAsia"/>
          <w:color w:val="auto"/>
          <w:highlight w:val="none"/>
        </w:rPr>
        <w:t>成交通知</w:t>
      </w:r>
    </w:p>
    <w:p w14:paraId="08DBEF5A">
      <w:pPr>
        <w:pStyle w:val="45"/>
        <w:numPr>
          <w:ilvl w:val="0"/>
          <w:numId w:val="36"/>
        </w:numPr>
        <w:spacing w:before="156"/>
        <w:ind w:firstLine="480"/>
        <w:rPr>
          <w:color w:val="auto"/>
          <w:highlight w:val="none"/>
        </w:rPr>
      </w:pPr>
      <w:r>
        <w:rPr>
          <w:rFonts w:hint="eastAsia"/>
          <w:color w:val="auto"/>
          <w:highlight w:val="none"/>
        </w:rPr>
        <w:t>成交供应商确定后，采购人、采购代理机构将以书面形式向成交供应商发出成交通知书。成交通知书对采购人和成交供应商具有同等法律效力。</w:t>
      </w:r>
    </w:p>
    <w:p w14:paraId="4F56E1F8">
      <w:pPr>
        <w:pStyle w:val="45"/>
        <w:numPr>
          <w:ilvl w:val="0"/>
          <w:numId w:val="36"/>
        </w:numPr>
        <w:spacing w:before="156"/>
        <w:ind w:firstLine="480"/>
        <w:outlineLvl w:val="9"/>
        <w:rPr>
          <w:color w:val="auto"/>
          <w:highlight w:val="none"/>
        </w:rPr>
      </w:pPr>
      <w:r>
        <w:rPr>
          <w:rFonts w:hint="eastAsia"/>
          <w:color w:val="auto"/>
          <w:highlight w:val="none"/>
        </w:rPr>
        <w:t>成交通知书是合同文件的组成部分。</w:t>
      </w:r>
    </w:p>
    <w:p w14:paraId="3108DCFD">
      <w:pPr>
        <w:pStyle w:val="6"/>
        <w:numPr>
          <w:ilvl w:val="0"/>
          <w:numId w:val="8"/>
        </w:numPr>
        <w:ind w:firstLine="480"/>
        <w:outlineLvl w:val="2"/>
        <w:rPr>
          <w:color w:val="auto"/>
          <w:highlight w:val="none"/>
        </w:rPr>
      </w:pPr>
      <w:r>
        <w:rPr>
          <w:rFonts w:hint="eastAsia"/>
          <w:color w:val="auto"/>
          <w:highlight w:val="none"/>
          <w:lang w:eastAsia="zh-CN"/>
        </w:rPr>
        <w:t>履约保证金</w:t>
      </w:r>
    </w:p>
    <w:p w14:paraId="700138B2">
      <w:pPr>
        <w:pStyle w:val="45"/>
        <w:numPr>
          <w:ilvl w:val="0"/>
          <w:numId w:val="37"/>
        </w:numPr>
        <w:spacing w:before="156"/>
        <w:ind w:firstLine="480"/>
        <w:outlineLvl w:val="9"/>
        <w:rPr>
          <w:color w:val="auto"/>
          <w:highlight w:val="none"/>
        </w:rPr>
      </w:pPr>
      <w:r>
        <w:rPr>
          <w:rFonts w:hint="eastAsia"/>
          <w:color w:val="auto"/>
          <w:highlight w:val="none"/>
          <w:lang w:eastAsia="zh-CN"/>
        </w:rPr>
        <w:t>成交供应商</w:t>
      </w:r>
      <w:r>
        <w:rPr>
          <w:rFonts w:hint="eastAsia"/>
          <w:color w:val="auto"/>
          <w:highlight w:val="none"/>
        </w:rPr>
        <w:t>应按照</w:t>
      </w:r>
      <w:r>
        <w:rPr>
          <w:rFonts w:hint="eastAsia"/>
          <w:b/>
          <w:bCs/>
          <w:color w:val="auto"/>
          <w:highlight w:val="none"/>
        </w:rPr>
        <w:t>【</w:t>
      </w:r>
      <w:r>
        <w:rPr>
          <w:rFonts w:hint="eastAsia"/>
          <w:b/>
          <w:bCs/>
          <w:color w:val="auto"/>
          <w:highlight w:val="none"/>
          <w:lang w:eastAsia="zh-CN"/>
        </w:rPr>
        <w:t>供应商</w:t>
      </w:r>
      <w:r>
        <w:rPr>
          <w:rFonts w:hint="eastAsia"/>
          <w:b/>
          <w:bCs/>
          <w:color w:val="auto"/>
          <w:highlight w:val="none"/>
        </w:rPr>
        <w:t>须知前附表】</w:t>
      </w:r>
      <w:r>
        <w:rPr>
          <w:rFonts w:hint="eastAsia"/>
          <w:color w:val="auto"/>
          <w:highlight w:val="none"/>
        </w:rPr>
        <w:t>规定缴纳</w:t>
      </w:r>
      <w:r>
        <w:rPr>
          <w:rFonts w:hint="eastAsia"/>
          <w:color w:val="auto"/>
          <w:highlight w:val="none"/>
          <w:lang w:eastAsia="zh-CN"/>
        </w:rPr>
        <w:t>履约保证金</w:t>
      </w:r>
      <w:r>
        <w:rPr>
          <w:rFonts w:hint="eastAsia"/>
          <w:color w:val="auto"/>
          <w:highlight w:val="none"/>
        </w:rPr>
        <w:t>。</w:t>
      </w:r>
    </w:p>
    <w:p w14:paraId="6F1A7621">
      <w:pPr>
        <w:pStyle w:val="45"/>
        <w:numPr>
          <w:ilvl w:val="0"/>
          <w:numId w:val="37"/>
        </w:numPr>
        <w:spacing w:before="156"/>
        <w:ind w:firstLine="480"/>
        <w:rPr>
          <w:color w:val="auto"/>
          <w:highlight w:val="none"/>
        </w:rPr>
      </w:pPr>
      <w:r>
        <w:rPr>
          <w:rFonts w:hint="eastAsia"/>
          <w:color w:val="auto"/>
          <w:highlight w:val="none"/>
        </w:rPr>
        <w:t>如果成交供应商没有按照上述履约保证金的规定执行，将视为放弃成交资格。在此情况下，采购人可确定下一成交候选人为成交供应商，也可以重新开展采购活动。</w:t>
      </w:r>
    </w:p>
    <w:p w14:paraId="0D4B4370">
      <w:pPr>
        <w:pStyle w:val="6"/>
        <w:numPr>
          <w:ilvl w:val="0"/>
          <w:numId w:val="8"/>
        </w:numPr>
        <w:ind w:firstLine="480"/>
        <w:outlineLvl w:val="2"/>
        <w:rPr>
          <w:color w:val="auto"/>
          <w:highlight w:val="none"/>
        </w:rPr>
      </w:pPr>
      <w:r>
        <w:rPr>
          <w:rFonts w:hint="eastAsia"/>
          <w:color w:val="auto"/>
          <w:highlight w:val="none"/>
        </w:rPr>
        <w:t>签订合同</w:t>
      </w:r>
    </w:p>
    <w:p w14:paraId="215738CD">
      <w:pPr>
        <w:pStyle w:val="45"/>
        <w:numPr>
          <w:ilvl w:val="0"/>
          <w:numId w:val="38"/>
        </w:numPr>
        <w:spacing w:before="156"/>
        <w:ind w:firstLine="480"/>
        <w:rPr>
          <w:color w:val="auto"/>
          <w:highlight w:val="none"/>
        </w:rPr>
      </w:pPr>
      <w:r>
        <w:rPr>
          <w:rFonts w:hint="eastAsia"/>
          <w:color w:val="auto"/>
          <w:highlight w:val="none"/>
        </w:rPr>
        <w:t>采购人与成交供应商应当自发出成交通知书之日起 30 日内签订合同。</w:t>
      </w:r>
    </w:p>
    <w:p w14:paraId="4D791766">
      <w:pPr>
        <w:pStyle w:val="45"/>
        <w:numPr>
          <w:ilvl w:val="0"/>
          <w:numId w:val="38"/>
        </w:numPr>
        <w:spacing w:before="156"/>
        <w:ind w:firstLine="480"/>
        <w:rPr>
          <w:color w:val="auto"/>
          <w:highlight w:val="none"/>
        </w:rPr>
      </w:pPr>
      <w:r>
        <w:rPr>
          <w:rFonts w:hint="eastAsia"/>
          <w:color w:val="auto"/>
          <w:highlight w:val="none"/>
        </w:rPr>
        <w:t>谈判文件、成交供应商的响应文件及其澄清文件等，均为签订合同的依据。</w:t>
      </w:r>
    </w:p>
    <w:p w14:paraId="2D6B86E5">
      <w:pPr>
        <w:pStyle w:val="45"/>
        <w:numPr>
          <w:ilvl w:val="0"/>
          <w:numId w:val="38"/>
        </w:numPr>
        <w:spacing w:before="156"/>
        <w:ind w:firstLine="480"/>
        <w:rPr>
          <w:color w:val="auto"/>
          <w:highlight w:val="none"/>
        </w:rPr>
      </w:pPr>
      <w:r>
        <w:rPr>
          <w:rFonts w:hint="eastAsia"/>
          <w:color w:val="auto"/>
          <w:highlight w:val="none"/>
        </w:rPr>
        <w:t>成交供应商拒绝与采购人签订合同的，采购人可以按照评审报告推荐的成交候选人名单排序，确定下一成交候选人为成交供应商，也可以重新开展采购活动。成交供应商拒绝签订政府采购合同不得参加对该项目重新开展的采购活动。</w:t>
      </w:r>
    </w:p>
    <w:p w14:paraId="4A6F3D43">
      <w:pPr>
        <w:pStyle w:val="6"/>
        <w:numPr>
          <w:ilvl w:val="0"/>
          <w:numId w:val="8"/>
        </w:numPr>
        <w:ind w:firstLine="480"/>
        <w:outlineLvl w:val="2"/>
        <w:rPr>
          <w:color w:val="auto"/>
          <w:highlight w:val="none"/>
        </w:rPr>
      </w:pPr>
      <w:r>
        <w:rPr>
          <w:rFonts w:hint="eastAsia"/>
          <w:color w:val="auto"/>
          <w:highlight w:val="none"/>
          <w:lang w:val="en-US" w:eastAsia="zh-CN"/>
        </w:rPr>
        <w:t>政府采购政策</w:t>
      </w:r>
    </w:p>
    <w:p w14:paraId="51F49819">
      <w:pPr>
        <w:pStyle w:val="45"/>
        <w:spacing w:before="156"/>
        <w:ind w:firstLine="480"/>
        <w:rPr>
          <w:color w:val="auto"/>
          <w:highlight w:val="none"/>
        </w:rPr>
      </w:pPr>
      <w:r>
        <w:rPr>
          <w:rFonts w:hint="eastAsia"/>
          <w:color w:val="auto"/>
          <w:highlight w:val="none"/>
          <w:lang w:eastAsia="zh-CN"/>
        </w:rPr>
        <w:t>采用公开招标最低评标价法和竞争性谈判的项目，应当按照供应商的实际报价由低到高进行排序，不再享受价格扣除优惠政策</w:t>
      </w:r>
      <w:r>
        <w:rPr>
          <w:rFonts w:hint="eastAsia"/>
          <w:b/>
          <w:bCs/>
          <w:color w:val="auto"/>
          <w:highlight w:val="none"/>
        </w:rPr>
        <w:t>。</w:t>
      </w:r>
    </w:p>
    <w:p w14:paraId="71EC521A">
      <w:pPr>
        <w:pStyle w:val="6"/>
        <w:numPr>
          <w:ilvl w:val="0"/>
          <w:numId w:val="8"/>
        </w:numPr>
        <w:ind w:firstLine="480"/>
        <w:outlineLvl w:val="2"/>
        <w:rPr>
          <w:color w:val="auto"/>
          <w:highlight w:val="none"/>
        </w:rPr>
      </w:pPr>
      <w:r>
        <w:rPr>
          <w:rFonts w:hint="eastAsia"/>
          <w:color w:val="auto"/>
          <w:highlight w:val="none"/>
        </w:rPr>
        <w:t>人员回避</w:t>
      </w:r>
    </w:p>
    <w:p w14:paraId="7EE66C9D">
      <w:pPr>
        <w:pStyle w:val="45"/>
        <w:spacing w:before="156"/>
        <w:ind w:firstLine="480"/>
        <w:rPr>
          <w:color w:val="auto"/>
          <w:highlight w:val="none"/>
        </w:rPr>
      </w:pPr>
      <w:r>
        <w:rPr>
          <w:rFonts w:hint="eastAsia"/>
          <w:color w:val="auto"/>
          <w:highlight w:val="none"/>
          <w:lang w:eastAsia="zh-CN"/>
        </w:rPr>
        <w:t>供应商</w:t>
      </w:r>
      <w:r>
        <w:rPr>
          <w:rFonts w:hint="eastAsia"/>
          <w:color w:val="auto"/>
          <w:highlight w:val="none"/>
        </w:rPr>
        <w:t>认为</w:t>
      </w:r>
      <w:r>
        <w:rPr>
          <w:rFonts w:hint="eastAsia"/>
          <w:color w:val="auto"/>
          <w:highlight w:val="none"/>
          <w:lang w:eastAsia="zh-CN"/>
        </w:rPr>
        <w:t>采购人</w:t>
      </w:r>
      <w:r>
        <w:rPr>
          <w:rFonts w:hint="eastAsia"/>
          <w:color w:val="auto"/>
          <w:highlight w:val="none"/>
        </w:rPr>
        <w:t>及其相关人员有法律法规所列与其他</w:t>
      </w:r>
      <w:r>
        <w:rPr>
          <w:rFonts w:hint="eastAsia"/>
          <w:color w:val="auto"/>
          <w:highlight w:val="none"/>
          <w:lang w:eastAsia="zh-CN"/>
        </w:rPr>
        <w:t>供应商</w:t>
      </w:r>
      <w:r>
        <w:rPr>
          <w:rFonts w:hint="eastAsia"/>
          <w:color w:val="auto"/>
          <w:highlight w:val="none"/>
        </w:rPr>
        <w:t>有利害关系的，可以向</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书面提出回避申请，并说明理由。</w:t>
      </w:r>
    </w:p>
    <w:p w14:paraId="31B5B4FD">
      <w:pPr>
        <w:pStyle w:val="6"/>
        <w:numPr>
          <w:ilvl w:val="0"/>
          <w:numId w:val="8"/>
        </w:numPr>
        <w:ind w:firstLine="560"/>
        <w:outlineLvl w:val="2"/>
        <w:rPr>
          <w:rFonts w:cs="黑体"/>
          <w:color w:val="auto"/>
          <w:sz w:val="28"/>
          <w:highlight w:val="none"/>
        </w:rPr>
      </w:pPr>
      <w:r>
        <w:rPr>
          <w:rFonts w:hint="eastAsia" w:cs="黑体"/>
          <w:color w:val="auto"/>
          <w:sz w:val="28"/>
          <w:highlight w:val="none"/>
          <w:lang w:val="en-US" w:eastAsia="zh-CN"/>
        </w:rPr>
        <w:t>询问及</w:t>
      </w:r>
      <w:r>
        <w:rPr>
          <w:rFonts w:hint="eastAsia" w:cs="黑体"/>
          <w:color w:val="auto"/>
          <w:sz w:val="28"/>
          <w:highlight w:val="none"/>
        </w:rPr>
        <w:t>质疑</w:t>
      </w:r>
    </w:p>
    <w:p w14:paraId="6444F98C">
      <w:pPr>
        <w:pStyle w:val="45"/>
        <w:numPr>
          <w:ilvl w:val="0"/>
          <w:numId w:val="39"/>
        </w:numPr>
        <w:spacing w:before="240"/>
        <w:ind w:left="0" w:leftChars="0" w:firstLine="480" w:firstLineChars="200"/>
        <w:rPr>
          <w:color w:val="auto"/>
          <w:highlight w:val="none"/>
        </w:rPr>
      </w:pPr>
      <w:r>
        <w:rPr>
          <w:rFonts w:hint="eastAsia"/>
          <w:color w:val="auto"/>
          <w:highlight w:val="none"/>
        </w:rPr>
        <w:t>供应商对政府采购活动事项有疑问的，可以向采购人、采购代理机构提出询问。</w:t>
      </w:r>
    </w:p>
    <w:p w14:paraId="5805FE89">
      <w:pPr>
        <w:pStyle w:val="45"/>
        <w:numPr>
          <w:ilvl w:val="0"/>
          <w:numId w:val="39"/>
        </w:numPr>
        <w:spacing w:before="240"/>
        <w:ind w:left="0" w:leftChars="0" w:firstLine="480" w:firstLineChars="200"/>
        <w:rPr>
          <w:color w:val="auto"/>
          <w:highlight w:val="none"/>
        </w:rPr>
      </w:pPr>
      <w:r>
        <w:rPr>
          <w:rFonts w:hint="eastAsia"/>
          <w:color w:val="auto"/>
          <w:highlight w:val="none"/>
        </w:rPr>
        <w:t>供应商若认为谈判文件、采购过程和成交结果使自己的权益受到损害，可以按法律、规章及</w:t>
      </w:r>
      <w:r>
        <w:rPr>
          <w:rFonts w:ascii="宋体" w:hAnsi="宋体" w:eastAsia="宋体" w:cs="宋体"/>
          <w:color w:val="auto"/>
          <w:kern w:val="0"/>
          <w:sz w:val="24"/>
          <w:szCs w:val="24"/>
          <w:highlight w:val="none"/>
          <w:lang w:val="en-US" w:eastAsia="zh-CN" w:bidi="ar"/>
        </w:rPr>
        <w:t>《湖南省财政厅关于印发＜政府采购质疑答复和投诉处理操作规程＞的通知》(湘财购〔2024〕67号)</w:t>
      </w:r>
      <w:r>
        <w:rPr>
          <w:rFonts w:hint="eastAsia"/>
          <w:color w:val="auto"/>
          <w:highlight w:val="none"/>
        </w:rPr>
        <w:t>规定向采购人、采购代理机构提出质疑。</w:t>
      </w:r>
    </w:p>
    <w:p w14:paraId="0FE1A5BB">
      <w:pPr>
        <w:pStyle w:val="45"/>
        <w:numPr>
          <w:ilvl w:val="0"/>
          <w:numId w:val="39"/>
        </w:numPr>
        <w:spacing w:before="240"/>
        <w:ind w:left="0" w:leftChars="0" w:firstLine="480" w:firstLineChars="200"/>
        <w:rPr>
          <w:color w:val="auto"/>
          <w:highlight w:val="none"/>
        </w:rPr>
      </w:pPr>
      <w:r>
        <w:rPr>
          <w:rFonts w:hint="eastAsia"/>
          <w:color w:val="auto"/>
          <w:highlight w:val="none"/>
        </w:rPr>
        <w:t>质疑函接收部门、联系电话和通讯地址，见</w:t>
      </w:r>
      <w:r>
        <w:rPr>
          <w:rFonts w:hint="eastAsia" w:eastAsia="微软雅黑"/>
          <w:b/>
          <w:color w:val="auto"/>
          <w:highlight w:val="none"/>
        </w:rPr>
        <w:t>【供应商须知前附表】</w:t>
      </w:r>
      <w:r>
        <w:rPr>
          <w:rFonts w:hint="eastAsia"/>
          <w:color w:val="auto"/>
          <w:highlight w:val="none"/>
        </w:rPr>
        <w:t>。</w:t>
      </w:r>
    </w:p>
    <w:p w14:paraId="3D2491F1">
      <w:pPr>
        <w:pStyle w:val="6"/>
        <w:numPr>
          <w:ilvl w:val="0"/>
          <w:numId w:val="8"/>
        </w:numPr>
        <w:ind w:firstLine="480"/>
        <w:outlineLvl w:val="2"/>
        <w:rPr>
          <w:color w:val="auto"/>
          <w:highlight w:val="none"/>
        </w:rPr>
      </w:pPr>
      <w:r>
        <w:rPr>
          <w:rFonts w:hint="eastAsia"/>
          <w:color w:val="auto"/>
          <w:highlight w:val="none"/>
          <w:lang w:val="en-US" w:eastAsia="zh-CN"/>
        </w:rPr>
        <w:t>投诉</w:t>
      </w:r>
    </w:p>
    <w:p w14:paraId="62F45FD3">
      <w:pPr>
        <w:ind w:firstLine="480" w:firstLineChars="200"/>
        <w:rPr>
          <w:color w:val="auto"/>
          <w:highlight w:val="none"/>
        </w:rPr>
      </w:pPr>
      <w:r>
        <w:rPr>
          <w:rFonts w:hint="eastAsia"/>
          <w:color w:val="auto"/>
          <w:highlight w:val="none"/>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7A57A789">
      <w:pPr>
        <w:pStyle w:val="6"/>
        <w:numPr>
          <w:ilvl w:val="0"/>
          <w:numId w:val="8"/>
        </w:numPr>
        <w:ind w:firstLine="480"/>
        <w:outlineLvl w:val="2"/>
        <w:rPr>
          <w:color w:val="auto"/>
          <w:highlight w:val="none"/>
        </w:rPr>
      </w:pPr>
      <w:r>
        <w:rPr>
          <w:rFonts w:hint="eastAsia"/>
          <w:color w:val="auto"/>
          <w:highlight w:val="none"/>
        </w:rPr>
        <w:t>采购代理服务费</w:t>
      </w:r>
    </w:p>
    <w:p w14:paraId="13373A8F">
      <w:pPr>
        <w:pStyle w:val="45"/>
        <w:spacing w:before="240"/>
        <w:ind w:firstLine="480"/>
        <w:rPr>
          <w:color w:val="auto"/>
          <w:highlight w:val="none"/>
        </w:rPr>
      </w:pPr>
      <w:r>
        <w:rPr>
          <w:rFonts w:hint="eastAsia"/>
          <w:color w:val="auto"/>
          <w:highlight w:val="none"/>
        </w:rPr>
        <w:t>集中采购机构不得收取采购代理服务费。</w:t>
      </w:r>
    </w:p>
    <w:p w14:paraId="622F176C">
      <w:pPr>
        <w:pStyle w:val="6"/>
        <w:numPr>
          <w:ilvl w:val="0"/>
          <w:numId w:val="8"/>
        </w:numPr>
        <w:ind w:firstLine="480"/>
        <w:outlineLvl w:val="2"/>
        <w:rPr>
          <w:color w:val="auto"/>
          <w:highlight w:val="none"/>
        </w:rPr>
      </w:pPr>
      <w:r>
        <w:rPr>
          <w:rFonts w:hint="eastAsia"/>
          <w:color w:val="auto"/>
          <w:highlight w:val="none"/>
          <w:lang w:eastAsia="zh-CN"/>
        </w:rPr>
        <w:t>张家界市公共资源交易中心产权交易系统</w:t>
      </w:r>
      <w:r>
        <w:rPr>
          <w:rFonts w:hint="eastAsia"/>
          <w:color w:val="auto"/>
          <w:highlight w:val="none"/>
        </w:rPr>
        <w:t>操作须知</w:t>
      </w:r>
    </w:p>
    <w:p w14:paraId="3A9B668C">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应妥善保管数字证书，由于数字证书遗失、损坏、更换、续期等情况导致响应文件无法上传，由</w:t>
      </w:r>
      <w:r>
        <w:rPr>
          <w:rFonts w:hint="eastAsia"/>
          <w:color w:val="auto"/>
          <w:highlight w:val="none"/>
          <w:lang w:eastAsia="zh-CN"/>
        </w:rPr>
        <w:t>供应商</w:t>
      </w:r>
      <w:r>
        <w:rPr>
          <w:rFonts w:hint="eastAsia"/>
          <w:color w:val="auto"/>
          <w:highlight w:val="none"/>
        </w:rPr>
        <w:t>自行承担责任。</w:t>
      </w:r>
    </w:p>
    <w:p w14:paraId="537E7930">
      <w:pPr>
        <w:pStyle w:val="45"/>
        <w:numPr>
          <w:ilvl w:val="0"/>
          <w:numId w:val="40"/>
        </w:numPr>
        <w:spacing w:before="156"/>
        <w:ind w:left="0" w:firstLine="480"/>
        <w:rPr>
          <w:color w:val="auto"/>
          <w:highlight w:val="none"/>
        </w:rPr>
      </w:pPr>
      <w:r>
        <w:rPr>
          <w:rFonts w:hint="eastAsia"/>
          <w:color w:val="auto"/>
          <w:highlight w:val="none"/>
          <w:lang w:val="en-US" w:eastAsia="zh-CN"/>
        </w:rPr>
        <w:t>竞争性谈判</w:t>
      </w:r>
      <w:r>
        <w:rPr>
          <w:rFonts w:hint="eastAsia"/>
          <w:color w:val="auto"/>
          <w:highlight w:val="none"/>
        </w:rPr>
        <w:t>公告由</w:t>
      </w:r>
      <w:r>
        <w:rPr>
          <w:rFonts w:hint="eastAsia"/>
          <w:color w:val="auto"/>
          <w:highlight w:val="none"/>
          <w:lang w:eastAsia="zh-CN"/>
        </w:rPr>
        <w:t>采购代理机构</w:t>
      </w:r>
      <w:r>
        <w:rPr>
          <w:rFonts w:hint="eastAsia"/>
          <w:color w:val="auto"/>
          <w:highlight w:val="none"/>
        </w:rPr>
        <w:t>通过</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p>
    <w:p w14:paraId="4EFB3150">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登录张家界市公共资源交易网站</w:t>
      </w:r>
      <w:r>
        <w:rPr>
          <w:rFonts w:hint="eastAsia"/>
          <w:color w:val="auto"/>
          <w:highlight w:val="none"/>
          <w:lang w:eastAsia="zh-CN"/>
        </w:rPr>
        <w:t>、张家界市公共资源交易中心产权交易系统</w:t>
      </w:r>
      <w:r>
        <w:rPr>
          <w:rFonts w:hint="eastAsia"/>
          <w:color w:val="auto"/>
          <w:highlight w:val="none"/>
        </w:rPr>
        <w:t>获取</w:t>
      </w:r>
      <w:r>
        <w:rPr>
          <w:rFonts w:hint="eastAsia"/>
          <w:color w:val="auto"/>
          <w:highlight w:val="none"/>
          <w:lang w:val="en-US" w:eastAsia="zh-CN"/>
        </w:rPr>
        <w:t>谈判</w:t>
      </w:r>
      <w:r>
        <w:rPr>
          <w:rFonts w:hint="eastAsia"/>
          <w:color w:val="auto"/>
          <w:highlight w:val="none"/>
        </w:rPr>
        <w:t>文件。</w:t>
      </w:r>
    </w:p>
    <w:p w14:paraId="2A25C260">
      <w:pPr>
        <w:pStyle w:val="45"/>
        <w:numPr>
          <w:ilvl w:val="0"/>
          <w:numId w:val="40"/>
        </w:numPr>
        <w:spacing w:before="156"/>
        <w:ind w:left="0" w:firstLine="480"/>
        <w:rPr>
          <w:color w:val="auto"/>
          <w:highlight w:val="none"/>
        </w:rPr>
      </w:pPr>
      <w:r>
        <w:rPr>
          <w:rFonts w:hint="eastAsia"/>
          <w:color w:val="auto"/>
          <w:highlight w:val="none"/>
        </w:rPr>
        <w:t>澄清、修改文件应由</w:t>
      </w:r>
      <w:r>
        <w:rPr>
          <w:rFonts w:hint="eastAsia"/>
          <w:color w:val="auto"/>
          <w:highlight w:val="none"/>
          <w:lang w:eastAsia="zh-CN"/>
        </w:rPr>
        <w:t>采购代理机构</w:t>
      </w:r>
      <w:r>
        <w:rPr>
          <w:rFonts w:hint="eastAsia"/>
          <w:color w:val="auto"/>
          <w:highlight w:val="none"/>
        </w:rPr>
        <w:t>在</w:t>
      </w:r>
      <w:r>
        <w:rPr>
          <w:rFonts w:hint="eastAsia"/>
          <w:color w:val="auto"/>
          <w:highlight w:val="none"/>
          <w:lang w:val="en-US" w:eastAsia="zh-CN"/>
        </w:rPr>
        <w:t>中</w:t>
      </w:r>
      <w:r>
        <w:rPr>
          <w:rFonts w:hint="eastAsia"/>
          <w:color w:val="auto"/>
          <w:highlight w:val="none"/>
        </w:rPr>
        <w:t>国·湖南政府采购网</w:t>
      </w:r>
      <w:r>
        <w:rPr>
          <w:rFonts w:hint="eastAsia"/>
          <w:color w:val="auto"/>
          <w:highlight w:val="none"/>
          <w:lang w:eastAsia="zh-CN"/>
        </w:rPr>
        <w:t>、张家界市公共资源交易中心产权交易系统</w:t>
      </w:r>
      <w:r>
        <w:rPr>
          <w:rFonts w:hint="eastAsia"/>
          <w:color w:val="auto"/>
          <w:highlight w:val="none"/>
        </w:rPr>
        <w:t>、张家界市公共资源交易网站发布，</w:t>
      </w:r>
      <w:r>
        <w:rPr>
          <w:rFonts w:hint="eastAsia"/>
          <w:color w:val="auto"/>
          <w:highlight w:val="none"/>
          <w:lang w:eastAsia="zh-CN"/>
        </w:rPr>
        <w:t>供应商</w:t>
      </w:r>
      <w:r>
        <w:rPr>
          <w:rFonts w:hint="eastAsia"/>
          <w:color w:val="auto"/>
          <w:highlight w:val="none"/>
        </w:rPr>
        <w:t>应及时查阅相关澄清、修改信息。</w:t>
      </w:r>
    </w:p>
    <w:p w14:paraId="6697D817">
      <w:pPr>
        <w:pStyle w:val="45"/>
        <w:numPr>
          <w:ilvl w:val="0"/>
          <w:numId w:val="40"/>
        </w:numPr>
        <w:spacing w:before="156"/>
        <w:ind w:left="0" w:firstLine="480"/>
        <w:rPr>
          <w:color w:val="auto"/>
          <w:highlight w:val="none"/>
        </w:rPr>
      </w:pPr>
      <w:r>
        <w:rPr>
          <w:rFonts w:hint="eastAsia"/>
          <w:color w:val="auto"/>
          <w:highlight w:val="none"/>
          <w:lang w:val="en-US" w:eastAsia="zh-CN"/>
        </w:rPr>
        <w:t>供应商</w:t>
      </w:r>
      <w:r>
        <w:rPr>
          <w:rFonts w:hint="eastAsia"/>
          <w:color w:val="auto"/>
          <w:highlight w:val="none"/>
        </w:rPr>
        <w:t>须办理数字证书ukey（办理数字证书请登录湖南省CA证书与电子签章资源共享平台注册办理，或到</w:t>
      </w:r>
      <w:r>
        <w:rPr>
          <w:rFonts w:hint="eastAsia"/>
          <w:color w:val="auto"/>
          <w:highlight w:val="none"/>
          <w:lang w:val="en-US" w:eastAsia="zh-CN"/>
        </w:rPr>
        <w:t>张家界市公共资源交易中心</w:t>
      </w:r>
      <w:r>
        <w:rPr>
          <w:rFonts w:hint="eastAsia"/>
          <w:color w:val="auto"/>
          <w:highlight w:val="none"/>
        </w:rPr>
        <w:t>一楼大厅数字证书服务窗口办理。湖南省CA证书与电子签章资源共享平台登录地址：https://casign.hnsggzy.com:7080/ca-hunanplatform/operation/main</w:t>
      </w:r>
      <w:r>
        <w:rPr>
          <w:rFonts w:hint="eastAsia"/>
          <w:color w:val="auto"/>
          <w:highlight w:val="none"/>
          <w:lang w:eastAsia="zh-CN"/>
        </w:rPr>
        <w:t>。</w:t>
      </w:r>
      <w:r>
        <w:rPr>
          <w:rFonts w:hint="eastAsia"/>
          <w:color w:val="auto"/>
          <w:highlight w:val="none"/>
        </w:rPr>
        <w:t>），数字证书驱动下载请到张家界市公共资源交易中心</w:t>
      </w:r>
      <w:r>
        <w:rPr>
          <w:rFonts w:hint="eastAsia"/>
          <w:color w:val="auto"/>
          <w:highlight w:val="none"/>
          <w:lang w:eastAsia="zh-CN"/>
        </w:rPr>
        <w:t>产权交易</w:t>
      </w:r>
      <w:r>
        <w:rPr>
          <w:rFonts w:hint="eastAsia"/>
          <w:color w:val="auto"/>
          <w:highlight w:val="none"/>
        </w:rPr>
        <w:t>系统下载专用驱动。</w:t>
      </w:r>
    </w:p>
    <w:p w14:paraId="0D71026B">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必须于</w:t>
      </w:r>
      <w:r>
        <w:rPr>
          <w:rFonts w:hint="eastAsia"/>
          <w:color w:val="auto"/>
          <w:highlight w:val="none"/>
          <w:lang w:val="en-US" w:eastAsia="zh-CN"/>
        </w:rPr>
        <w:t>谈判</w:t>
      </w:r>
      <w:r>
        <w:rPr>
          <w:rFonts w:hint="eastAsia"/>
          <w:color w:val="auto"/>
          <w:highlight w:val="none"/>
        </w:rPr>
        <w:t>文件规定的</w:t>
      </w:r>
      <w:r>
        <w:rPr>
          <w:rFonts w:hint="eastAsia"/>
          <w:color w:val="auto"/>
          <w:highlight w:val="none"/>
          <w:lang w:eastAsia="zh-CN"/>
        </w:rPr>
        <w:t>资格审查开始</w:t>
      </w:r>
      <w:r>
        <w:rPr>
          <w:rFonts w:hint="eastAsia"/>
          <w:color w:val="auto"/>
          <w:highlight w:val="none"/>
        </w:rPr>
        <w:t>时间前通过</w:t>
      </w:r>
      <w:r>
        <w:rPr>
          <w:rFonts w:hint="eastAsia"/>
          <w:color w:val="auto"/>
          <w:highlight w:val="none"/>
          <w:lang w:eastAsia="zh-CN"/>
        </w:rPr>
        <w:t>产权交易系统</w:t>
      </w:r>
      <w:r>
        <w:rPr>
          <w:rFonts w:hint="eastAsia"/>
          <w:color w:val="auto"/>
          <w:highlight w:val="none"/>
        </w:rPr>
        <w:t>完成响应文件上传。</w:t>
      </w:r>
    </w:p>
    <w:p w14:paraId="47307922">
      <w:pPr>
        <w:pStyle w:val="45"/>
        <w:numPr>
          <w:ilvl w:val="0"/>
          <w:numId w:val="40"/>
        </w:numPr>
        <w:spacing w:before="156"/>
        <w:ind w:left="0" w:firstLine="480"/>
        <w:rPr>
          <w:color w:val="auto"/>
          <w:highlight w:val="none"/>
        </w:rPr>
      </w:pPr>
      <w:r>
        <w:rPr>
          <w:rFonts w:hint="eastAsia"/>
          <w:color w:val="auto"/>
          <w:highlight w:val="none"/>
        </w:rPr>
        <w:t>报名截止时间以</w:t>
      </w:r>
      <w:r>
        <w:rPr>
          <w:rFonts w:hint="eastAsia"/>
          <w:color w:val="auto"/>
          <w:highlight w:val="none"/>
          <w:lang w:eastAsia="zh-CN"/>
        </w:rPr>
        <w:t>产权交易系统</w:t>
      </w:r>
      <w:r>
        <w:rPr>
          <w:rFonts w:hint="eastAsia"/>
          <w:color w:val="auto"/>
          <w:highlight w:val="none"/>
        </w:rPr>
        <w:t>显示的时间为准，逾期系统将自动关闭，未完成上传的响应文件将被拒绝。</w:t>
      </w:r>
    </w:p>
    <w:p w14:paraId="78768EF6">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须按照</w:t>
      </w:r>
      <w:r>
        <w:rPr>
          <w:rFonts w:hint="eastAsia"/>
          <w:color w:val="auto"/>
          <w:highlight w:val="none"/>
          <w:lang w:val="en-US" w:eastAsia="zh-CN"/>
        </w:rPr>
        <w:t>谈判</w:t>
      </w:r>
      <w:r>
        <w:rPr>
          <w:rFonts w:hint="eastAsia"/>
          <w:color w:val="auto"/>
          <w:highlight w:val="none"/>
        </w:rPr>
        <w:t>文件的要求在自由</w:t>
      </w:r>
      <w:r>
        <w:rPr>
          <w:rFonts w:hint="eastAsia"/>
          <w:color w:val="auto"/>
          <w:highlight w:val="none"/>
          <w:lang w:val="en-US" w:eastAsia="zh-CN"/>
        </w:rPr>
        <w:t>报价</w:t>
      </w:r>
      <w:r>
        <w:rPr>
          <w:rFonts w:hint="eastAsia"/>
          <w:color w:val="auto"/>
          <w:highlight w:val="none"/>
        </w:rPr>
        <w:t>及限时</w:t>
      </w:r>
      <w:r>
        <w:rPr>
          <w:rFonts w:hint="eastAsia"/>
          <w:color w:val="auto"/>
          <w:highlight w:val="none"/>
          <w:lang w:val="en-US" w:eastAsia="zh-CN"/>
        </w:rPr>
        <w:t>报价</w:t>
      </w:r>
      <w:r>
        <w:rPr>
          <w:rFonts w:hint="eastAsia"/>
          <w:color w:val="auto"/>
          <w:highlight w:val="none"/>
        </w:rPr>
        <w:t>时间以前登录</w:t>
      </w:r>
      <w:r>
        <w:rPr>
          <w:rFonts w:hint="eastAsia"/>
          <w:color w:val="auto"/>
          <w:highlight w:val="none"/>
          <w:lang w:eastAsia="zh-CN"/>
        </w:rPr>
        <w:t>张家界市公共资源交易中心产权交易系统</w:t>
      </w:r>
      <w:r>
        <w:rPr>
          <w:rFonts w:hint="eastAsia"/>
          <w:color w:val="auto"/>
          <w:highlight w:val="none"/>
        </w:rPr>
        <w:t>，密切关注系统并保持通讯设备畅通，直到项目</w:t>
      </w:r>
      <w:r>
        <w:rPr>
          <w:rFonts w:hint="eastAsia"/>
          <w:color w:val="auto"/>
          <w:highlight w:val="none"/>
          <w:lang w:val="en-US" w:eastAsia="zh-CN"/>
        </w:rPr>
        <w:t>报价</w:t>
      </w:r>
      <w:r>
        <w:rPr>
          <w:rFonts w:hint="eastAsia"/>
          <w:color w:val="auto"/>
          <w:highlight w:val="none"/>
        </w:rPr>
        <w:t>结束。</w:t>
      </w:r>
    </w:p>
    <w:p w14:paraId="3A2F4263">
      <w:pPr>
        <w:pStyle w:val="45"/>
        <w:numPr>
          <w:ilvl w:val="0"/>
          <w:numId w:val="40"/>
        </w:numPr>
        <w:spacing w:before="156"/>
        <w:ind w:left="0" w:firstLine="480"/>
        <w:rPr>
          <w:color w:val="auto"/>
          <w:highlight w:val="none"/>
        </w:rPr>
      </w:pPr>
      <w:r>
        <w:rPr>
          <w:rFonts w:hint="eastAsia"/>
          <w:color w:val="auto"/>
          <w:highlight w:val="none"/>
          <w:lang w:eastAsia="zh-CN"/>
        </w:rPr>
        <w:t>供应商</w:t>
      </w:r>
      <w:r>
        <w:rPr>
          <w:rFonts w:hint="eastAsia"/>
          <w:color w:val="auto"/>
          <w:highlight w:val="none"/>
        </w:rPr>
        <w:t>在报名截止时间后按</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时间完成网上报价。</w:t>
      </w:r>
      <w:r>
        <w:rPr>
          <w:rFonts w:hint="eastAsia"/>
          <w:color w:val="auto"/>
          <w:highlight w:val="none"/>
          <w:lang w:eastAsia="zh-CN"/>
        </w:rPr>
        <w:t>供应商</w:t>
      </w:r>
      <w:r>
        <w:rPr>
          <w:rFonts w:hint="eastAsia"/>
          <w:color w:val="auto"/>
          <w:highlight w:val="none"/>
        </w:rPr>
        <w:t>未在</w:t>
      </w:r>
      <w:r>
        <w:rPr>
          <w:rFonts w:hint="eastAsia"/>
          <w:color w:val="auto"/>
          <w:highlight w:val="none"/>
          <w:lang w:val="en-US" w:eastAsia="zh-CN"/>
        </w:rPr>
        <w:t>谈判</w:t>
      </w:r>
      <w:r>
        <w:rPr>
          <w:rFonts w:hint="eastAsia"/>
          <w:color w:val="auto"/>
          <w:highlight w:val="none"/>
        </w:rPr>
        <w:t>文件规定的自由</w:t>
      </w:r>
      <w:r>
        <w:rPr>
          <w:rFonts w:hint="eastAsia"/>
          <w:color w:val="auto"/>
          <w:highlight w:val="none"/>
          <w:lang w:val="en-US" w:eastAsia="zh-CN"/>
        </w:rPr>
        <w:t>报价</w:t>
      </w:r>
      <w:r>
        <w:rPr>
          <w:rFonts w:hint="eastAsia"/>
          <w:color w:val="auto"/>
          <w:highlight w:val="none"/>
        </w:rPr>
        <w:t>时间内完成网上报价的视为其放弃进入限时</w:t>
      </w:r>
      <w:r>
        <w:rPr>
          <w:rFonts w:hint="eastAsia"/>
          <w:color w:val="auto"/>
          <w:highlight w:val="none"/>
          <w:lang w:val="en-US" w:eastAsia="zh-CN"/>
        </w:rPr>
        <w:t>报价</w:t>
      </w:r>
      <w:r>
        <w:rPr>
          <w:rFonts w:hint="eastAsia"/>
          <w:color w:val="auto"/>
          <w:highlight w:val="none"/>
        </w:rPr>
        <w:t>。</w:t>
      </w:r>
    </w:p>
    <w:p w14:paraId="79B96FDA">
      <w:pPr>
        <w:pStyle w:val="45"/>
        <w:numPr>
          <w:ilvl w:val="0"/>
          <w:numId w:val="40"/>
        </w:numPr>
        <w:spacing w:before="156"/>
        <w:ind w:left="0" w:firstLine="480"/>
        <w:rPr>
          <w:color w:val="auto"/>
          <w:highlight w:val="none"/>
        </w:rPr>
      </w:pPr>
      <w:r>
        <w:rPr>
          <w:rFonts w:hint="eastAsia"/>
          <w:color w:val="auto"/>
          <w:highlight w:val="none"/>
          <w:lang w:eastAsia="zh-CN"/>
        </w:rPr>
        <w:t>采购代理机构</w:t>
      </w:r>
      <w:r>
        <w:rPr>
          <w:rFonts w:hint="eastAsia"/>
          <w:color w:val="auto"/>
          <w:highlight w:val="none"/>
        </w:rPr>
        <w:t>组织评审专家评审，按规定随机抽取确定项目</w:t>
      </w:r>
      <w:r>
        <w:rPr>
          <w:rFonts w:hint="eastAsia"/>
          <w:color w:val="auto"/>
          <w:highlight w:val="none"/>
          <w:lang w:val="en-US" w:eastAsia="zh-CN"/>
        </w:rPr>
        <w:t>谈判小</w:t>
      </w:r>
      <w:r>
        <w:rPr>
          <w:rFonts w:hint="eastAsia"/>
          <w:color w:val="auto"/>
          <w:highlight w:val="none"/>
        </w:rPr>
        <w:t>组。</w:t>
      </w:r>
      <w:r>
        <w:rPr>
          <w:rFonts w:hint="eastAsia"/>
          <w:color w:val="auto"/>
          <w:highlight w:val="none"/>
          <w:lang w:val="en-US" w:eastAsia="zh-CN"/>
        </w:rPr>
        <w:t>谈判小</w:t>
      </w:r>
      <w:r>
        <w:rPr>
          <w:rFonts w:hint="eastAsia"/>
          <w:color w:val="auto"/>
          <w:highlight w:val="none"/>
        </w:rPr>
        <w:t>组依据</w:t>
      </w:r>
      <w:r>
        <w:rPr>
          <w:rFonts w:hint="eastAsia"/>
          <w:color w:val="auto"/>
          <w:highlight w:val="none"/>
          <w:lang w:val="en-US" w:eastAsia="zh-CN"/>
        </w:rPr>
        <w:t>谈判</w:t>
      </w:r>
      <w:r>
        <w:rPr>
          <w:rFonts w:hint="eastAsia"/>
          <w:color w:val="auto"/>
          <w:highlight w:val="none"/>
        </w:rPr>
        <w:t>文件规定的评审办法进行在线评审，负责资格审查和符合性审查及其结果复核，并对评审结果签字确认。</w:t>
      </w:r>
      <w:r>
        <w:rPr>
          <w:rFonts w:hint="eastAsia"/>
          <w:color w:val="auto"/>
          <w:highlight w:val="none"/>
          <w:lang w:val="en-US" w:eastAsia="zh-CN"/>
        </w:rPr>
        <w:t>谈判小</w:t>
      </w:r>
      <w:r>
        <w:rPr>
          <w:rFonts w:hint="eastAsia"/>
          <w:color w:val="auto"/>
          <w:highlight w:val="none"/>
        </w:rPr>
        <w:t>组对</w:t>
      </w:r>
      <w:r>
        <w:rPr>
          <w:rFonts w:hint="eastAsia"/>
          <w:color w:val="auto"/>
          <w:highlight w:val="none"/>
          <w:lang w:val="en-US" w:eastAsia="zh-CN"/>
        </w:rPr>
        <w:t>谈判</w:t>
      </w:r>
      <w:r>
        <w:rPr>
          <w:rFonts w:hint="eastAsia"/>
          <w:color w:val="auto"/>
          <w:highlight w:val="none"/>
        </w:rPr>
        <w:t>文件条款存在疑义或异议的，由</w:t>
      </w:r>
      <w:r>
        <w:rPr>
          <w:rFonts w:hint="eastAsia"/>
          <w:color w:val="auto"/>
          <w:highlight w:val="none"/>
          <w:lang w:eastAsia="zh-CN"/>
        </w:rPr>
        <w:t>采购人</w:t>
      </w:r>
      <w:r>
        <w:rPr>
          <w:rFonts w:hint="eastAsia"/>
          <w:color w:val="auto"/>
          <w:highlight w:val="none"/>
        </w:rPr>
        <w:t>作出书面解释或者澄清。</w:t>
      </w:r>
    </w:p>
    <w:p w14:paraId="3626D759">
      <w:pPr>
        <w:pStyle w:val="45"/>
        <w:numPr>
          <w:ilvl w:val="0"/>
          <w:numId w:val="40"/>
        </w:numPr>
        <w:spacing w:before="156"/>
        <w:ind w:left="0" w:firstLine="480"/>
        <w:rPr>
          <w:color w:val="auto"/>
          <w:highlight w:val="none"/>
        </w:rPr>
      </w:pPr>
      <w:r>
        <w:rPr>
          <w:rFonts w:hint="eastAsia"/>
          <w:color w:val="auto"/>
          <w:highlight w:val="none"/>
          <w:lang w:val="en-US" w:eastAsia="zh-CN"/>
        </w:rPr>
        <w:t>谈判小</w:t>
      </w:r>
      <w:r>
        <w:rPr>
          <w:rFonts w:hint="eastAsia"/>
          <w:color w:val="auto"/>
          <w:highlight w:val="none"/>
        </w:rPr>
        <w:t>组完成评审后，提交评审报告。</w:t>
      </w:r>
      <w:r>
        <w:rPr>
          <w:rFonts w:hint="eastAsia"/>
          <w:color w:val="auto"/>
          <w:highlight w:val="none"/>
          <w:lang w:eastAsia="zh-CN"/>
        </w:rPr>
        <w:t>采购代理机构</w:t>
      </w:r>
      <w:r>
        <w:rPr>
          <w:rFonts w:hint="eastAsia"/>
          <w:color w:val="auto"/>
          <w:highlight w:val="none"/>
        </w:rPr>
        <w:t>将评审结果及时提交至</w:t>
      </w:r>
      <w:r>
        <w:rPr>
          <w:rFonts w:hint="eastAsia"/>
          <w:color w:val="auto"/>
          <w:highlight w:val="none"/>
          <w:lang w:eastAsia="zh-CN"/>
        </w:rPr>
        <w:t>张家界市公共资源交易中心产权交易系统</w:t>
      </w:r>
      <w:r>
        <w:rPr>
          <w:rFonts w:hint="eastAsia"/>
          <w:color w:val="auto"/>
          <w:highlight w:val="none"/>
        </w:rPr>
        <w:t>，通过</w:t>
      </w:r>
      <w:r>
        <w:rPr>
          <w:rFonts w:hint="eastAsia"/>
          <w:color w:val="auto"/>
          <w:highlight w:val="none"/>
          <w:lang w:eastAsia="zh-CN"/>
        </w:rPr>
        <w:t>产权交易系统</w:t>
      </w:r>
      <w:r>
        <w:rPr>
          <w:rFonts w:hint="eastAsia"/>
          <w:color w:val="auto"/>
          <w:highlight w:val="none"/>
        </w:rPr>
        <w:t>向</w:t>
      </w:r>
      <w:r>
        <w:rPr>
          <w:rFonts w:hint="eastAsia"/>
          <w:color w:val="auto"/>
          <w:highlight w:val="none"/>
          <w:lang w:val="en-US" w:eastAsia="zh-CN"/>
        </w:rPr>
        <w:t>供应商</w:t>
      </w:r>
      <w:r>
        <w:rPr>
          <w:rFonts w:hint="eastAsia"/>
          <w:color w:val="auto"/>
          <w:highlight w:val="none"/>
        </w:rPr>
        <w:t>颁发资格确认书。未通过资格审查和符合性审查的</w:t>
      </w:r>
      <w:r>
        <w:rPr>
          <w:rFonts w:hint="eastAsia"/>
          <w:color w:val="auto"/>
          <w:highlight w:val="none"/>
          <w:lang w:eastAsia="zh-CN"/>
        </w:rPr>
        <w:t>供应商</w:t>
      </w:r>
      <w:r>
        <w:rPr>
          <w:rFonts w:hint="eastAsia"/>
          <w:color w:val="auto"/>
          <w:highlight w:val="none"/>
        </w:rPr>
        <w:t>无资格参与网上</w:t>
      </w:r>
      <w:r>
        <w:rPr>
          <w:rFonts w:hint="eastAsia"/>
          <w:color w:val="auto"/>
          <w:highlight w:val="none"/>
          <w:lang w:val="en-US" w:eastAsia="zh-CN"/>
        </w:rPr>
        <w:t>报价</w:t>
      </w:r>
      <w:r>
        <w:rPr>
          <w:rFonts w:hint="eastAsia"/>
          <w:color w:val="auto"/>
          <w:highlight w:val="none"/>
        </w:rPr>
        <w:t>。</w:t>
      </w:r>
    </w:p>
    <w:p w14:paraId="1DB15129">
      <w:pPr>
        <w:pStyle w:val="45"/>
        <w:numPr>
          <w:ilvl w:val="0"/>
          <w:numId w:val="40"/>
        </w:numPr>
        <w:spacing w:before="156"/>
        <w:ind w:left="0" w:firstLine="480"/>
        <w:rPr>
          <w:color w:val="auto"/>
          <w:highlight w:val="none"/>
        </w:rPr>
      </w:pPr>
      <w:r>
        <w:rPr>
          <w:rFonts w:hint="eastAsia"/>
          <w:color w:val="auto"/>
          <w:highlight w:val="none"/>
        </w:rPr>
        <w:t>出现下列情形导致</w:t>
      </w:r>
      <w:r>
        <w:rPr>
          <w:rFonts w:hint="eastAsia"/>
          <w:color w:val="auto"/>
          <w:highlight w:val="none"/>
          <w:lang w:eastAsia="zh-CN"/>
        </w:rPr>
        <w:t>产权交易系统</w:t>
      </w:r>
      <w:r>
        <w:rPr>
          <w:rFonts w:hint="eastAsia"/>
          <w:color w:val="auto"/>
          <w:highlight w:val="none"/>
        </w:rPr>
        <w:t>无法正常运行，影响</w:t>
      </w:r>
      <w:r>
        <w:rPr>
          <w:rFonts w:hint="eastAsia"/>
          <w:color w:val="auto"/>
          <w:highlight w:val="none"/>
          <w:lang w:val="en-US" w:eastAsia="zh-CN"/>
        </w:rPr>
        <w:t>谈判</w:t>
      </w:r>
      <w:r>
        <w:rPr>
          <w:rFonts w:hint="eastAsia"/>
          <w:color w:val="auto"/>
          <w:highlight w:val="none"/>
        </w:rPr>
        <w:t>过程的公平、公正和信息安全，经第三方机构认定后，各方当事人免责：</w:t>
      </w:r>
    </w:p>
    <w:p w14:paraId="052724D9">
      <w:pPr>
        <w:pStyle w:val="45"/>
        <w:spacing w:before="156"/>
        <w:ind w:firstLine="480"/>
        <w:rPr>
          <w:color w:val="auto"/>
          <w:highlight w:val="none"/>
        </w:rPr>
      </w:pPr>
      <w:r>
        <w:rPr>
          <w:rFonts w:hint="eastAsia"/>
          <w:color w:val="auto"/>
          <w:highlight w:val="none"/>
        </w:rPr>
        <w:t>（1）网络、服务器、数据库发生故障造成无法访问或使用的；</w:t>
      </w:r>
    </w:p>
    <w:p w14:paraId="07BFCECD">
      <w:pPr>
        <w:pStyle w:val="45"/>
        <w:spacing w:before="156"/>
        <w:ind w:firstLine="480"/>
        <w:rPr>
          <w:color w:val="auto"/>
          <w:highlight w:val="none"/>
        </w:rPr>
      </w:pPr>
      <w:r>
        <w:rPr>
          <w:rFonts w:hint="eastAsia"/>
          <w:color w:val="auto"/>
          <w:highlight w:val="none"/>
        </w:rPr>
        <w:t>（2）电力系统发生故障导致</w:t>
      </w:r>
      <w:r>
        <w:rPr>
          <w:rFonts w:hint="eastAsia"/>
          <w:color w:val="auto"/>
          <w:highlight w:val="none"/>
          <w:lang w:eastAsia="zh-CN"/>
        </w:rPr>
        <w:t>产权交易系统</w:t>
      </w:r>
      <w:r>
        <w:rPr>
          <w:rFonts w:hint="eastAsia"/>
          <w:color w:val="auto"/>
          <w:highlight w:val="none"/>
        </w:rPr>
        <w:t>无法运行；</w:t>
      </w:r>
    </w:p>
    <w:p w14:paraId="5FC983F0">
      <w:pPr>
        <w:pStyle w:val="45"/>
        <w:spacing w:before="156"/>
        <w:ind w:firstLine="480"/>
        <w:rPr>
          <w:color w:val="auto"/>
          <w:highlight w:val="none"/>
        </w:rPr>
      </w:pPr>
      <w:r>
        <w:rPr>
          <w:rFonts w:hint="eastAsia"/>
          <w:color w:val="auto"/>
          <w:highlight w:val="none"/>
        </w:rPr>
        <w:t>（3）出现网络攻击、病毒入侵以及</w:t>
      </w:r>
      <w:r>
        <w:rPr>
          <w:rFonts w:hint="eastAsia"/>
          <w:color w:val="auto"/>
          <w:highlight w:val="none"/>
          <w:lang w:eastAsia="zh-CN"/>
        </w:rPr>
        <w:t>产权交易系统</w:t>
      </w:r>
      <w:r>
        <w:rPr>
          <w:rFonts w:hint="eastAsia"/>
          <w:color w:val="auto"/>
          <w:highlight w:val="none"/>
        </w:rPr>
        <w:t>安全漏洞导致无法正常提供服务的；</w:t>
      </w:r>
    </w:p>
    <w:p w14:paraId="321A567D">
      <w:pPr>
        <w:pStyle w:val="45"/>
        <w:spacing w:before="156"/>
        <w:ind w:firstLine="480"/>
        <w:outlineLvl w:val="9"/>
        <w:rPr>
          <w:rFonts w:hint="eastAsia"/>
          <w:color w:val="auto"/>
          <w:highlight w:val="none"/>
        </w:rPr>
      </w:pPr>
      <w:r>
        <w:rPr>
          <w:rFonts w:hint="eastAsia"/>
          <w:color w:val="auto"/>
          <w:highlight w:val="none"/>
        </w:rPr>
        <w:t>（4）其他无法保证</w:t>
      </w:r>
      <w:r>
        <w:rPr>
          <w:rFonts w:hint="eastAsia"/>
          <w:color w:val="auto"/>
          <w:highlight w:val="none"/>
          <w:lang w:val="en-US" w:eastAsia="zh-CN"/>
        </w:rPr>
        <w:t>谈判</w:t>
      </w:r>
      <w:r>
        <w:rPr>
          <w:rFonts w:hint="eastAsia"/>
          <w:color w:val="auto"/>
          <w:highlight w:val="none"/>
        </w:rPr>
        <w:t>过程公平、公正和信息安全的情形。</w:t>
      </w:r>
    </w:p>
    <w:p w14:paraId="5F60FBF2">
      <w:pPr>
        <w:pStyle w:val="45"/>
        <w:spacing w:before="156"/>
        <w:ind w:firstLine="480"/>
        <w:rPr>
          <w:color w:val="auto"/>
          <w:highlight w:val="none"/>
        </w:rPr>
      </w:pPr>
      <w:r>
        <w:rPr>
          <w:rFonts w:hint="eastAsia"/>
          <w:color w:val="auto"/>
          <w:highlight w:val="none"/>
          <w:lang w:val="en-US" w:eastAsia="zh-CN"/>
        </w:rPr>
        <w:t>13.</w:t>
      </w:r>
      <w:r>
        <w:rPr>
          <w:rFonts w:hint="eastAsia"/>
          <w:color w:val="auto"/>
          <w:highlight w:val="none"/>
        </w:rPr>
        <w:t xml:space="preserve"> 出现上述情形，系统建设方应及时组织相关方查明原因，排除故障。若能保证在</w:t>
      </w:r>
      <w:r>
        <w:rPr>
          <w:rFonts w:hint="eastAsia"/>
          <w:color w:val="auto"/>
          <w:highlight w:val="none"/>
          <w:lang w:val="en-US" w:eastAsia="zh-CN"/>
        </w:rPr>
        <w:t>报价</w:t>
      </w:r>
      <w:r>
        <w:rPr>
          <w:rFonts w:hint="eastAsia"/>
          <w:color w:val="auto"/>
          <w:highlight w:val="none"/>
        </w:rPr>
        <w:t>前恢复系统运行的，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程序无法按时开展，但能在原</w:t>
      </w:r>
      <w:r>
        <w:rPr>
          <w:rFonts w:hint="eastAsia"/>
          <w:color w:val="auto"/>
          <w:highlight w:val="none"/>
          <w:lang w:val="en-US" w:eastAsia="zh-CN"/>
        </w:rPr>
        <w:t>报价</w:t>
      </w:r>
      <w:r>
        <w:rPr>
          <w:rFonts w:hint="eastAsia"/>
          <w:color w:val="auto"/>
          <w:highlight w:val="none"/>
        </w:rPr>
        <w:t>时间后1小时内恢复系统运行的，</w:t>
      </w:r>
      <w:r>
        <w:rPr>
          <w:rFonts w:hint="eastAsia"/>
          <w:color w:val="auto"/>
          <w:highlight w:val="none"/>
          <w:lang w:val="en-US" w:eastAsia="zh-CN"/>
        </w:rPr>
        <w:t>报价</w:t>
      </w:r>
      <w:r>
        <w:rPr>
          <w:rFonts w:hint="eastAsia"/>
          <w:color w:val="auto"/>
          <w:highlight w:val="none"/>
        </w:rPr>
        <w:t>程序继续进行；若导致</w:t>
      </w:r>
      <w:r>
        <w:rPr>
          <w:rFonts w:hint="eastAsia"/>
          <w:color w:val="auto"/>
          <w:highlight w:val="none"/>
          <w:lang w:val="en-US" w:eastAsia="zh-CN"/>
        </w:rPr>
        <w:t>报价</w:t>
      </w:r>
      <w:r>
        <w:rPr>
          <w:rFonts w:hint="eastAsia"/>
          <w:color w:val="auto"/>
          <w:highlight w:val="none"/>
        </w:rPr>
        <w:t>程序无法按时开展，在原</w:t>
      </w:r>
      <w:r>
        <w:rPr>
          <w:rFonts w:hint="eastAsia"/>
          <w:color w:val="auto"/>
          <w:highlight w:val="none"/>
          <w:lang w:val="en-US" w:eastAsia="zh-CN"/>
        </w:rPr>
        <w:t>报价</w:t>
      </w:r>
      <w:r>
        <w:rPr>
          <w:rFonts w:hint="eastAsia"/>
          <w:color w:val="auto"/>
          <w:highlight w:val="none"/>
        </w:rPr>
        <w:t>时间后 1 小时内无法恢复系统运行的，按以下程序操作：</w:t>
      </w:r>
    </w:p>
    <w:p w14:paraId="32550836">
      <w:pPr>
        <w:pStyle w:val="45"/>
        <w:numPr>
          <w:ilvl w:val="0"/>
          <w:numId w:val="0"/>
        </w:numPr>
        <w:spacing w:before="156"/>
        <w:ind w:firstLine="480" w:firstLineChars="200"/>
        <w:rPr>
          <w:color w:val="auto"/>
          <w:highlight w:val="none"/>
        </w:rPr>
      </w:pPr>
      <w:r>
        <w:rPr>
          <w:rFonts w:hint="eastAsia"/>
          <w:color w:val="auto"/>
          <w:highlight w:val="none"/>
        </w:rPr>
        <w:t>（1）项目中止，中止期限由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根据项目具体情况确定。中止期限届满后中止情形尚未消除的，</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可以根据实际情况决定延长中止期限。决定延长中止期限的，应向</w:t>
      </w:r>
      <w:r>
        <w:rPr>
          <w:rFonts w:hint="eastAsia"/>
          <w:color w:val="auto"/>
          <w:highlight w:val="none"/>
          <w:lang w:eastAsia="zh-CN"/>
        </w:rPr>
        <w:t>供应商</w:t>
      </w:r>
      <w:r>
        <w:rPr>
          <w:rFonts w:hint="eastAsia"/>
          <w:color w:val="auto"/>
          <w:highlight w:val="none"/>
        </w:rPr>
        <w:t>发出延长中止期限通知，并在交易中心网站进行公布。</w:t>
      </w:r>
    </w:p>
    <w:p w14:paraId="4601708C">
      <w:pPr>
        <w:pStyle w:val="45"/>
        <w:spacing w:before="156"/>
        <w:ind w:left="0" w:leftChars="0" w:firstLine="480" w:firstLineChars="200"/>
        <w:rPr>
          <w:color w:val="auto"/>
          <w:spacing w:val="-6"/>
          <w:sz w:val="24"/>
          <w:highlight w:val="none"/>
        </w:rPr>
        <w:sectPr>
          <w:footerReference r:id="rId10" w:type="default"/>
          <w:pgSz w:w="11906" w:h="16838"/>
          <w:pgMar w:top="1230" w:right="1003" w:bottom="1174" w:left="1003" w:header="850" w:footer="992" w:gutter="0"/>
          <w:pgBorders>
            <w:top w:val="none" w:sz="0" w:space="0"/>
            <w:left w:val="none" w:sz="0" w:space="0"/>
            <w:bottom w:val="none" w:sz="0" w:space="0"/>
            <w:right w:val="none" w:sz="0" w:space="0"/>
          </w:pgBorders>
          <w:pgNumType w:fmt="decimal" w:start="1"/>
          <w:cols w:space="0" w:num="1"/>
          <w:docGrid w:type="lines" w:linePitch="312" w:charSpace="0"/>
        </w:sectPr>
      </w:pPr>
      <w:r>
        <w:rPr>
          <w:rFonts w:hint="eastAsia"/>
          <w:color w:val="auto"/>
          <w:highlight w:val="none"/>
        </w:rPr>
        <w:t>（2）项目恢复导致项目中止的情形消除后，</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应当尽快恢复</w:t>
      </w:r>
      <w:r>
        <w:rPr>
          <w:rFonts w:hint="eastAsia"/>
          <w:color w:val="auto"/>
          <w:highlight w:val="none"/>
          <w:lang w:val="en-US" w:eastAsia="zh-CN"/>
        </w:rPr>
        <w:t>报价</w:t>
      </w:r>
      <w:r>
        <w:rPr>
          <w:rFonts w:hint="eastAsia"/>
          <w:color w:val="auto"/>
          <w:highlight w:val="none"/>
        </w:rPr>
        <w:t>程序，向</w:t>
      </w:r>
      <w:r>
        <w:rPr>
          <w:rFonts w:hint="eastAsia"/>
          <w:color w:val="auto"/>
          <w:spacing w:val="-6"/>
          <w:sz w:val="24"/>
          <w:highlight w:val="none"/>
          <w:lang w:eastAsia="zh-CN"/>
        </w:rPr>
        <w:t>供应商</w:t>
      </w:r>
      <w:r>
        <w:rPr>
          <w:rFonts w:hint="eastAsia"/>
          <w:color w:val="auto"/>
          <w:spacing w:val="-6"/>
          <w:sz w:val="24"/>
          <w:highlight w:val="none"/>
        </w:rPr>
        <w:t>发出恢复交易通知，并在交易中心网站进行公布；已发出延长中止期限通知的，按通知执行。</w:t>
      </w:r>
    </w:p>
    <w:p w14:paraId="036C61AB">
      <w:pPr>
        <w:pStyle w:val="3"/>
        <w:spacing w:before="156" w:after="156"/>
        <w:rPr>
          <w:rFonts w:ascii="微软雅黑" w:hAnsi="微软雅黑" w:eastAsia="微软雅黑" w:cs="微软雅黑"/>
          <w:color w:val="auto"/>
          <w:highlight w:val="none"/>
        </w:rPr>
      </w:pPr>
      <w:bookmarkStart w:id="40" w:name="_Toc14706"/>
      <w:bookmarkStart w:id="41" w:name="_Toc19974"/>
      <w:r>
        <w:rPr>
          <w:rFonts w:ascii="微软雅黑" w:hAnsi="微软雅黑" w:eastAsia="微软雅黑" w:cs="微软雅黑"/>
          <w:color w:val="auto"/>
          <w:highlight w:val="none"/>
        </w:rPr>
        <w:t>第三章 项目需求</w:t>
      </w:r>
      <w:bookmarkEnd w:id="38"/>
      <w:bookmarkEnd w:id="39"/>
      <w:bookmarkEnd w:id="40"/>
      <w:bookmarkEnd w:id="41"/>
    </w:p>
    <w:p w14:paraId="5D0017C4">
      <w:pPr>
        <w:widowControl w:val="0"/>
        <w:adjustRightInd w:val="0"/>
        <w:snapToGrid w:val="0"/>
        <w:spacing w:before="240" w:beforeLines="50" w:line="440" w:lineRule="exact"/>
        <w:ind w:firstLine="482" w:firstLineChars="200"/>
        <w:jc w:val="both"/>
        <w:rPr>
          <w:rFonts w:ascii="Times New Roman" w:hAnsi="Times New Roman" w:eastAsia="宋体" w:cs="Times New Roman"/>
          <w:b/>
          <w:bCs/>
          <w:color w:val="auto"/>
          <w:kern w:val="2"/>
          <w:sz w:val="24"/>
          <w:szCs w:val="22"/>
          <w:highlight w:val="none"/>
          <w:lang w:val="en-US" w:eastAsia="zh-CN" w:bidi="ar-SA"/>
        </w:rPr>
      </w:pPr>
      <w:bookmarkStart w:id="42" w:name="_Toc9711"/>
      <w:bookmarkStart w:id="43" w:name="_Toc12114"/>
      <w:bookmarkStart w:id="44" w:name="_Toc32740"/>
      <w:bookmarkStart w:id="45" w:name="_Toc24227"/>
      <w:r>
        <w:rPr>
          <w:rFonts w:hint="eastAsia" w:ascii="Times New Roman" w:hAnsi="Times New Roman" w:eastAsia="宋体" w:cs="Times New Roman"/>
          <w:b/>
          <w:bCs/>
          <w:color w:val="auto"/>
          <w:kern w:val="2"/>
          <w:sz w:val="24"/>
          <w:szCs w:val="22"/>
          <w:highlight w:val="none"/>
          <w:lang w:val="en-US" w:eastAsia="zh-CN" w:bidi="ar-SA"/>
        </w:rPr>
        <w:t>前注：</w:t>
      </w:r>
    </w:p>
    <w:p w14:paraId="546C66EA">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根据《关于规范政府采购进口产品有关工作的通知》及政府采购管理部门的相关规定，下列采购需求中标注进口产品的货物均已履行相关论证手续，经核准采购进口产品，但不限制满足谈判文件要求的国内产品参与竞争。未标注进口产品的货物均为拒绝采购进口产品。</w:t>
      </w:r>
    </w:p>
    <w:p w14:paraId="154A1FBD">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如属于《节能产品政府采购品目清单》中政府强制采购的节能产品，则供应商所投产品须具有市场监管总局公布的《参与实施政府采购节能产品认证机构目录》中的认证机构出具的、处于有效期内的节能产品认证证书。</w:t>
      </w:r>
    </w:p>
    <w:p w14:paraId="3C3CE7E5">
      <w:pPr>
        <w:widowControl w:val="0"/>
        <w:numPr>
          <w:ilvl w:val="0"/>
          <w:numId w:val="41"/>
        </w:numPr>
        <w:adjustRightInd w:val="0"/>
        <w:snapToGrid w:val="0"/>
        <w:spacing w:before="240" w:beforeLines="100" w:line="440" w:lineRule="exact"/>
        <w:ind w:left="0" w:leftChars="0" w:firstLine="480" w:firstLineChars="200"/>
        <w:jc w:val="both"/>
        <w:rPr>
          <w:rFonts w:hint="eastAsia" w:ascii="Times New Roman" w:hAnsi="Times New Roman" w:eastAsia="宋体" w:cs="Times New Roman"/>
          <w:color w:val="auto"/>
          <w:kern w:val="2"/>
          <w:sz w:val="24"/>
          <w:szCs w:val="22"/>
          <w:highlight w:val="none"/>
          <w:lang w:val="en-US" w:eastAsia="zh-CN" w:bidi="ar-SA"/>
        </w:rPr>
      </w:pPr>
      <w:r>
        <w:rPr>
          <w:rFonts w:hint="eastAsia" w:ascii="Times New Roman" w:hAnsi="Times New Roman" w:eastAsia="宋体" w:cs="Times New Roman"/>
          <w:color w:val="auto"/>
          <w:kern w:val="2"/>
          <w:sz w:val="24"/>
          <w:szCs w:val="22"/>
          <w:highlight w:val="none"/>
          <w:lang w:val="en-US" w:eastAsia="zh-CN" w:bidi="ar-SA"/>
        </w:rPr>
        <w:t>下列采购需求中用“★”符号标明的条款为实质性要求和条件，供应商必须完全响应，未按要求响应，视为实质性偏离，其响应无效。未标注“★”的条款为非实质性要求和条件，视为非实质性偏离。非实质性偏离的范围和幅度≥</w:t>
      </w:r>
      <w:r>
        <w:rPr>
          <w:rFonts w:hint="eastAsia" w:ascii="Times New Roman" w:hAnsi="Times New Roman" w:eastAsia="宋体" w:cs="Times New Roman"/>
          <w:color w:val="auto"/>
          <w:kern w:val="2"/>
          <w:sz w:val="24"/>
          <w:szCs w:val="22"/>
          <w:highlight w:val="none"/>
          <w:u w:val="single"/>
          <w:lang w:val="en-US" w:eastAsia="zh-CN" w:bidi="ar-SA"/>
        </w:rPr>
        <w:t>1</w:t>
      </w:r>
      <w:r>
        <w:rPr>
          <w:rFonts w:hint="eastAsia" w:ascii="Times New Roman" w:hAnsi="Times New Roman" w:eastAsia="宋体" w:cs="Times New Roman"/>
          <w:color w:val="auto"/>
          <w:kern w:val="2"/>
          <w:sz w:val="24"/>
          <w:szCs w:val="22"/>
          <w:highlight w:val="none"/>
          <w:lang w:val="en-US" w:eastAsia="zh-CN" w:bidi="ar-SA"/>
        </w:rPr>
        <w:t>项，响应无效。</w:t>
      </w:r>
    </w:p>
    <w:p w14:paraId="5D0B67AC">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bookmarkStart w:id="46" w:name="_Toc24142"/>
      <w:bookmarkStart w:id="47" w:name="_Toc5734"/>
      <w:r>
        <w:rPr>
          <w:rFonts w:hint="eastAsia" w:ascii="Times New Roman" w:hAnsi="Times New Roman" w:eastAsia="黑体" w:cs="Times New Roman"/>
          <w:color w:val="auto"/>
          <w:kern w:val="2"/>
          <w:sz w:val="24"/>
          <w:szCs w:val="24"/>
          <w:highlight w:val="none"/>
          <w:lang w:val="en-US" w:eastAsia="zh-CN" w:bidi="ar-SA"/>
        </w:rPr>
        <w:t>项目概况</w:t>
      </w:r>
      <w:bookmarkEnd w:id="46"/>
      <w:bookmarkEnd w:id="47"/>
    </w:p>
    <w:p w14:paraId="27655CF6">
      <w:pPr>
        <w:widowControl w:val="0"/>
        <w:spacing w:before="17" w:after="120" w:afterAutospacing="0" w:line="340" w:lineRule="auto"/>
        <w:ind w:firstLine="720" w:firstLineChars="300"/>
        <w:jc w:val="both"/>
        <w:rPr>
          <w:rFonts w:hint="eastAsia" w:ascii="Calibri" w:hAnsi="Calibri" w:eastAsia="宋体" w:cs="宋体"/>
          <w:color w:val="auto"/>
          <w:sz w:val="24"/>
          <w:lang w:eastAsia="zh-CN"/>
        </w:rPr>
      </w:pPr>
      <w:bookmarkStart w:id="48" w:name="_Toc23714"/>
      <w:bookmarkStart w:id="49" w:name="_Toc12943"/>
      <w:r>
        <w:rPr>
          <w:rFonts w:hint="eastAsia" w:ascii="Arial Narrow" w:hAnsi="Arial Narrow" w:eastAsia="宋体" w:cs="宋体"/>
          <w:color w:val="auto"/>
          <w:kern w:val="2"/>
          <w:sz w:val="24"/>
          <w:szCs w:val="22"/>
          <w:lang w:val="en-US" w:eastAsia="zh-CN" w:bidi="ar-SA"/>
        </w:rPr>
        <w:t>为全力做好2026年第十一届全省少数民族传统体育运动会医疗保障工作，我委拟在市城区范围内实施“自动除颤器（AED）采购项目（货物类）”，计划采购21台AED设备，专项用于赛事期间及日常公共区域应急医疗保障。</w:t>
      </w:r>
    </w:p>
    <w:p w14:paraId="1FC2DDB2">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采购项目预（概）算</w:t>
      </w:r>
      <w:bookmarkEnd w:id="48"/>
      <w:bookmarkEnd w:id="49"/>
    </w:p>
    <w:p w14:paraId="348AFF55">
      <w:pPr>
        <w:spacing w:line="440" w:lineRule="exact"/>
        <w:ind w:firstLine="420"/>
        <w:jc w:val="both"/>
        <w:rPr>
          <w:rFonts w:hint="eastAsia" w:ascii="宋体" w:hAnsi="宋体" w:eastAsia="宋体" w:cs="宋体"/>
          <w:color w:val="auto"/>
          <w:kern w:val="2"/>
          <w:sz w:val="24"/>
          <w:szCs w:val="21"/>
          <w:highlight w:val="none"/>
          <w:lang w:val="en-US" w:eastAsia="zh-CN" w:bidi="ar-SA"/>
        </w:rPr>
      </w:pPr>
      <w:bookmarkStart w:id="50" w:name="_Toc7680"/>
      <w:bookmarkStart w:id="51" w:name="_Toc4938"/>
      <w:r>
        <w:rPr>
          <w:rFonts w:hint="eastAsia" w:ascii="宋体" w:hAnsi="宋体" w:eastAsia="宋体" w:cs="宋体"/>
          <w:color w:val="auto"/>
          <w:kern w:val="2"/>
          <w:sz w:val="24"/>
          <w:szCs w:val="21"/>
          <w:highlight w:val="none"/>
          <w:lang w:val="en-US" w:eastAsia="zh-CN" w:bidi="ar-SA"/>
        </w:rPr>
        <w:t>预（概）算∶546000.00元 。</w:t>
      </w:r>
    </w:p>
    <w:p w14:paraId="73C2C0BE">
      <w:pPr>
        <w:spacing w:line="440" w:lineRule="exact"/>
        <w:ind w:firstLine="420"/>
        <w:jc w:val="both"/>
        <w:rPr>
          <w:rFonts w:hint="default" w:ascii="宋体" w:hAnsi="宋体" w:eastAsia="宋体" w:cs="宋体"/>
          <w:color w:val="auto"/>
          <w:kern w:val="2"/>
          <w:sz w:val="24"/>
          <w:szCs w:val="21"/>
          <w:highlight w:val="none"/>
          <w:lang w:val="en-US" w:eastAsia="zh-CN" w:bidi="ar-SA"/>
        </w:rPr>
      </w:pPr>
      <w:r>
        <w:rPr>
          <w:rFonts w:hint="default" w:ascii="宋体" w:hAnsi="宋体" w:eastAsia="宋体" w:cs="宋体"/>
          <w:color w:val="auto"/>
          <w:kern w:val="2"/>
          <w:sz w:val="24"/>
          <w:szCs w:val="21"/>
          <w:highlight w:val="none"/>
          <w:lang w:val="en-US" w:eastAsia="zh-CN" w:bidi="ar-SA"/>
        </w:rPr>
        <w:t>最高限价∶</w:t>
      </w:r>
      <w:r>
        <w:rPr>
          <w:rFonts w:hint="eastAsia" w:ascii="宋体" w:hAnsi="宋体" w:eastAsia="宋体" w:cs="宋体"/>
          <w:color w:val="auto"/>
          <w:kern w:val="2"/>
          <w:sz w:val="24"/>
          <w:szCs w:val="21"/>
          <w:highlight w:val="none"/>
          <w:lang w:val="en-US" w:eastAsia="zh-CN" w:bidi="ar-SA"/>
        </w:rPr>
        <w:t>546000.00</w:t>
      </w:r>
      <w:r>
        <w:rPr>
          <w:rFonts w:hint="default" w:ascii="宋体" w:hAnsi="宋体" w:eastAsia="宋体" w:cs="宋体"/>
          <w:color w:val="auto"/>
          <w:kern w:val="2"/>
          <w:sz w:val="24"/>
          <w:szCs w:val="21"/>
          <w:highlight w:val="none"/>
          <w:lang w:val="en-US" w:eastAsia="zh-CN" w:bidi="ar-SA"/>
        </w:rPr>
        <w:t xml:space="preserve">元 </w:t>
      </w:r>
      <w:r>
        <w:rPr>
          <w:rFonts w:hint="eastAsia" w:ascii="宋体" w:hAnsi="宋体" w:eastAsia="宋体" w:cs="宋体"/>
          <w:color w:val="auto"/>
          <w:kern w:val="2"/>
          <w:sz w:val="24"/>
          <w:szCs w:val="21"/>
          <w:highlight w:val="none"/>
          <w:lang w:val="en-US" w:eastAsia="zh-CN" w:bidi="ar-SA"/>
        </w:rPr>
        <w:t>。</w:t>
      </w:r>
    </w:p>
    <w:p w14:paraId="2259C623">
      <w:pPr>
        <w:keepNext/>
        <w:keepLines/>
        <w:pageBreakBefore w:val="0"/>
        <w:widowControl w:val="0"/>
        <w:numPr>
          <w:ilvl w:val="0"/>
          <w:numId w:val="42"/>
        </w:numPr>
        <w:tabs>
          <w:tab w:val="left" w:pos="0"/>
        </w:tabs>
        <w:kinsoku/>
        <w:wordWrap/>
        <w:overflowPunct/>
        <w:topLinePunct w:val="0"/>
        <w:autoSpaceDE/>
        <w:autoSpaceDN/>
        <w:bidi w:val="0"/>
        <w:adjustRightInd/>
        <w:snapToGrid/>
        <w:spacing w:before="160" w:after="290" w:line="500" w:lineRule="exact"/>
        <w:ind w:firstLine="480" w:firstLineChars="200"/>
        <w:jc w:val="both"/>
        <w:textAlignment w:val="auto"/>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采购标的汇总表</w:t>
      </w:r>
      <w:bookmarkEnd w:id="50"/>
      <w:bookmarkEnd w:id="51"/>
    </w:p>
    <w:tbl>
      <w:tblPr>
        <w:tblStyle w:val="35"/>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780"/>
        <w:gridCol w:w="3198"/>
        <w:gridCol w:w="1992"/>
        <w:gridCol w:w="720"/>
        <w:gridCol w:w="826"/>
        <w:gridCol w:w="1424"/>
      </w:tblGrid>
      <w:tr w14:paraId="1CBD2A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7467216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包号</w:t>
            </w:r>
          </w:p>
        </w:tc>
        <w:tc>
          <w:tcPr>
            <w:tcW w:w="780" w:type="dxa"/>
            <w:tcBorders>
              <w:tl2br w:val="nil"/>
              <w:tr2bl w:val="nil"/>
            </w:tcBorders>
            <w:vAlign w:val="center"/>
          </w:tcPr>
          <w:p w14:paraId="675FEF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序号</w:t>
            </w:r>
          </w:p>
        </w:tc>
        <w:tc>
          <w:tcPr>
            <w:tcW w:w="3198" w:type="dxa"/>
            <w:tcBorders>
              <w:tl2br w:val="nil"/>
              <w:tr2bl w:val="nil"/>
            </w:tcBorders>
            <w:vAlign w:val="center"/>
          </w:tcPr>
          <w:p w14:paraId="135240D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标的名称</w:t>
            </w:r>
          </w:p>
        </w:tc>
        <w:tc>
          <w:tcPr>
            <w:tcW w:w="1992" w:type="dxa"/>
            <w:tcBorders>
              <w:tl2br w:val="nil"/>
              <w:tr2bl w:val="nil"/>
            </w:tcBorders>
            <w:vAlign w:val="center"/>
          </w:tcPr>
          <w:p w14:paraId="0786A7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品目分类编码</w:t>
            </w:r>
          </w:p>
        </w:tc>
        <w:tc>
          <w:tcPr>
            <w:tcW w:w="720" w:type="dxa"/>
            <w:tcBorders>
              <w:tl2br w:val="nil"/>
              <w:tr2bl w:val="nil"/>
            </w:tcBorders>
            <w:vAlign w:val="center"/>
          </w:tcPr>
          <w:p w14:paraId="0F0AC2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计量单位</w:t>
            </w:r>
          </w:p>
        </w:tc>
        <w:tc>
          <w:tcPr>
            <w:tcW w:w="826" w:type="dxa"/>
            <w:tcBorders>
              <w:tl2br w:val="nil"/>
              <w:tr2bl w:val="nil"/>
            </w:tcBorders>
            <w:vAlign w:val="center"/>
          </w:tcPr>
          <w:p w14:paraId="05BA2B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数量</w:t>
            </w:r>
          </w:p>
        </w:tc>
        <w:tc>
          <w:tcPr>
            <w:tcW w:w="1424" w:type="dxa"/>
            <w:tcBorders>
              <w:tl2br w:val="nil"/>
              <w:tr2bl w:val="nil"/>
            </w:tcBorders>
            <w:vAlign w:val="center"/>
          </w:tcPr>
          <w:p w14:paraId="21409AB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微软雅黑" w:hAnsi="微软雅黑" w:eastAsia="微软雅黑" w:cs="微软雅黑"/>
                <w:b/>
                <w:bCs/>
                <w:color w:val="auto"/>
                <w:sz w:val="22"/>
                <w:szCs w:val="22"/>
                <w:highlight w:val="none"/>
                <w:lang w:eastAsia="zh-CN"/>
              </w:rPr>
            </w:pPr>
            <w:r>
              <w:rPr>
                <w:rFonts w:hint="eastAsia" w:ascii="微软雅黑" w:hAnsi="微软雅黑" w:eastAsia="微软雅黑" w:cs="微软雅黑"/>
                <w:b/>
                <w:bCs/>
                <w:color w:val="auto"/>
                <w:sz w:val="22"/>
                <w:szCs w:val="22"/>
                <w:highlight w:val="none"/>
                <w:lang w:eastAsia="zh-CN"/>
              </w:rPr>
              <w:t>是否进口</w:t>
            </w:r>
          </w:p>
        </w:tc>
      </w:tr>
      <w:tr w14:paraId="2062EB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022" w:type="dxa"/>
            <w:tcBorders>
              <w:tl2br w:val="nil"/>
              <w:tr2bl w:val="nil"/>
            </w:tcBorders>
            <w:vAlign w:val="center"/>
          </w:tcPr>
          <w:p w14:paraId="30D76DE4">
            <w:pPr>
              <w:widowControl/>
              <w:numPr>
                <w:ilvl w:val="0"/>
                <w:numId w:val="0"/>
              </w:numPr>
              <w:tabs>
                <w:tab w:val="left" w:pos="0"/>
              </w:tabs>
              <w:bidi w:val="0"/>
              <w:spacing w:line="480" w:lineRule="auto"/>
              <w:ind w:left="0" w:leftChars="0" w:firstLine="0" w:firstLineChars="0"/>
              <w:jc w:val="center"/>
              <w:rPr>
                <w:rFonts w:hint="eastAsia" w:ascii="微软雅黑" w:hAnsi="微软雅黑" w:eastAsia="微软雅黑" w:cs="微软雅黑"/>
                <w:b w:val="0"/>
                <w:bCs w:val="0"/>
                <w:color w:val="auto"/>
                <w:kern w:val="2"/>
                <w:sz w:val="22"/>
                <w:szCs w:val="21"/>
                <w:highlight w:val="none"/>
                <w:vertAlign w:val="baseline"/>
                <w:lang w:val="en-US" w:eastAsia="zh-CN" w:bidi="ar-SA"/>
              </w:rPr>
            </w:pPr>
            <w:bookmarkStart w:id="52" w:name="_Toc5867"/>
            <w:bookmarkStart w:id="53" w:name="_Toc20741"/>
            <w:r>
              <w:rPr>
                <w:rFonts w:hint="eastAsia" w:ascii="微软雅黑" w:hAnsi="微软雅黑" w:eastAsia="微软雅黑" w:cs="微软雅黑"/>
                <w:b w:val="0"/>
                <w:bCs w:val="0"/>
                <w:i w:val="0"/>
                <w:iCs w:val="0"/>
                <w:color w:val="auto"/>
                <w:kern w:val="2"/>
                <w:sz w:val="22"/>
                <w:szCs w:val="21"/>
                <w:vertAlign w:val="baseline"/>
                <w:lang w:val="en-US" w:eastAsia="zh-CN" w:bidi="ar-SA"/>
              </w:rPr>
              <w:t>包1</w:t>
            </w:r>
          </w:p>
        </w:tc>
        <w:tc>
          <w:tcPr>
            <w:tcW w:w="780" w:type="dxa"/>
            <w:tcBorders>
              <w:tl2br w:val="nil"/>
              <w:tr2bl w:val="nil"/>
            </w:tcBorders>
            <w:vAlign w:val="center"/>
          </w:tcPr>
          <w:p w14:paraId="625E8F35">
            <w:pPr>
              <w:widowControl/>
              <w:numPr>
                <w:ilvl w:val="0"/>
                <w:numId w:val="43"/>
              </w:numPr>
              <w:tabs>
                <w:tab w:val="left" w:pos="0"/>
              </w:tabs>
              <w:spacing w:line="480" w:lineRule="auto"/>
              <w:ind w:firstLine="0" w:firstLineChars="0"/>
              <w:jc w:val="center"/>
              <w:rPr>
                <w:rFonts w:hint="eastAsia" w:ascii="Arial Narrow" w:hAnsi="Arial Narrow" w:eastAsia="宋体" w:cs="宋体"/>
                <w:color w:val="auto"/>
                <w:kern w:val="2"/>
                <w:sz w:val="24"/>
                <w:szCs w:val="22"/>
                <w:highlight w:val="none"/>
                <w:lang w:val="en-US" w:eastAsia="zh-CN" w:bidi="ar-SA"/>
              </w:rPr>
            </w:pPr>
          </w:p>
        </w:tc>
        <w:tc>
          <w:tcPr>
            <w:tcW w:w="3198" w:type="dxa"/>
            <w:tcBorders>
              <w:tl2br w:val="nil"/>
              <w:tr2bl w:val="nil"/>
            </w:tcBorders>
            <w:vAlign w:val="center"/>
          </w:tcPr>
          <w:p w14:paraId="5AD4C746">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lang w:val="en-US" w:eastAsia="zh-CN" w:bidi="ar-SA"/>
              </w:rPr>
              <w:t>第十一届全省少数民族传统运动会自动除颤器（AED）采购项目</w:t>
            </w:r>
          </w:p>
        </w:tc>
        <w:tc>
          <w:tcPr>
            <w:tcW w:w="1992" w:type="dxa"/>
            <w:tcBorders>
              <w:tl2br w:val="nil"/>
              <w:tr2bl w:val="nil"/>
            </w:tcBorders>
            <w:vAlign w:val="center"/>
          </w:tcPr>
          <w:p w14:paraId="119B72EE">
            <w:pPr>
              <w:keepNext w:val="0"/>
              <w:keepLines w:val="0"/>
              <w:pageBreakBefore w:val="0"/>
              <w:widowControl/>
              <w:numPr>
                <w:ilvl w:val="0"/>
                <w:numId w:val="0"/>
              </w:numPr>
              <w:tabs>
                <w:tab w:val="left" w:pos="33"/>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default" w:ascii="微软雅黑" w:hAnsi="微软雅黑" w:eastAsia="微软雅黑" w:cs="微软雅黑"/>
                <w:i w:val="0"/>
                <w:iCs w:val="0"/>
                <w:caps w:val="0"/>
                <w:color w:val="auto"/>
                <w:spacing w:val="0"/>
                <w:kern w:val="2"/>
                <w:sz w:val="21"/>
                <w:szCs w:val="21"/>
                <w:lang w:val="en-US" w:eastAsia="zh-CN" w:bidi="ar-SA"/>
              </w:rPr>
              <w:t>A02322500急救和生命支持设备</w:t>
            </w:r>
          </w:p>
        </w:tc>
        <w:tc>
          <w:tcPr>
            <w:tcW w:w="720" w:type="dxa"/>
            <w:tcBorders>
              <w:tl2br w:val="nil"/>
              <w:tr2bl w:val="nil"/>
            </w:tcBorders>
            <w:vAlign w:val="center"/>
          </w:tcPr>
          <w:p w14:paraId="484D837B">
            <w:pPr>
              <w:widowControl/>
              <w:numPr>
                <w:ilvl w:val="0"/>
                <w:numId w:val="0"/>
              </w:numPr>
              <w:tabs>
                <w:tab w:val="left" w:pos="33"/>
              </w:tabs>
              <w:bidi w:val="0"/>
              <w:spacing w:line="300" w:lineRule="exact"/>
              <w:ind w:left="240" w:leftChars="100" w:right="-55" w:rightChars="-23" w:firstLine="0" w:firstLineChars="0"/>
              <w:jc w:val="center"/>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台</w:t>
            </w:r>
          </w:p>
        </w:tc>
        <w:tc>
          <w:tcPr>
            <w:tcW w:w="826" w:type="dxa"/>
            <w:tcBorders>
              <w:tl2br w:val="nil"/>
              <w:tr2bl w:val="nil"/>
            </w:tcBorders>
            <w:vAlign w:val="center"/>
          </w:tcPr>
          <w:p w14:paraId="5DD7D429">
            <w:pPr>
              <w:widowControl/>
              <w:numPr>
                <w:ilvl w:val="0"/>
                <w:numId w:val="0"/>
              </w:numPr>
              <w:tabs>
                <w:tab w:val="left" w:pos="33"/>
              </w:tabs>
              <w:bidi w:val="0"/>
              <w:spacing w:line="300" w:lineRule="exact"/>
              <w:ind w:left="240" w:leftChars="100" w:right="-55" w:rightChars="-23" w:firstLine="0" w:firstLineChars="0"/>
              <w:jc w:val="both"/>
              <w:rPr>
                <w:rFonts w:hint="default"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color w:val="auto"/>
                <w:kern w:val="2"/>
                <w:sz w:val="24"/>
                <w:szCs w:val="22"/>
                <w:highlight w:val="none"/>
                <w:lang w:val="en-US" w:eastAsia="zh-CN" w:bidi="ar-SA"/>
              </w:rPr>
              <w:t>21</w:t>
            </w:r>
          </w:p>
        </w:tc>
        <w:tc>
          <w:tcPr>
            <w:tcW w:w="1424" w:type="dxa"/>
            <w:tcBorders>
              <w:tl2br w:val="nil"/>
              <w:tr2bl w:val="nil"/>
            </w:tcBorders>
            <w:vAlign w:val="center"/>
          </w:tcPr>
          <w:p w14:paraId="15736956">
            <w:pPr>
              <w:widowControl/>
              <w:numPr>
                <w:ilvl w:val="0"/>
                <w:numId w:val="0"/>
              </w:numPr>
              <w:tabs>
                <w:tab w:val="left" w:pos="33"/>
              </w:tabs>
              <w:spacing w:line="300" w:lineRule="exact"/>
              <w:ind w:left="240" w:leftChars="100" w:right="-55" w:rightChars="0" w:firstLine="0" w:firstLineChars="0"/>
              <w:jc w:val="left"/>
              <w:rPr>
                <w:rFonts w:hint="eastAsia" w:ascii="Arial Narrow" w:hAnsi="Arial Narrow" w:eastAsia="宋体" w:cs="宋体"/>
                <w:color w:val="auto"/>
                <w:kern w:val="2"/>
                <w:sz w:val="24"/>
                <w:szCs w:val="22"/>
                <w:highlight w:val="none"/>
                <w:lang w:val="en-US" w:eastAsia="zh-CN" w:bidi="ar-SA"/>
              </w:rPr>
            </w:pPr>
            <w:r>
              <w:rPr>
                <w:rFonts w:hint="eastAsia" w:ascii="微软雅黑" w:hAnsi="微软雅黑" w:eastAsia="微软雅黑" w:cs="微软雅黑"/>
                <w:color w:val="auto"/>
                <w:kern w:val="2"/>
                <w:sz w:val="22"/>
                <w:szCs w:val="22"/>
                <w:highlight w:val="none"/>
                <w:lang w:val="en-US" w:eastAsia="zh-CN" w:bidi="ar-SA"/>
              </w:rPr>
              <w:t>否</w:t>
            </w:r>
          </w:p>
        </w:tc>
      </w:tr>
    </w:tbl>
    <w:p w14:paraId="54439FBA">
      <w:pPr>
        <w:keepNext/>
        <w:keepLines/>
        <w:widowControl w:val="0"/>
        <w:numPr>
          <w:ilvl w:val="0"/>
          <w:numId w:val="4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技术要求</w:t>
      </w:r>
      <w:bookmarkEnd w:id="52"/>
      <w:bookmarkEnd w:id="53"/>
    </w:p>
    <w:p w14:paraId="32973B4C">
      <w:pPr>
        <w:keepNext w:val="0"/>
        <w:keepLines w:val="0"/>
        <w:pageBreakBefore w:val="0"/>
        <w:widowControl w:val="0"/>
        <w:numPr>
          <w:ilvl w:val="0"/>
          <w:numId w:val="44"/>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技术参数</w:t>
      </w:r>
    </w:p>
    <w:p w14:paraId="27C9DF1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用于应急、重大活动保障等场景：</w:t>
      </w:r>
    </w:p>
    <w:p w14:paraId="678AE0B0">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1.物理规格/性能：</w:t>
      </w:r>
    </w:p>
    <w:p w14:paraId="62BB6BED">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1.1设备具备便携把手，具备高便携性。</w:t>
      </w:r>
    </w:p>
    <w:p w14:paraId="0F3C35F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1.2设备能承受在任何角度由≥1.5m高度跌落后仍完好无损。</w:t>
      </w:r>
    </w:p>
    <w:p w14:paraId="1D403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1.3主机</w:t>
      </w:r>
      <w:r>
        <w:rPr>
          <w:rFonts w:hint="eastAsia" w:ascii="宋体" w:hAnsi="宋体" w:eastAsia="宋体" w:cs="宋体"/>
          <w:i w:val="0"/>
          <w:iCs w:val="0"/>
          <w:snapToGrid w:val="0"/>
          <w:color w:val="auto"/>
          <w:kern w:val="0"/>
          <w:sz w:val="24"/>
          <w:szCs w:val="24"/>
          <w:u w:val="none"/>
          <w:lang w:val="en-US" w:eastAsia="zh-CN" w:bidi="ar"/>
        </w:rPr>
        <w:t>为IP</w:t>
      </w:r>
      <w:r>
        <w:rPr>
          <w:rFonts w:hint="eastAsia" w:ascii="宋体" w:hAnsi="宋体" w:eastAsia="宋体" w:cs="宋体"/>
          <w:i w:val="0"/>
          <w:iCs w:val="0"/>
          <w:snapToGrid w:val="0"/>
          <w:color w:val="auto"/>
          <w:kern w:val="0"/>
          <w:sz w:val="24"/>
          <w:szCs w:val="24"/>
          <w:highlight w:val="none"/>
          <w:u w:val="none"/>
          <w:lang w:val="en-US" w:eastAsia="zh-CN" w:bidi="ar"/>
        </w:rPr>
        <w:t>55/</w:t>
      </w:r>
      <w:r>
        <w:rPr>
          <w:rFonts w:hint="eastAsia" w:ascii="宋体" w:hAnsi="宋体" w:eastAsia="宋体" w:cs="宋体"/>
          <w:i w:val="0"/>
          <w:iCs w:val="0"/>
          <w:snapToGrid w:val="0"/>
          <w:color w:val="auto"/>
          <w:kern w:val="0"/>
          <w:sz w:val="24"/>
          <w:szCs w:val="24"/>
          <w:u w:val="none"/>
          <w:lang w:val="en-US" w:eastAsia="zh-CN" w:bidi="ar"/>
        </w:rPr>
        <w:t>IP</w:t>
      </w:r>
      <w:r>
        <w:rPr>
          <w:rFonts w:hint="eastAsia" w:ascii="宋体" w:hAnsi="宋体" w:eastAsia="宋体" w:cs="宋体"/>
          <w:i w:val="0"/>
          <w:iCs w:val="0"/>
          <w:snapToGrid w:val="0"/>
          <w:color w:val="auto"/>
          <w:kern w:val="0"/>
          <w:sz w:val="24"/>
          <w:szCs w:val="24"/>
          <w:highlight w:val="none"/>
          <w:u w:val="none"/>
          <w:lang w:val="en-US" w:eastAsia="zh-CN" w:bidi="ar"/>
        </w:rPr>
        <w:t>65</w:t>
      </w:r>
      <w:r>
        <w:rPr>
          <w:rFonts w:hint="eastAsia" w:ascii="宋体" w:hAnsi="宋体" w:eastAsia="宋体" w:cs="宋体"/>
          <w:i w:val="0"/>
          <w:iCs w:val="0"/>
          <w:snapToGrid w:val="0"/>
          <w:color w:val="auto"/>
          <w:kern w:val="0"/>
          <w:sz w:val="24"/>
          <w:szCs w:val="24"/>
          <w:u w:val="none"/>
          <w:lang w:val="en-US" w:eastAsia="zh-CN" w:bidi="ar"/>
        </w:rPr>
        <w:t>的防尘</w:t>
      </w:r>
      <w:r>
        <w:rPr>
          <w:rFonts w:hint="eastAsia" w:ascii="宋体" w:hAnsi="宋体" w:eastAsia="宋体" w:cs="宋体"/>
          <w:i w:val="0"/>
          <w:iCs w:val="0"/>
          <w:snapToGrid w:val="0"/>
          <w:color w:val="000000"/>
          <w:kern w:val="0"/>
          <w:sz w:val="24"/>
          <w:szCs w:val="24"/>
          <w:u w:val="none"/>
          <w:lang w:val="en-US" w:eastAsia="zh-CN" w:bidi="ar"/>
        </w:rPr>
        <w:t>防水设备。工作温度范围广于等于：-5ºC～50ºC。工作湿度范围广于等于：5%～95%非冷凝。</w:t>
      </w:r>
    </w:p>
    <w:p w14:paraId="7EB5907C">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2.除颤性能：</w:t>
      </w:r>
    </w:p>
    <w:p w14:paraId="4C22033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2.1采用双相波技术，双相指数截断（BTE）波形，波形参数可根据病人阻抗进行自动补偿。</w:t>
      </w:r>
    </w:p>
    <w:p w14:paraId="74DE50EB">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2.2输出能量：最大能量可支持360J。</w:t>
      </w:r>
      <w:r>
        <w:rPr>
          <w:rFonts w:hint="eastAsia" w:ascii="宋体" w:hAnsi="宋体" w:eastAsia="宋体" w:cs="宋体"/>
          <w:b/>
          <w:bCs/>
          <w:i w:val="0"/>
          <w:iCs w:val="0"/>
          <w:snapToGrid w:val="0"/>
          <w:color w:val="000000"/>
          <w:kern w:val="0"/>
          <w:sz w:val="24"/>
          <w:szCs w:val="24"/>
          <w:u w:val="none"/>
          <w:lang w:val="en-US" w:eastAsia="zh-CN" w:bidi="ar"/>
        </w:rPr>
        <w:t>（提供产品说明书佐证材料，并加盖投标人公章）</w:t>
      </w:r>
    </w:p>
    <w:p w14:paraId="7B93614F">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2.3从开机到200J放电准备就绪用时＜8s。</w:t>
      </w:r>
    </w:p>
    <w:p w14:paraId="31B8E4B1">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2.4开始AED分析到200J放电准备就绪时间＜5s。</w:t>
      </w:r>
    </w:p>
    <w:p w14:paraId="66EE7E86">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3.CPR心肺复苏：</w:t>
      </w:r>
    </w:p>
    <w:p w14:paraId="65EA1485">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3.1除颤建议：评估电极片连接情况和患者心电图，以确定是否需要除颤。</w:t>
      </w:r>
    </w:p>
    <w:p w14:paraId="1C1DE7B9">
      <w:pPr>
        <w:keepNext w:val="0"/>
        <w:keepLines w:val="0"/>
        <w:pageBreakBefore w:val="0"/>
        <w:widowControl w:val="0"/>
        <w:suppressLineNumbers w:val="0"/>
        <w:kinsoku/>
        <w:wordWrap/>
        <w:overflowPunct w:val="0"/>
        <w:topLinePunct w:val="0"/>
        <w:autoSpaceDE/>
        <w:autoSpaceDN/>
        <w:bidi w:val="0"/>
        <w:adjustRightInd w:val="0"/>
        <w:snapToGrid w:val="0"/>
        <w:spacing w:line="60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3.2在CPR状态下，设备具有CPR节拍器功能，按照AHA/ERC推荐的频率对病人实施胸部按压，并进行通气。</w:t>
      </w:r>
    </w:p>
    <w:p w14:paraId="7B70A513">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3.3节拍器频率：40cpm～160cpm可变，深度：0～8cm。</w:t>
      </w:r>
    </w:p>
    <w:p w14:paraId="101D949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3.4可选配心肺复苏传感器，提供实时按压质量反馈，显示深度、回弹等数据。</w:t>
      </w:r>
    </w:p>
    <w:p w14:paraId="6709D979">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4.除颤电极片：</w:t>
      </w:r>
    </w:p>
    <w:p w14:paraId="07CEBD8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4.1在待机状态，电极片与主机预先连接，节省了开机后插入电极片步骤，提高抢救效率。</w:t>
      </w:r>
    </w:p>
    <w:p w14:paraId="395F66E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4.2具有电极片连接状态自检功能和报警提示。</w:t>
      </w:r>
    </w:p>
    <w:p w14:paraId="510C2B2A">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4.3可自动识别电极片，并根据电极片类型自动选择对应的除颤能量。</w:t>
      </w:r>
    </w:p>
    <w:p w14:paraId="027833A5">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4.4可识别电极片有效期，检测到电极片快过期时给出报警提示。</w:t>
      </w:r>
    </w:p>
    <w:p w14:paraId="38A5CAC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4.5所投产品配备的电极片具备按压反馈功能：设备可实时监测按压频率，当按压频率不规范时，可提供反馈。</w:t>
      </w:r>
      <w:r>
        <w:rPr>
          <w:rFonts w:hint="eastAsia" w:ascii="宋体" w:hAnsi="宋体" w:eastAsia="宋体" w:cs="宋体"/>
          <w:b/>
          <w:bCs/>
          <w:i w:val="0"/>
          <w:iCs w:val="0"/>
          <w:snapToGrid w:val="0"/>
          <w:color w:val="000000"/>
          <w:kern w:val="0"/>
          <w:sz w:val="24"/>
          <w:szCs w:val="24"/>
          <w:u w:val="none"/>
          <w:lang w:val="en-US" w:eastAsia="zh-CN" w:bidi="ar"/>
        </w:rPr>
        <w:t>（提供产品说明书佐证材料）</w:t>
      </w:r>
    </w:p>
    <w:p w14:paraId="546A6D0E">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5.电池：</w:t>
      </w:r>
    </w:p>
    <w:p w14:paraId="013E1C11">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5.1至少可支持200次360J除颤治疗，提供产品使用说明书证明材料。</w:t>
      </w:r>
    </w:p>
    <w:p w14:paraId="74755DCC">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5.2可检测电池低电量并给出报警提示，低电量报警后至少还可支持10次200J除颤充放电。</w:t>
      </w:r>
    </w:p>
    <w:p w14:paraId="3B54E6E4">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6.屏幕/操作：</w:t>
      </w:r>
    </w:p>
    <w:p w14:paraId="6722165D">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6.1</w:t>
      </w:r>
      <w:r>
        <w:rPr>
          <w:rFonts w:hint="eastAsia" w:ascii="宋体" w:hAnsi="宋体" w:eastAsia="宋体" w:cs="宋体"/>
          <w:i w:val="0"/>
          <w:iCs w:val="0"/>
          <w:snapToGrid w:val="0"/>
          <w:color w:val="auto"/>
          <w:kern w:val="0"/>
          <w:sz w:val="24"/>
          <w:szCs w:val="24"/>
          <w:u w:val="none"/>
          <w:lang w:val="en-US" w:eastAsia="zh-CN" w:bidi="ar"/>
        </w:rPr>
        <w:t>彩色显示屏</w:t>
      </w:r>
      <w:r>
        <w:rPr>
          <w:rFonts w:hint="eastAsia" w:ascii="宋体" w:hAnsi="宋体" w:eastAsia="宋体" w:cs="宋体"/>
          <w:i w:val="0"/>
          <w:iCs w:val="0"/>
          <w:snapToGrid w:val="0"/>
          <w:color w:val="000000"/>
          <w:kern w:val="0"/>
          <w:sz w:val="24"/>
          <w:szCs w:val="24"/>
          <w:u w:val="none"/>
          <w:lang w:val="en-US" w:eastAsia="zh-CN" w:bidi="ar"/>
        </w:rPr>
        <w:t>，支持动画指导用户执行急救操作。</w:t>
      </w:r>
    </w:p>
    <w:p w14:paraId="192C3936">
      <w:pPr>
        <w:keepNext w:val="0"/>
        <w:keepLines w:val="0"/>
        <w:pageBreakBefore w:val="0"/>
        <w:widowControl w:val="0"/>
        <w:suppressLineNumbers w:val="0"/>
        <w:kinsoku/>
        <w:wordWrap/>
        <w:overflowPunct w:val="0"/>
        <w:topLinePunct w:val="0"/>
        <w:autoSpaceDE/>
        <w:autoSpaceDN/>
        <w:bidi w:val="0"/>
        <w:adjustRightInd w:val="0"/>
        <w:snapToGrid w:val="0"/>
        <w:spacing w:line="56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7.数据传输和存储：</w:t>
      </w:r>
    </w:p>
    <w:p w14:paraId="26E1F4A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7.1数据传输及定位系统：内置4G或5G无线数据传输功能，可将自检数据（包含电池电量、电极片、位置信息等）无线传输到采购人远程AED管理平台。</w:t>
      </w:r>
    </w:p>
    <w:p w14:paraId="2DC74AB0">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7.2设备的内部存储容量不小于1GB，可存储至少1000份自检报告。</w:t>
      </w:r>
    </w:p>
    <w:p w14:paraId="02FF8E43">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7.3具备录音功能，可保存≥60分钟抢救现场录音。</w:t>
      </w:r>
    </w:p>
    <w:p w14:paraId="380FCDF9">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7.4可存储抢救记录数据，ECG波形数据、事件数据、录音数据、急救数据（包括急救时间、CPR 持续时间、放电次数、除颤能量等）。</w:t>
      </w:r>
    </w:p>
    <w:p w14:paraId="1723460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7.5支持USB接口，可通过外部USB闪存设备导出抢救记录数据。</w:t>
      </w:r>
    </w:p>
    <w:p w14:paraId="2962ED4A">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7.6 AED可记录存储使用相关数据的功能，并可通过AED管理平台将数据导出，包括全程心电图波形，除颤时间、除颤次数、除颤能量。</w:t>
      </w:r>
    </w:p>
    <w:p w14:paraId="7DA8FA01">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8.设备维护与自检：</w:t>
      </w:r>
    </w:p>
    <w:p w14:paraId="2DC6B5EF">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8.1具备自检功能：具有开机自检、每天自检、每月、每季度自检功能。</w:t>
      </w:r>
    </w:p>
    <w:p w14:paraId="2C272516">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2" w:firstLineChars="200"/>
        <w:jc w:val="both"/>
        <w:textAlignment w:val="center"/>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9.AED单台标准配置要求：</w:t>
      </w:r>
    </w:p>
    <w:p w14:paraId="60B75365">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9.1AED主机1台，带≧4G数据传输</w:t>
      </w:r>
      <w:r>
        <w:rPr>
          <w:rFonts w:hint="eastAsia" w:ascii="宋体" w:hAnsi="宋体" w:eastAsia="宋体" w:cs="宋体"/>
          <w:i w:val="0"/>
          <w:iCs w:val="0"/>
          <w:snapToGrid w:val="0"/>
          <w:color w:val="auto"/>
          <w:kern w:val="0"/>
          <w:sz w:val="24"/>
          <w:szCs w:val="24"/>
          <w:u w:val="none"/>
          <w:lang w:val="en-US" w:eastAsia="zh-CN" w:bidi="ar"/>
        </w:rPr>
        <w:t>卡（含</w:t>
      </w:r>
      <w:r>
        <w:rPr>
          <w:rFonts w:hint="eastAsia" w:ascii="宋体" w:hAnsi="宋体" w:eastAsia="宋体" w:cs="宋体"/>
          <w:b/>
          <w:bCs/>
          <w:i w:val="0"/>
          <w:iCs w:val="0"/>
          <w:snapToGrid w:val="0"/>
          <w:color w:val="auto"/>
          <w:kern w:val="0"/>
          <w:sz w:val="24"/>
          <w:szCs w:val="24"/>
          <w:u w:val="none"/>
          <w:lang w:val="en-US" w:eastAsia="zh-CN" w:bidi="ar"/>
        </w:rPr>
        <w:t>5年</w:t>
      </w:r>
      <w:r>
        <w:rPr>
          <w:rFonts w:hint="eastAsia" w:ascii="宋体" w:hAnsi="宋体" w:eastAsia="宋体" w:cs="宋体"/>
          <w:i w:val="0"/>
          <w:iCs w:val="0"/>
          <w:snapToGrid w:val="0"/>
          <w:color w:val="auto"/>
          <w:kern w:val="0"/>
          <w:sz w:val="24"/>
          <w:szCs w:val="24"/>
          <w:u w:val="none"/>
          <w:lang w:val="en-US" w:eastAsia="zh-CN" w:bidi="ar"/>
        </w:rPr>
        <w:t>费用）；</w:t>
      </w:r>
    </w:p>
    <w:p w14:paraId="38C459CE">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9.2内置电池1套、除颤电极片1副内置电池，1套；</w:t>
      </w:r>
    </w:p>
    <w:p w14:paraId="4D733892">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 xml:space="preserve">9.3除颤电极片，1副； </w:t>
      </w:r>
    </w:p>
    <w:p w14:paraId="6866D50B">
      <w:pPr>
        <w:keepNext w:val="0"/>
        <w:keepLines w:val="0"/>
        <w:pageBreakBefore w:val="0"/>
        <w:widowControl w:val="0"/>
        <w:suppressLineNumbers w:val="0"/>
        <w:kinsoku/>
        <w:wordWrap/>
        <w:overflowPunct w:val="0"/>
        <w:topLinePunct w:val="0"/>
        <w:autoSpaceDE/>
        <w:autoSpaceDN/>
        <w:bidi w:val="0"/>
        <w:adjustRightInd w:val="0"/>
        <w:snapToGrid w:val="0"/>
        <w:spacing w:line="550" w:lineRule="exact"/>
        <w:ind w:left="0" w:leftChars="0" w:right="0" w:rightChars="0" w:firstLine="480" w:firstLineChars="200"/>
        <w:jc w:val="both"/>
        <w:textAlignment w:val="center"/>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9.4中文说明书，1套；</w:t>
      </w:r>
    </w:p>
    <w:p w14:paraId="5A1B9850">
      <w:pPr>
        <w:keepNext w:val="0"/>
        <w:keepLines w:val="0"/>
        <w:pageBreakBefore w:val="0"/>
        <w:widowControl w:val="0"/>
        <w:kinsoku/>
        <w:wordWrap/>
        <w:overflowPunct w:val="0"/>
        <w:topLinePunct w:val="0"/>
        <w:autoSpaceDE/>
        <w:autoSpaceDN/>
        <w:bidi w:val="0"/>
        <w:spacing w:line="550" w:lineRule="exact"/>
        <w:ind w:left="0" w:leftChars="0" w:right="0" w:rightChars="0" w:firstLine="480" w:firstLineChars="200"/>
        <w:rPr>
          <w:rFonts w:hint="eastAsia" w:ascii="宋体" w:hAnsi="宋体" w:eastAsia="宋体" w:cs="宋体"/>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9.5中文操作流程卡，1套。</w:t>
      </w:r>
    </w:p>
    <w:p w14:paraId="62BDF232">
      <w:pPr>
        <w:keepNext w:val="0"/>
        <w:keepLines w:val="0"/>
        <w:pageBreakBefore w:val="0"/>
        <w:widowControl w:val="0"/>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auto"/>
          <w:kern w:val="0"/>
          <w:sz w:val="24"/>
          <w:szCs w:val="24"/>
          <w:u w:val="none"/>
          <w:lang w:val="en-US" w:eastAsia="zh-CN" w:bidi="ar"/>
        </w:rPr>
      </w:pPr>
      <w:r>
        <w:rPr>
          <w:rFonts w:hint="eastAsia" w:ascii="宋体" w:hAnsi="宋体" w:eastAsia="宋体" w:cs="宋体"/>
          <w:i w:val="0"/>
          <w:iCs w:val="0"/>
          <w:snapToGrid w:val="0"/>
          <w:color w:val="auto"/>
          <w:kern w:val="0"/>
          <w:sz w:val="24"/>
          <w:szCs w:val="24"/>
          <w:u w:val="none"/>
          <w:lang w:val="en-US" w:eastAsia="zh-CN" w:bidi="ar"/>
        </w:rPr>
        <w:t>二、</w:t>
      </w:r>
      <w:r>
        <w:rPr>
          <w:rFonts w:hint="eastAsia" w:ascii="宋体" w:hAnsi="宋体" w:eastAsia="宋体" w:cs="宋体"/>
          <w:b/>
          <w:bCs/>
          <w:i w:val="0"/>
          <w:iCs w:val="0"/>
          <w:snapToGrid w:val="0"/>
          <w:color w:val="auto"/>
          <w:kern w:val="0"/>
          <w:sz w:val="24"/>
          <w:szCs w:val="24"/>
          <w:u w:val="none"/>
          <w:lang w:val="en-US" w:eastAsia="zh-CN" w:bidi="ar"/>
        </w:rPr>
        <w:t>其它要求</w:t>
      </w:r>
    </w:p>
    <w:p w14:paraId="25AA20A1">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1.AED机柜：</w:t>
      </w:r>
    </w:p>
    <w:p w14:paraId="0C2E0908">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1.1每台AED设备须配套提供1个立式或挂式机柜。机柜、指示牌与设备同时交货。</w:t>
      </w:r>
    </w:p>
    <w:p w14:paraId="7F320437">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1.2机柜具有独立的 AED 存放位和急救包存放位，具备宣传功能。</w:t>
      </w:r>
    </w:p>
    <w:p w14:paraId="1FFA1745">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1.3机柜材质为钢质，机柜色彩由采购人选定。机柜满足耐压耐腐蚀，防生锈、防尘、防晒、防水、防盗损、防污染、抗干扰等要求（配套壁挂报警柜须符合GB/T26572-2011《电器电子产品有害物质限制使用要求》，机柜须通过盐雾测试，保证机柜的耐腐蚀性），室外机柜防锈质保应</w:t>
      </w:r>
      <w:r>
        <w:rPr>
          <w:rFonts w:hint="eastAsia" w:ascii="宋体" w:hAnsi="宋体" w:eastAsia="宋体" w:cs="宋体"/>
          <w:i w:val="0"/>
          <w:iCs w:val="0"/>
          <w:snapToGrid w:val="0"/>
          <w:color w:val="auto"/>
          <w:kern w:val="0"/>
          <w:sz w:val="24"/>
          <w:szCs w:val="24"/>
          <w:u w:val="none"/>
          <w:lang w:val="en-US" w:eastAsia="zh-CN" w:bidi="ar"/>
        </w:rPr>
        <w:t>达5年及以</w:t>
      </w:r>
      <w:r>
        <w:rPr>
          <w:rFonts w:hint="eastAsia" w:ascii="宋体" w:hAnsi="宋体" w:eastAsia="宋体" w:cs="宋体"/>
          <w:i w:val="0"/>
          <w:iCs w:val="0"/>
          <w:snapToGrid w:val="0"/>
          <w:color w:val="000000"/>
          <w:kern w:val="0"/>
          <w:sz w:val="24"/>
          <w:szCs w:val="24"/>
          <w:u w:val="none"/>
          <w:lang w:val="en-US" w:eastAsia="zh-CN" w:bidi="ar"/>
        </w:rPr>
        <w:t>上。</w:t>
      </w:r>
      <w:r>
        <w:rPr>
          <w:rFonts w:hint="eastAsia" w:ascii="宋体" w:hAnsi="宋体" w:eastAsia="宋体" w:cs="宋体"/>
          <w:b/>
          <w:bCs/>
          <w:i w:val="0"/>
          <w:iCs w:val="0"/>
          <w:snapToGrid w:val="0"/>
          <w:color w:val="000000"/>
          <w:kern w:val="0"/>
          <w:sz w:val="24"/>
          <w:szCs w:val="24"/>
          <w:u w:val="none"/>
          <w:lang w:val="en-US" w:eastAsia="zh-CN" w:bidi="ar"/>
        </w:rPr>
        <w:t>（提供“电器电子产品有害物质限制使用要求”和“盐雾测试”国家认可的检测机构出具的检测报告佐证材料，并具备网络可查二维码）</w:t>
      </w:r>
    </w:p>
    <w:p w14:paraId="4271E900">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1.4机柜可根据实际需要选装机械锁。柜体设计便于机械开锁，必要时便捷破窗取用设备。打开柜体即声音报警，及时通知周边人员响应。</w:t>
      </w:r>
    </w:p>
    <w:p w14:paraId="7D6AD46D">
      <w:pPr>
        <w:keepNext w:val="0"/>
        <w:keepLines w:val="0"/>
        <w:pageBreakBefore w:val="0"/>
        <w:widowControl w:val="0"/>
        <w:numPr>
          <w:ilvl w:val="0"/>
          <w:numId w:val="0"/>
        </w:numPr>
        <w:kinsoku/>
        <w:wordWrap/>
        <w:overflowPunct w:val="0"/>
        <w:topLinePunct w:val="0"/>
        <w:autoSpaceDE/>
        <w:autoSpaceDN/>
        <w:bidi w:val="0"/>
        <w:spacing w:line="600" w:lineRule="exact"/>
        <w:ind w:left="0" w:leftChars="0" w:right="0" w:rightChars="0" w:firstLine="480"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1.5可与AED设备联动提示设备的在位情况。</w:t>
      </w:r>
      <w:r>
        <w:rPr>
          <w:rFonts w:hint="eastAsia" w:ascii="宋体" w:hAnsi="宋体" w:eastAsia="宋体" w:cs="宋体"/>
          <w:b/>
          <w:bCs/>
          <w:i w:val="0"/>
          <w:iCs w:val="0"/>
          <w:snapToGrid w:val="0"/>
          <w:color w:val="000000"/>
          <w:kern w:val="0"/>
          <w:sz w:val="24"/>
          <w:szCs w:val="24"/>
          <w:u w:val="none"/>
          <w:lang w:val="en-US" w:eastAsia="zh-CN" w:bidi="ar"/>
        </w:rPr>
        <w:t>（提供机柜和所投AED产品原厂管理平台截图佐证材料，并提供登陆网址及账号密码备查）</w:t>
      </w:r>
    </w:p>
    <w:p w14:paraId="0663457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0" w:firstLineChars="200"/>
        <w:rPr>
          <w:rFonts w:hint="eastAsia" w:ascii="宋体" w:hAnsi="宋体" w:eastAsia="宋体" w:cs="宋体"/>
          <w:i w:val="0"/>
          <w:iCs w:val="0"/>
          <w:snapToGrid w:val="0"/>
          <w:color w:val="000000"/>
          <w:kern w:val="0"/>
          <w:sz w:val="24"/>
          <w:szCs w:val="24"/>
          <w:u w:val="none"/>
          <w:lang w:val="en-US" w:eastAsia="zh-CN" w:bidi="ar"/>
        </w:rPr>
      </w:pPr>
    </w:p>
    <w:p w14:paraId="6217BD30">
      <w:pPr>
        <w:keepNext w:val="0"/>
        <w:keepLines w:val="0"/>
        <w:pageBreakBefore w:val="0"/>
        <w:widowControl w:val="0"/>
        <w:numPr>
          <w:ilvl w:val="0"/>
          <w:numId w:val="0"/>
        </w:numPr>
        <w:kinsoku/>
        <w:wordWrap/>
        <w:overflowPunct w:val="0"/>
        <w:topLinePunct w:val="0"/>
        <w:autoSpaceDE/>
        <w:autoSpaceDN/>
        <w:bidi w:val="0"/>
        <w:adjustRightInd/>
        <w:spacing w:line="580" w:lineRule="exact"/>
        <w:ind w:left="0" w:leftChars="0" w:right="0" w:rightChars="0" w:firstLine="482" w:firstLineChars="200"/>
        <w:rPr>
          <w:rFonts w:hint="eastAsia" w:ascii="宋体" w:hAnsi="宋体" w:eastAsia="宋体" w:cs="宋体"/>
          <w:b/>
          <w:bCs/>
          <w:i w:val="0"/>
          <w:iCs w:val="0"/>
          <w:snapToGrid w:val="0"/>
          <w:color w:val="000000"/>
          <w:kern w:val="0"/>
          <w:sz w:val="24"/>
          <w:szCs w:val="24"/>
          <w:u w:val="none"/>
          <w:lang w:val="en-US" w:eastAsia="zh-CN" w:bidi="ar"/>
        </w:rPr>
      </w:pPr>
      <w:r>
        <w:rPr>
          <w:rFonts w:hint="eastAsia" w:ascii="宋体" w:hAnsi="宋体" w:eastAsia="宋体" w:cs="宋体"/>
          <w:b/>
          <w:bCs/>
          <w:i w:val="0"/>
          <w:iCs w:val="0"/>
          <w:snapToGrid w:val="0"/>
          <w:color w:val="000000"/>
          <w:kern w:val="0"/>
          <w:sz w:val="24"/>
          <w:szCs w:val="24"/>
          <w:u w:val="none"/>
          <w:lang w:val="en-US" w:eastAsia="zh-CN" w:bidi="ar"/>
        </w:rPr>
        <w:t>2.系统接入：</w:t>
      </w:r>
    </w:p>
    <w:p w14:paraId="6C3C4EBF">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480" w:firstLineChars="200"/>
        <w:jc w:val="left"/>
        <w:textAlignment w:val="auto"/>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2.1</w:t>
      </w:r>
      <w:r>
        <w:rPr>
          <w:rFonts w:hint="eastAsia" w:ascii="宋体" w:hAnsi="宋体" w:eastAsia="宋体" w:cs="宋体"/>
          <w:b/>
          <w:bCs/>
          <w:i w:val="0"/>
          <w:iCs w:val="0"/>
          <w:snapToGrid w:val="0"/>
          <w:color w:val="000000"/>
          <w:kern w:val="0"/>
          <w:sz w:val="24"/>
          <w:szCs w:val="24"/>
          <w:u w:val="none"/>
          <w:lang w:val="en-US" w:eastAsia="zh-CN" w:bidi="ar"/>
        </w:rPr>
        <w:t>全部AED设备须完成接</w:t>
      </w:r>
      <w:r>
        <w:rPr>
          <w:rFonts w:hint="eastAsia" w:ascii="宋体" w:hAnsi="宋体" w:eastAsia="宋体" w:cs="宋体"/>
          <w:b/>
          <w:bCs/>
          <w:i w:val="0"/>
          <w:iCs w:val="0"/>
          <w:snapToGrid w:val="0"/>
          <w:color w:val="auto"/>
          <w:kern w:val="0"/>
          <w:sz w:val="24"/>
          <w:szCs w:val="24"/>
          <w:u w:val="none"/>
          <w:lang w:val="en-US" w:eastAsia="zh-CN" w:bidi="ar"/>
        </w:rPr>
        <w:t>入张家界市5G智慧医疗急救指挥调度信息系统相关部署、调试工作</w:t>
      </w:r>
      <w:r>
        <w:rPr>
          <w:rFonts w:hint="eastAsia" w:ascii="宋体" w:hAnsi="宋体" w:eastAsia="宋体" w:cs="宋体"/>
          <w:b/>
          <w:bCs/>
          <w:i w:val="0"/>
          <w:iCs w:val="0"/>
          <w:snapToGrid w:val="0"/>
          <w:color w:val="000000"/>
          <w:kern w:val="0"/>
          <w:sz w:val="24"/>
          <w:szCs w:val="24"/>
          <w:u w:val="none"/>
          <w:lang w:val="en-US" w:eastAsia="zh-CN" w:bidi="ar"/>
        </w:rPr>
        <w:t>，由此产生的全部软硬件、对接、运维、开通等相关费用均由中标人全额承担，招标人无需支付任何相关费用。</w:t>
      </w:r>
    </w:p>
    <w:p w14:paraId="7CF0815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36F97039">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13F1E726">
      <w:pPr>
        <w:keepNext w:val="0"/>
        <w:keepLines w:val="0"/>
        <w:pageBreakBefore w:val="0"/>
        <w:widowControl/>
        <w:tabs>
          <w:tab w:val="left" w:pos="0"/>
        </w:tabs>
        <w:kinsoku/>
        <w:wordWrap/>
        <w:overflowPunct/>
        <w:topLinePunct w:val="0"/>
        <w:autoSpaceDE/>
        <w:autoSpaceDN/>
        <w:bidi w:val="0"/>
        <w:adjustRightInd/>
        <w:snapToGrid/>
        <w:spacing w:line="440" w:lineRule="exact"/>
        <w:ind w:left="0" w:leftChars="0" w:firstLine="0" w:firstLineChars="0"/>
        <w:jc w:val="left"/>
        <w:textAlignment w:val="auto"/>
        <w:rPr>
          <w:rFonts w:hint="eastAsia" w:ascii="宋体" w:hAnsi="宋体" w:eastAsia="宋体" w:cs="宋体"/>
          <w:i w:val="0"/>
          <w:iCs w:val="0"/>
          <w:snapToGrid w:val="0"/>
          <w:color w:val="000000"/>
          <w:kern w:val="0"/>
          <w:sz w:val="24"/>
          <w:szCs w:val="24"/>
          <w:u w:val="none"/>
          <w:lang w:val="en-US" w:eastAsia="zh-CN" w:bidi="ar"/>
        </w:rPr>
      </w:pPr>
    </w:p>
    <w:p w14:paraId="34BA3F9F">
      <w:pPr>
        <w:keepNext/>
        <w:keepLines/>
        <w:widowControl w:val="0"/>
        <w:numPr>
          <w:ilvl w:val="0"/>
          <w:numId w:val="42"/>
        </w:numPr>
        <w:tabs>
          <w:tab w:val="left" w:pos="0"/>
        </w:tabs>
        <w:bidi w:val="0"/>
        <w:spacing w:before="160" w:after="290" w:line="240" w:lineRule="auto"/>
        <w:ind w:firstLine="480" w:firstLineChars="200"/>
        <w:jc w:val="both"/>
        <w:outlineLvl w:val="1"/>
        <w:rPr>
          <w:rFonts w:hint="eastAsia" w:ascii="Times New Roman" w:hAnsi="Times New Roman" w:eastAsia="黑体" w:cs="Times New Roman"/>
          <w:color w:val="auto"/>
          <w:kern w:val="2"/>
          <w:sz w:val="24"/>
          <w:szCs w:val="24"/>
          <w:highlight w:val="none"/>
          <w:lang w:val="en-US" w:eastAsia="zh-CN" w:bidi="ar-SA"/>
        </w:rPr>
      </w:pPr>
      <w:r>
        <w:rPr>
          <w:rFonts w:hint="eastAsia" w:ascii="Times New Roman" w:hAnsi="Times New Roman" w:eastAsia="黑体" w:cs="Times New Roman"/>
          <w:color w:val="auto"/>
          <w:kern w:val="2"/>
          <w:sz w:val="24"/>
          <w:szCs w:val="24"/>
          <w:highlight w:val="none"/>
          <w:lang w:val="en-US" w:eastAsia="zh-CN" w:bidi="ar-SA"/>
        </w:rPr>
        <w:t>商务要求</w:t>
      </w:r>
    </w:p>
    <w:tbl>
      <w:tblPr>
        <w:tblStyle w:val="34"/>
        <w:tblW w:w="101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1380"/>
        <w:gridCol w:w="8210"/>
      </w:tblGrid>
      <w:tr w14:paraId="13EC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blHeader/>
          <w:jc w:val="center"/>
        </w:trPr>
        <w:tc>
          <w:tcPr>
            <w:tcW w:w="530" w:type="dxa"/>
            <w:tcBorders>
              <w:tl2br w:val="nil"/>
              <w:tr2bl w:val="nil"/>
            </w:tcBorders>
            <w:shd w:val="pct10" w:color="ADB9CA" w:fill="D6DCE5"/>
            <w:vAlign w:val="center"/>
          </w:tcPr>
          <w:p w14:paraId="056C23BB">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bCs w:val="0"/>
                <w:color w:val="auto"/>
                <w:sz w:val="22"/>
                <w:szCs w:val="22"/>
              </w:rPr>
            </w:pPr>
            <w:r>
              <w:rPr>
                <w:rFonts w:hint="eastAsia" w:ascii="等线" w:hAnsi="等线" w:eastAsia="等线" w:cs="等线"/>
                <w:b/>
                <w:bCs w:val="0"/>
                <w:color w:val="auto"/>
                <w:sz w:val="22"/>
                <w:szCs w:val="22"/>
              </w:rPr>
              <w:t>序号</w:t>
            </w:r>
          </w:p>
        </w:tc>
        <w:tc>
          <w:tcPr>
            <w:tcW w:w="1380" w:type="dxa"/>
            <w:tcBorders>
              <w:tl2br w:val="nil"/>
              <w:tr2bl w:val="nil"/>
            </w:tcBorders>
            <w:shd w:val="pct10" w:color="ADB9CA" w:fill="D6DCE5"/>
            <w:vAlign w:val="center"/>
          </w:tcPr>
          <w:p w14:paraId="5E556D4B">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商务</w:t>
            </w:r>
          </w:p>
          <w:p w14:paraId="3AC02275">
            <w:pPr>
              <w:keepNext w:val="0"/>
              <w:keepLines w:val="0"/>
              <w:pageBreakBefore w:val="0"/>
              <w:widowControl w:val="0"/>
              <w:kinsoku/>
              <w:wordWrap/>
              <w:overflowPunct w:val="0"/>
              <w:topLinePunct w:val="0"/>
              <w:autoSpaceDE/>
              <w:autoSpaceDN/>
              <w:bidi w:val="0"/>
              <w:adjustRightInd w:val="0"/>
              <w:snapToGrid w:val="0"/>
              <w:spacing w:line="308" w:lineRule="exact"/>
              <w:jc w:val="center"/>
              <w:rPr>
                <w:rFonts w:hint="eastAsia" w:ascii="等线" w:hAnsi="等线" w:eastAsia="等线" w:cs="等线"/>
                <w:b/>
                <w:bCs w:val="0"/>
                <w:color w:val="auto"/>
                <w:kern w:val="0"/>
                <w:sz w:val="22"/>
                <w:szCs w:val="22"/>
              </w:rPr>
            </w:pPr>
            <w:r>
              <w:rPr>
                <w:rFonts w:hint="eastAsia" w:ascii="等线" w:hAnsi="等线" w:eastAsia="等线" w:cs="等线"/>
                <w:b/>
                <w:bCs w:val="0"/>
                <w:color w:val="auto"/>
                <w:kern w:val="0"/>
                <w:sz w:val="22"/>
                <w:szCs w:val="22"/>
              </w:rPr>
              <w:t>条款</w:t>
            </w:r>
          </w:p>
        </w:tc>
        <w:tc>
          <w:tcPr>
            <w:tcW w:w="8210" w:type="dxa"/>
            <w:tcBorders>
              <w:tl2br w:val="nil"/>
              <w:tr2bl w:val="nil"/>
            </w:tcBorders>
            <w:shd w:val="pct10" w:color="ADB9CA" w:fill="D6DCE5"/>
            <w:vAlign w:val="center"/>
          </w:tcPr>
          <w:p w14:paraId="32C8F742">
            <w:pPr>
              <w:keepNext w:val="0"/>
              <w:keepLines w:val="0"/>
              <w:pageBreakBefore w:val="0"/>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color w:val="auto"/>
                <w:sz w:val="22"/>
                <w:szCs w:val="22"/>
              </w:rPr>
            </w:pPr>
            <w:r>
              <w:rPr>
                <w:rFonts w:hint="eastAsia" w:ascii="等线" w:hAnsi="等线" w:eastAsia="等线" w:cs="等线"/>
                <w:b/>
                <w:color w:val="auto"/>
                <w:sz w:val="22"/>
                <w:szCs w:val="22"/>
              </w:rPr>
              <w:t>内    容</w:t>
            </w:r>
          </w:p>
        </w:tc>
      </w:tr>
      <w:tr w14:paraId="379D7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C4BC96" w:fill="auto"/>
            <w:vAlign w:val="center"/>
          </w:tcPr>
          <w:p w14:paraId="70DE86D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1</w:t>
            </w:r>
          </w:p>
        </w:tc>
        <w:tc>
          <w:tcPr>
            <w:tcW w:w="1380" w:type="dxa"/>
            <w:tcBorders>
              <w:tl2br w:val="nil"/>
              <w:tr2bl w:val="nil"/>
            </w:tcBorders>
            <w:shd w:val="clear" w:color="C4BC96" w:fill="auto"/>
            <w:vAlign w:val="center"/>
          </w:tcPr>
          <w:p w14:paraId="614265F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center"/>
              <w:textAlignment w:val="center"/>
              <w:rPr>
                <w:rFonts w:hint="eastAsia" w:ascii="等线" w:hAnsi="等线" w:eastAsia="等线" w:cs="等线"/>
                <w:i w:val="0"/>
                <w:iCs w:val="0"/>
                <w:snapToGrid w:val="0"/>
                <w:color w:val="auto"/>
                <w:kern w:val="0"/>
                <w:sz w:val="22"/>
                <w:szCs w:val="22"/>
                <w:u w:val="none"/>
                <w:lang w:val="en-US" w:eastAsia="zh-CN"/>
              </w:rPr>
            </w:pPr>
            <w:r>
              <w:rPr>
                <w:rFonts w:hint="eastAsia" w:ascii="Calibri" w:hAnsi="Calibri" w:eastAsia="宋体" w:cs="等线"/>
                <w:i w:val="0"/>
                <w:iCs w:val="0"/>
                <w:snapToGrid w:val="0"/>
                <w:color w:val="auto"/>
                <w:kern w:val="0"/>
                <w:sz w:val="22"/>
                <w:szCs w:val="22"/>
                <w:u w:val="none"/>
                <w:lang w:val="en-US" w:eastAsia="zh-CN"/>
              </w:rPr>
              <w:t>交付时间</w:t>
            </w:r>
          </w:p>
        </w:tc>
        <w:tc>
          <w:tcPr>
            <w:tcW w:w="8210" w:type="dxa"/>
            <w:tcBorders>
              <w:tl2br w:val="nil"/>
              <w:tr2bl w:val="nil"/>
            </w:tcBorders>
            <w:shd w:val="clear" w:color="C4BC96" w:fill="auto"/>
            <w:vAlign w:val="center"/>
          </w:tcPr>
          <w:p w14:paraId="099412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等线" w:hAnsi="等线" w:eastAsia="宋体" w:cs="等线"/>
                <w:i w:val="0"/>
                <w:iCs w:val="0"/>
                <w:snapToGrid w:val="0"/>
                <w:color w:val="auto"/>
                <w:kern w:val="0"/>
                <w:sz w:val="22"/>
                <w:szCs w:val="22"/>
                <w:u w:val="none"/>
                <w:lang w:val="en-US" w:eastAsia="zh-CN"/>
              </w:rPr>
            </w:pPr>
            <w:r>
              <w:rPr>
                <w:rFonts w:hint="eastAsia" w:ascii="Calibri" w:hAnsi="Calibri" w:eastAsia="宋体" w:cs="宋体"/>
                <w:color w:val="auto"/>
                <w:sz w:val="24"/>
                <w:u w:val="none"/>
              </w:rPr>
              <w:t>自合同签订之日起</w:t>
            </w: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0天内完成</w:t>
            </w:r>
            <w:r>
              <w:rPr>
                <w:rFonts w:hint="eastAsia" w:ascii="Calibri" w:hAnsi="Calibri" w:eastAsia="宋体" w:cs="宋体"/>
                <w:color w:val="auto"/>
                <w:sz w:val="24"/>
                <w:u w:val="none"/>
                <w:lang w:val="en-US" w:eastAsia="zh-CN"/>
              </w:rPr>
              <w:t>交货</w:t>
            </w:r>
          </w:p>
        </w:tc>
      </w:tr>
      <w:tr w14:paraId="3E4FC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30" w:type="dxa"/>
            <w:tcBorders>
              <w:tl2br w:val="nil"/>
              <w:tr2bl w:val="nil"/>
            </w:tcBorders>
            <w:shd w:val="clear" w:color="C4BC96" w:fill="auto"/>
            <w:vAlign w:val="center"/>
          </w:tcPr>
          <w:p w14:paraId="3D0EE18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2</w:t>
            </w:r>
          </w:p>
        </w:tc>
        <w:tc>
          <w:tcPr>
            <w:tcW w:w="1380" w:type="dxa"/>
            <w:tcBorders>
              <w:tl2br w:val="nil"/>
              <w:tr2bl w:val="nil"/>
            </w:tcBorders>
            <w:shd w:val="clear" w:color="C4BC96" w:fill="auto"/>
            <w:vAlign w:val="center"/>
          </w:tcPr>
          <w:p w14:paraId="4F619E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交货地点</w:t>
            </w:r>
          </w:p>
        </w:tc>
        <w:tc>
          <w:tcPr>
            <w:tcW w:w="8210" w:type="dxa"/>
            <w:tcBorders>
              <w:tl2br w:val="nil"/>
              <w:tr2bl w:val="nil"/>
            </w:tcBorders>
            <w:shd w:val="clear" w:color="C4BC96" w:fill="auto"/>
            <w:vAlign w:val="center"/>
          </w:tcPr>
          <w:p w14:paraId="509D2918">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甲方指定地点。</w:t>
            </w:r>
          </w:p>
        </w:tc>
      </w:tr>
      <w:tr w14:paraId="748C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530" w:type="dxa"/>
            <w:tcBorders>
              <w:tl2br w:val="nil"/>
              <w:tr2bl w:val="nil"/>
            </w:tcBorders>
            <w:shd w:val="clear" w:color="C4BC96" w:fill="auto"/>
            <w:vAlign w:val="center"/>
          </w:tcPr>
          <w:p w14:paraId="4565B2B5">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3</w:t>
            </w:r>
          </w:p>
        </w:tc>
        <w:tc>
          <w:tcPr>
            <w:tcW w:w="1380" w:type="dxa"/>
            <w:tcBorders>
              <w:tl2br w:val="nil"/>
              <w:tr2bl w:val="nil"/>
            </w:tcBorders>
            <w:shd w:val="clear" w:color="C4BC96" w:fill="auto"/>
            <w:vAlign w:val="center"/>
          </w:tcPr>
          <w:p w14:paraId="7A275C6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质保期</w:t>
            </w:r>
          </w:p>
        </w:tc>
        <w:tc>
          <w:tcPr>
            <w:tcW w:w="8210" w:type="dxa"/>
            <w:tcBorders>
              <w:tl2br w:val="nil"/>
              <w:tr2bl w:val="nil"/>
            </w:tcBorders>
            <w:shd w:val="clear" w:color="C4BC96" w:fill="auto"/>
            <w:vAlign w:val="center"/>
          </w:tcPr>
          <w:p w14:paraId="112F572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整机质保5年（含主机及电池），质保期内免费更换电极片。</w:t>
            </w:r>
            <w:r>
              <w:rPr>
                <w:rFonts w:hint="eastAsia" w:ascii="宋体" w:hAnsi="宋体" w:eastAsia="宋体" w:cs="宋体"/>
                <w:b/>
                <w:bCs/>
                <w:i w:val="0"/>
                <w:iCs w:val="0"/>
                <w:snapToGrid w:val="0"/>
                <w:color w:val="000000"/>
                <w:kern w:val="0"/>
                <w:sz w:val="24"/>
                <w:szCs w:val="24"/>
                <w:u w:val="none"/>
                <w:lang w:val="en-US" w:eastAsia="zh-CN" w:bidi="ar"/>
              </w:rPr>
              <w:t>（提供质保承诺函）</w:t>
            </w:r>
          </w:p>
        </w:tc>
      </w:tr>
      <w:tr w14:paraId="5126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6CE0B4C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4</w:t>
            </w:r>
          </w:p>
        </w:tc>
        <w:tc>
          <w:tcPr>
            <w:tcW w:w="1380" w:type="dxa"/>
            <w:vMerge w:val="restart"/>
            <w:tcBorders>
              <w:tl2br w:val="nil"/>
              <w:tr2bl w:val="nil"/>
            </w:tcBorders>
            <w:shd w:val="clear" w:color="auto" w:fill="auto"/>
            <w:vAlign w:val="center"/>
          </w:tcPr>
          <w:p w14:paraId="4DEEBEC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报价要求</w:t>
            </w:r>
          </w:p>
        </w:tc>
        <w:tc>
          <w:tcPr>
            <w:tcW w:w="8210" w:type="dxa"/>
            <w:tcBorders>
              <w:tl2br w:val="nil"/>
              <w:tr2bl w:val="nil"/>
            </w:tcBorders>
            <w:shd w:val="clear" w:color="auto" w:fill="auto"/>
            <w:vAlign w:val="center"/>
          </w:tcPr>
          <w:p w14:paraId="54F9EB8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的报价应包含为完成本</w:t>
            </w:r>
            <w:r>
              <w:rPr>
                <w:rFonts w:hint="eastAsia" w:ascii="Calibri" w:hAnsi="Calibri" w:eastAsia="宋体" w:cs="宋体"/>
                <w:color w:val="auto"/>
                <w:sz w:val="24"/>
                <w:u w:val="none"/>
                <w:lang w:eastAsia="zh-CN"/>
              </w:rPr>
              <w:t>谈判文件</w:t>
            </w:r>
            <w:r>
              <w:rPr>
                <w:rFonts w:hint="eastAsia" w:ascii="Calibri" w:hAnsi="Calibri" w:eastAsia="宋体" w:cs="宋体"/>
                <w:color w:val="auto"/>
                <w:sz w:val="24"/>
                <w:u w:val="none"/>
              </w:rPr>
              <w:t>提出的货物或服务等全部相关工作所有可能发生的费用，即投标</w:t>
            </w:r>
            <w:r>
              <w:rPr>
                <w:rFonts w:hint="eastAsia" w:ascii="Calibri" w:hAnsi="Calibri" w:eastAsia="宋体" w:cs="宋体"/>
                <w:color w:val="auto"/>
                <w:sz w:val="24"/>
                <w:u w:val="none"/>
                <w:lang w:val="en-US" w:eastAsia="zh-CN"/>
              </w:rPr>
              <w:t>报价为全费用单价。若合价计算有误，按全费用单价修改合价。</w:t>
            </w:r>
            <w:r>
              <w:rPr>
                <w:rFonts w:hint="eastAsia" w:ascii="Calibri" w:hAnsi="Calibri" w:eastAsia="宋体" w:cs="宋体"/>
                <w:color w:val="auto"/>
                <w:sz w:val="24"/>
                <w:u w:val="none"/>
              </w:rPr>
              <w:t>对在合同实施过程中可能发生的其他费用，</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概不负责。</w:t>
            </w:r>
          </w:p>
        </w:tc>
      </w:tr>
      <w:tr w14:paraId="2ACF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530" w:type="dxa"/>
            <w:vMerge w:val="continue"/>
            <w:tcBorders>
              <w:tl2br w:val="nil"/>
              <w:tr2bl w:val="nil"/>
            </w:tcBorders>
            <w:shd w:val="clear" w:color="auto" w:fill="auto"/>
            <w:vAlign w:val="center"/>
          </w:tcPr>
          <w:p w14:paraId="64F3930F">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60602D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500143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对本文件未列明，而</w:t>
            </w: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认为必需的费用也需列入投标总报价。在合同实施时，</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将不予支付</w:t>
            </w:r>
            <w:r>
              <w:rPr>
                <w:rFonts w:hint="eastAsia" w:ascii="Calibri" w:hAnsi="Calibri" w:eastAsia="宋体" w:cs="宋体"/>
                <w:color w:val="auto"/>
                <w:sz w:val="24"/>
                <w:u w:val="none"/>
                <w:lang w:eastAsia="zh-CN"/>
              </w:rPr>
              <w:t>中标人</w:t>
            </w:r>
            <w:r>
              <w:rPr>
                <w:rFonts w:hint="eastAsia" w:ascii="Calibri" w:hAnsi="Calibri" w:eastAsia="宋体" w:cs="宋体"/>
                <w:color w:val="auto"/>
                <w:sz w:val="24"/>
                <w:u w:val="none"/>
              </w:rPr>
              <w:t>没有列入的项目费用，并认为此项目的费用已包含在</w:t>
            </w:r>
            <w:r>
              <w:rPr>
                <w:rFonts w:hint="eastAsia" w:ascii="Calibri" w:hAnsi="Calibri" w:eastAsia="宋体" w:cs="宋体"/>
                <w:color w:val="auto"/>
                <w:sz w:val="24"/>
                <w:u w:val="none"/>
                <w:lang w:val="en-US" w:eastAsia="zh-CN"/>
              </w:rPr>
              <w:t>响应</w:t>
            </w:r>
            <w:r>
              <w:rPr>
                <w:rFonts w:hint="eastAsia" w:ascii="Calibri" w:hAnsi="Calibri" w:eastAsia="宋体" w:cs="宋体"/>
                <w:color w:val="auto"/>
                <w:sz w:val="24"/>
                <w:u w:val="none"/>
              </w:rPr>
              <w:t>总报价中。</w:t>
            </w:r>
          </w:p>
        </w:tc>
      </w:tr>
      <w:tr w14:paraId="0AF38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1C679952">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5</w:t>
            </w:r>
          </w:p>
        </w:tc>
        <w:tc>
          <w:tcPr>
            <w:tcW w:w="1380" w:type="dxa"/>
            <w:vMerge w:val="restart"/>
            <w:tcBorders>
              <w:tl2br w:val="nil"/>
              <w:tr2bl w:val="nil"/>
            </w:tcBorders>
            <w:shd w:val="clear" w:color="auto" w:fill="auto"/>
            <w:vAlign w:val="center"/>
          </w:tcPr>
          <w:p w14:paraId="324F657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付款方式</w:t>
            </w:r>
          </w:p>
        </w:tc>
        <w:tc>
          <w:tcPr>
            <w:tcW w:w="8210" w:type="dxa"/>
            <w:tcBorders>
              <w:tl2br w:val="nil"/>
              <w:tr2bl w:val="nil"/>
            </w:tcBorders>
            <w:shd w:val="clear" w:color="auto" w:fill="auto"/>
            <w:vAlign w:val="center"/>
          </w:tcPr>
          <w:p w14:paraId="5F05C6A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default"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1.合同签订时约定</w:t>
            </w:r>
          </w:p>
        </w:tc>
      </w:tr>
      <w:tr w14:paraId="45583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954EA16">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4CDC1E5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35FD43F">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2.乙方必须按国家有关财税规定开具发票。</w:t>
            </w:r>
          </w:p>
        </w:tc>
      </w:tr>
      <w:tr w14:paraId="23B1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708F487F">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41A05A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0156685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本项目按照项目完成进度情况支付相应的款项，具体比例在合同中约定。</w:t>
            </w:r>
          </w:p>
        </w:tc>
      </w:tr>
      <w:tr w14:paraId="1C9B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dxa"/>
            <w:vMerge w:val="restart"/>
            <w:tcBorders>
              <w:tl2br w:val="nil"/>
              <w:tr2bl w:val="nil"/>
            </w:tcBorders>
            <w:shd w:val="clear" w:color="auto" w:fill="auto"/>
            <w:vAlign w:val="center"/>
          </w:tcPr>
          <w:p w14:paraId="740193D0">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rPr>
            </w:pPr>
            <w:r>
              <w:rPr>
                <w:rFonts w:hint="eastAsia" w:ascii="等线" w:hAnsi="等线" w:eastAsia="等线" w:cs="等线"/>
                <w:b w:val="0"/>
                <w:bCs/>
                <w:color w:val="auto"/>
                <w:sz w:val="22"/>
                <w:szCs w:val="22"/>
              </w:rPr>
              <w:t>6</w:t>
            </w:r>
          </w:p>
        </w:tc>
        <w:tc>
          <w:tcPr>
            <w:tcW w:w="1380" w:type="dxa"/>
            <w:vMerge w:val="restart"/>
            <w:tcBorders>
              <w:tl2br w:val="nil"/>
              <w:tr2bl w:val="nil"/>
            </w:tcBorders>
            <w:shd w:val="clear" w:color="auto" w:fill="auto"/>
            <w:vAlign w:val="center"/>
          </w:tcPr>
          <w:p w14:paraId="6CE885B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验收要求</w:t>
            </w:r>
          </w:p>
        </w:tc>
        <w:tc>
          <w:tcPr>
            <w:tcW w:w="8210" w:type="dxa"/>
            <w:tcBorders>
              <w:tl2br w:val="nil"/>
              <w:tr2bl w:val="nil"/>
            </w:tcBorders>
            <w:shd w:val="clear" w:color="auto" w:fill="auto"/>
            <w:vAlign w:val="center"/>
          </w:tcPr>
          <w:p w14:paraId="1866D2A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lang w:eastAsia="zh-CN"/>
              </w:rPr>
              <w:t>履约验收时间：</w:t>
            </w:r>
            <w:r>
              <w:rPr>
                <w:rFonts w:hint="eastAsia" w:ascii="Calibri" w:hAnsi="Calibri" w:eastAsia="宋体" w:cs="宋体"/>
                <w:color w:val="auto"/>
                <w:sz w:val="24"/>
                <w:u w:val="none"/>
                <w:lang w:val="en-US" w:eastAsia="zh-CN"/>
              </w:rPr>
              <w:t>送货完成后，中标人应向采购人提交验收申请。采购人按验收程序组织验收。</w:t>
            </w:r>
          </w:p>
        </w:tc>
      </w:tr>
      <w:tr w14:paraId="58398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40B0DB75">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77167F3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678381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2.履约验收方式：中标人负责送货上门并安装、调试、试运行完成，自检合格后，出具验收结果报告移交采购人。</w:t>
            </w:r>
          </w:p>
        </w:tc>
      </w:tr>
      <w:tr w14:paraId="5D89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60841C46">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272E172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78792E1B">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lang w:eastAsia="zh-CN"/>
              </w:rPr>
              <w:t>履约验收程序：</w:t>
            </w:r>
            <w:r>
              <w:rPr>
                <w:rFonts w:hint="eastAsia" w:ascii="Calibri" w:hAnsi="Calibri" w:eastAsia="宋体" w:cs="宋体"/>
                <w:color w:val="auto"/>
                <w:sz w:val="24"/>
                <w:u w:val="none"/>
                <w:lang w:val="en-US" w:eastAsia="zh-CN"/>
              </w:rPr>
              <w:t>所有货物送达采购人指定地点后采购人按要求组织验收。</w:t>
            </w:r>
          </w:p>
        </w:tc>
      </w:tr>
      <w:tr w14:paraId="426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3BDD5E8D">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7020D84">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4200E1A2">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 xml:space="preserve">履约验收内容：采购项目全部货物如果发现产品调换、配置改变、技术资料不全，外观破损，变形缺件或已经使用过等质量问题，采购人拒绝验货，按中标人违约处理。 </w:t>
            </w:r>
          </w:p>
        </w:tc>
      </w:tr>
      <w:tr w14:paraId="50F9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restart"/>
            <w:tcBorders>
              <w:tl2br w:val="nil"/>
              <w:tr2bl w:val="nil"/>
            </w:tcBorders>
            <w:shd w:val="clear" w:color="auto" w:fill="auto"/>
            <w:vAlign w:val="center"/>
          </w:tcPr>
          <w:p w14:paraId="7F420639">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7</w:t>
            </w:r>
          </w:p>
        </w:tc>
        <w:tc>
          <w:tcPr>
            <w:tcW w:w="1380" w:type="dxa"/>
            <w:vMerge w:val="restart"/>
            <w:tcBorders>
              <w:tl2br w:val="nil"/>
              <w:tr2bl w:val="nil"/>
            </w:tcBorders>
            <w:shd w:val="clear" w:color="auto" w:fill="auto"/>
            <w:vAlign w:val="center"/>
          </w:tcPr>
          <w:p w14:paraId="442C2FA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质量要求</w:t>
            </w:r>
          </w:p>
        </w:tc>
        <w:tc>
          <w:tcPr>
            <w:tcW w:w="8210" w:type="dxa"/>
            <w:tcBorders>
              <w:tl2br w:val="nil"/>
              <w:tr2bl w:val="nil"/>
            </w:tcBorders>
            <w:shd w:val="clear" w:color="auto" w:fill="auto"/>
            <w:vAlign w:val="center"/>
          </w:tcPr>
          <w:p w14:paraId="0EDB370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本次</w:t>
            </w:r>
            <w:r>
              <w:rPr>
                <w:rFonts w:hint="eastAsia" w:ascii="Calibri" w:hAnsi="Calibri" w:eastAsia="宋体" w:cs="宋体"/>
                <w:color w:val="auto"/>
                <w:sz w:val="24"/>
                <w:u w:val="none"/>
                <w:lang w:eastAsia="zh-CN"/>
              </w:rPr>
              <w:t>投标</w:t>
            </w:r>
            <w:r>
              <w:rPr>
                <w:rFonts w:hint="eastAsia" w:ascii="Calibri" w:hAnsi="Calibri" w:eastAsia="宋体" w:cs="宋体"/>
                <w:color w:val="auto"/>
                <w:sz w:val="24"/>
                <w:u w:val="none"/>
              </w:rPr>
              <w:t>项目的产品和</w:t>
            </w:r>
            <w:r>
              <w:rPr>
                <w:rFonts w:hint="eastAsia" w:ascii="Calibri" w:hAnsi="Calibri" w:eastAsia="宋体" w:cs="宋体"/>
                <w:color w:val="auto"/>
                <w:sz w:val="24"/>
                <w:u w:val="none"/>
                <w:lang w:val="en-US" w:eastAsia="zh-CN"/>
              </w:rPr>
              <w:t>使用</w:t>
            </w:r>
            <w:r>
              <w:rPr>
                <w:rFonts w:hint="eastAsia" w:ascii="Calibri" w:hAnsi="Calibri" w:eastAsia="宋体" w:cs="宋体"/>
                <w:color w:val="auto"/>
                <w:sz w:val="24"/>
                <w:u w:val="none"/>
              </w:rPr>
              <w:t>必须完全满足中华人民共和国国家质量标准及现行规范要求。</w:t>
            </w:r>
          </w:p>
        </w:tc>
      </w:tr>
      <w:tr w14:paraId="2484E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530" w:type="dxa"/>
            <w:vMerge w:val="continue"/>
            <w:tcBorders>
              <w:tl2br w:val="nil"/>
              <w:tr2bl w:val="nil"/>
            </w:tcBorders>
            <w:shd w:val="clear" w:color="auto" w:fill="auto"/>
            <w:vAlign w:val="center"/>
          </w:tcPr>
          <w:p w14:paraId="56086F5B">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34C3F76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661FECE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所有</w:t>
            </w:r>
            <w:r>
              <w:rPr>
                <w:rFonts w:hint="eastAsia" w:ascii="Calibri" w:hAnsi="Calibri" w:eastAsia="宋体" w:cs="宋体"/>
                <w:color w:val="auto"/>
                <w:sz w:val="24"/>
                <w:u w:val="none"/>
                <w:lang w:val="en-US" w:eastAsia="zh-CN"/>
              </w:rPr>
              <w:t>货物</w:t>
            </w:r>
            <w:r>
              <w:rPr>
                <w:rFonts w:hint="eastAsia" w:ascii="Calibri" w:hAnsi="Calibri" w:eastAsia="宋体" w:cs="宋体"/>
                <w:color w:val="auto"/>
                <w:sz w:val="24"/>
                <w:u w:val="none"/>
              </w:rPr>
              <w:t>均要求是经过实际运行验证、性能稳定的全新产品，且设备上具有原制造厂商的铭牌、标志。</w:t>
            </w:r>
          </w:p>
        </w:tc>
      </w:tr>
      <w:tr w14:paraId="3D62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vMerge w:val="continue"/>
            <w:tcBorders>
              <w:tl2br w:val="nil"/>
              <w:tr2bl w:val="nil"/>
            </w:tcBorders>
            <w:shd w:val="clear" w:color="auto" w:fill="auto"/>
            <w:vAlign w:val="center"/>
          </w:tcPr>
          <w:p w14:paraId="033471F8">
            <w:pPr>
              <w:keepNext w:val="0"/>
              <w:keepLines w:val="0"/>
              <w:pageBreakBefore w:val="0"/>
              <w:numPr>
                <w:ilvl w:val="0"/>
                <w:numId w:val="32"/>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eastAsia" w:ascii="等线" w:hAnsi="等线" w:eastAsia="等线" w:cs="等线"/>
                <w:b w:val="0"/>
                <w:bCs/>
                <w:color w:val="auto"/>
                <w:sz w:val="22"/>
                <w:szCs w:val="22"/>
              </w:rPr>
            </w:pPr>
          </w:p>
        </w:tc>
        <w:tc>
          <w:tcPr>
            <w:tcW w:w="1380" w:type="dxa"/>
            <w:vMerge w:val="continue"/>
            <w:tcBorders>
              <w:tl2br w:val="nil"/>
              <w:tr2bl w:val="nil"/>
            </w:tcBorders>
            <w:shd w:val="clear" w:color="auto" w:fill="auto"/>
            <w:vAlign w:val="center"/>
          </w:tcPr>
          <w:p w14:paraId="5E13D267">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p>
        </w:tc>
        <w:tc>
          <w:tcPr>
            <w:tcW w:w="8210" w:type="dxa"/>
            <w:tcBorders>
              <w:tl2br w:val="nil"/>
              <w:tr2bl w:val="nil"/>
            </w:tcBorders>
            <w:shd w:val="clear" w:color="auto" w:fill="auto"/>
            <w:vAlign w:val="center"/>
          </w:tcPr>
          <w:p w14:paraId="1D78F11A">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eastAsia="zh-CN"/>
              </w:rPr>
            </w:pPr>
            <w:r>
              <w:rPr>
                <w:rFonts w:hint="eastAsia" w:ascii="Calibri" w:hAnsi="Calibri" w:eastAsia="宋体" w:cs="宋体"/>
                <w:color w:val="auto"/>
                <w:sz w:val="24"/>
                <w:u w:val="none"/>
                <w:lang w:eastAsia="zh-CN"/>
              </w:rPr>
              <w:t>供应商在投标及成交后，发生侵犯专利权的行为时，其侵权责任与委托人无关，应由供应商承担相应的责任，并不得影响委托人的利益。</w:t>
            </w:r>
          </w:p>
        </w:tc>
      </w:tr>
      <w:tr w14:paraId="1968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3CA51DF6">
            <w:pPr>
              <w:keepNext w:val="0"/>
              <w:keepLines w:val="0"/>
              <w:pageBreakBefore w:val="0"/>
              <w:numPr>
                <w:ilvl w:val="-1"/>
                <w:numId w:val="0"/>
              </w:numPr>
              <w:tabs>
                <w:tab w:val="left" w:pos="102"/>
              </w:tabs>
              <w:kinsoku/>
              <w:wordWrap/>
              <w:overflowPunct w:val="0"/>
              <w:topLinePunct w:val="0"/>
              <w:autoSpaceDE/>
              <w:autoSpaceDN/>
              <w:bidi w:val="0"/>
              <w:adjustRightInd w:val="0"/>
              <w:snapToGrid w:val="0"/>
              <w:spacing w:line="308" w:lineRule="exact"/>
              <w:ind w:left="0" w:leftChars="0" w:right="0" w:rightChars="0" w:firstLine="0"/>
              <w:jc w:val="center"/>
              <w:rPr>
                <w:rFonts w:hint="default" w:ascii="等线" w:hAnsi="等线" w:eastAsia="等线" w:cs="等线"/>
                <w:b w:val="0"/>
                <w:bCs/>
                <w:color w:val="auto"/>
                <w:sz w:val="22"/>
                <w:szCs w:val="22"/>
                <w:lang w:val="en-US" w:eastAsia="zh-CN"/>
              </w:rPr>
            </w:pPr>
            <w:r>
              <w:rPr>
                <w:rFonts w:hint="eastAsia" w:ascii="Calibri" w:hAnsi="Calibri" w:eastAsia="宋体" w:cs="等线"/>
                <w:b w:val="0"/>
                <w:bCs/>
                <w:color w:val="auto"/>
                <w:sz w:val="22"/>
                <w:szCs w:val="22"/>
                <w:lang w:val="en-US" w:eastAsia="zh-CN"/>
              </w:rPr>
              <w:t>8</w:t>
            </w:r>
          </w:p>
        </w:tc>
        <w:tc>
          <w:tcPr>
            <w:tcW w:w="1380" w:type="dxa"/>
            <w:tcBorders>
              <w:tl2br w:val="nil"/>
              <w:tr2bl w:val="nil"/>
            </w:tcBorders>
            <w:shd w:val="clear" w:color="auto" w:fill="auto"/>
            <w:vAlign w:val="center"/>
          </w:tcPr>
          <w:p w14:paraId="189CC23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售后服务</w:t>
            </w:r>
          </w:p>
        </w:tc>
        <w:tc>
          <w:tcPr>
            <w:tcW w:w="8210" w:type="dxa"/>
            <w:tcBorders>
              <w:tl2br w:val="nil"/>
              <w:tr2bl w:val="nil"/>
            </w:tcBorders>
            <w:shd w:val="clear" w:color="auto" w:fill="auto"/>
            <w:vAlign w:val="center"/>
          </w:tcPr>
          <w:p w14:paraId="267EEA4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lang w:val="en-US" w:eastAsia="zh-CN"/>
              </w:rPr>
            </w:pPr>
            <w:r>
              <w:rPr>
                <w:rFonts w:hint="eastAsia" w:ascii="Calibri" w:hAnsi="Calibri" w:eastAsia="宋体" w:cs="宋体"/>
                <w:color w:val="auto"/>
                <w:sz w:val="24"/>
                <w:u w:val="none"/>
                <w:lang w:val="en-US" w:eastAsia="zh-CN"/>
              </w:rPr>
              <w:t>1.承诺在质保期内每年对设备定期巡检2次并出具纸质巡检报告</w:t>
            </w:r>
            <w:r>
              <w:rPr>
                <w:rFonts w:hint="eastAsia" w:ascii="Calibri" w:hAnsi="Calibri" w:eastAsia="宋体" w:cs="宋体"/>
                <w:b/>
                <w:bCs/>
                <w:color w:val="auto"/>
                <w:sz w:val="24"/>
                <w:u w:val="none"/>
                <w:lang w:val="en-US" w:eastAsia="zh-CN"/>
              </w:rPr>
              <w:t>（提供承诺函并加盖投标人公章，格式自拟）</w:t>
            </w:r>
            <w:r>
              <w:rPr>
                <w:rFonts w:hint="eastAsia" w:ascii="Calibri" w:hAnsi="Calibri" w:eastAsia="宋体" w:cs="宋体"/>
                <w:color w:val="auto"/>
                <w:sz w:val="24"/>
                <w:u w:val="none"/>
                <w:lang w:val="en-US" w:eastAsia="zh-CN"/>
              </w:rPr>
              <w:t>。</w:t>
            </w:r>
          </w:p>
          <w:p w14:paraId="3BADC3A3">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楷体_GB2312" w:hAnsi="Times New Roman" w:eastAsia="楷体_GB2312" w:cs="宋体"/>
                <w:color w:val="auto"/>
                <w:sz w:val="24"/>
                <w:szCs w:val="24"/>
                <w:u w:val="none"/>
                <w:lang w:val="en-US" w:eastAsia="zh-CN" w:bidi="ar-SA"/>
              </w:rPr>
            </w:pPr>
            <w:r>
              <w:rPr>
                <w:rFonts w:hint="eastAsia" w:ascii="Calibri" w:hAnsi="Calibri" w:eastAsia="宋体" w:cs="宋体"/>
                <w:color w:val="auto"/>
                <w:sz w:val="24"/>
                <w:u w:val="none"/>
                <w:lang w:val="en-US" w:eastAsia="zh-CN"/>
              </w:rPr>
              <w:t>2.设备安装、调试正常使用后，中标人负责对招标人组织的各操作人员进行培训。按照1台AED配备不少于10名工作人员的比例，由中标人统筹安排持有正规培训资质的授课师资，赴招标人指定场地开展自动体外除颤器（AED）实操技能培训。培训讲师及教材由中标人提供，费用包含在投标报价中（培训费用包含：师资授课、场地费等完成培训工作的所有费用均包含在投标报价中）。</w:t>
            </w:r>
          </w:p>
        </w:tc>
      </w:tr>
      <w:tr w14:paraId="37DF2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52DAA981">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eastAsia="zh-CN"/>
              </w:rPr>
            </w:pPr>
            <w:r>
              <w:rPr>
                <w:rFonts w:hint="eastAsia" w:ascii="Calibri" w:hAnsi="Calibri" w:eastAsia="宋体" w:cs="等线"/>
                <w:b w:val="0"/>
                <w:bCs/>
                <w:color w:val="auto"/>
                <w:sz w:val="22"/>
                <w:szCs w:val="22"/>
                <w:lang w:val="en-US" w:eastAsia="zh-CN"/>
              </w:rPr>
              <w:t>9</w:t>
            </w:r>
          </w:p>
        </w:tc>
        <w:tc>
          <w:tcPr>
            <w:tcW w:w="1380" w:type="dxa"/>
            <w:tcBorders>
              <w:tl2br w:val="nil"/>
              <w:tr2bl w:val="nil"/>
            </w:tcBorders>
            <w:shd w:val="clear" w:color="auto" w:fill="auto"/>
            <w:vAlign w:val="center"/>
          </w:tcPr>
          <w:p w14:paraId="0C09FF2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保密</w:t>
            </w:r>
          </w:p>
        </w:tc>
        <w:tc>
          <w:tcPr>
            <w:tcW w:w="8210" w:type="dxa"/>
            <w:tcBorders>
              <w:tl2br w:val="nil"/>
              <w:tr2bl w:val="nil"/>
            </w:tcBorders>
            <w:shd w:val="clear" w:color="auto" w:fill="auto"/>
            <w:vAlign w:val="center"/>
          </w:tcPr>
          <w:p w14:paraId="351BAA05">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1</w:t>
            </w:r>
            <w:r>
              <w:rPr>
                <w:rFonts w:hint="eastAsia" w:ascii="Calibri" w:hAnsi="Calibri" w:eastAsia="宋体" w:cs="宋体"/>
                <w:color w:val="auto"/>
                <w:sz w:val="24"/>
                <w:u w:val="none"/>
              </w:rPr>
              <w:t>乙方有权依据合同约定和项目需要，向甲方了解有关情况，调阅有关资料等，甲方应予积极配合。</w:t>
            </w:r>
          </w:p>
          <w:p w14:paraId="6EFB35CD">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2</w:t>
            </w:r>
            <w:r>
              <w:rPr>
                <w:rFonts w:hint="eastAsia" w:ascii="Calibri" w:hAnsi="Calibri" w:eastAsia="宋体" w:cs="宋体"/>
                <w:color w:val="auto"/>
                <w:sz w:val="24"/>
                <w:u w:val="none"/>
              </w:rPr>
              <w:t>乙方有义务妥善保管和保护由甲方提供的前款信息和资料等，未经甲方书面同意，乙方不得复制、记录或以其他方式泄露所了解的甲方的秘密。</w:t>
            </w:r>
          </w:p>
          <w:p w14:paraId="7526B0D0">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3</w:t>
            </w:r>
            <w:r>
              <w:rPr>
                <w:rFonts w:hint="eastAsia" w:ascii="Calibri" w:hAnsi="Calibri" w:eastAsia="宋体" w:cs="宋体"/>
                <w:color w:val="auto"/>
                <w:sz w:val="24"/>
                <w:u w:val="none"/>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435C0941">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val="en-US" w:eastAsia="zh-CN"/>
              </w:rPr>
              <w:t>4</w:t>
            </w:r>
            <w:r>
              <w:rPr>
                <w:rFonts w:hint="eastAsia" w:ascii="Calibri" w:hAnsi="Calibri" w:eastAsia="宋体" w:cs="宋体"/>
                <w:color w:val="auto"/>
                <w:sz w:val="24"/>
                <w:u w:val="none"/>
              </w:rPr>
              <w:t>双方约定，</w:t>
            </w:r>
            <w:r>
              <w:rPr>
                <w:rFonts w:hint="eastAsia" w:ascii="Calibri" w:hAnsi="Calibri" w:eastAsia="宋体" w:cs="宋体"/>
                <w:color w:val="auto"/>
                <w:sz w:val="24"/>
                <w:u w:val="none"/>
                <w:lang w:eastAsia="zh-CN"/>
              </w:rPr>
              <w:t>根据国家保密相关法律签订保密协议</w:t>
            </w:r>
            <w:r>
              <w:rPr>
                <w:rFonts w:hint="eastAsia" w:ascii="Calibri" w:hAnsi="Calibri" w:eastAsia="宋体" w:cs="宋体"/>
                <w:color w:val="auto"/>
                <w:sz w:val="24"/>
                <w:u w:val="none"/>
              </w:rPr>
              <w:t>；如一方违反本条约定致使另一方遭受损失的，守约方有权要求违约方承担全部的损失。</w:t>
            </w:r>
          </w:p>
        </w:tc>
      </w:tr>
      <w:tr w14:paraId="49CB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0" w:type="dxa"/>
            <w:tcBorders>
              <w:tl2br w:val="nil"/>
              <w:tr2bl w:val="nil"/>
            </w:tcBorders>
            <w:shd w:val="clear" w:color="auto" w:fill="auto"/>
            <w:vAlign w:val="center"/>
          </w:tcPr>
          <w:p w14:paraId="1C8EEAD3">
            <w:pPr>
              <w:keepNext w:val="0"/>
              <w:keepLines w:val="0"/>
              <w:pageBreakBefore w:val="0"/>
              <w:tabs>
                <w:tab w:val="left" w:pos="102"/>
              </w:tabs>
              <w:kinsoku/>
              <w:wordWrap/>
              <w:overflowPunct w:val="0"/>
              <w:topLinePunct w:val="0"/>
              <w:autoSpaceDE/>
              <w:autoSpaceDN/>
              <w:bidi w:val="0"/>
              <w:adjustRightInd w:val="0"/>
              <w:snapToGrid w:val="0"/>
              <w:spacing w:line="308" w:lineRule="exact"/>
              <w:ind w:left="0" w:leftChars="0" w:right="0" w:rightChars="0"/>
              <w:jc w:val="center"/>
              <w:rPr>
                <w:rFonts w:hint="eastAsia" w:ascii="等线" w:hAnsi="等线" w:eastAsia="等线" w:cs="等线"/>
                <w:b w:val="0"/>
                <w:bCs/>
                <w:color w:val="auto"/>
                <w:sz w:val="22"/>
                <w:szCs w:val="22"/>
                <w:lang w:val="en-US" w:eastAsia="zh-CN"/>
              </w:rPr>
            </w:pPr>
            <w:r>
              <w:rPr>
                <w:rFonts w:hint="eastAsia" w:ascii="等线" w:hAnsi="等线" w:eastAsia="等线" w:cs="等线"/>
                <w:b w:val="0"/>
                <w:bCs/>
                <w:color w:val="auto"/>
                <w:sz w:val="22"/>
                <w:szCs w:val="22"/>
              </w:rPr>
              <w:t>1</w:t>
            </w:r>
            <w:r>
              <w:rPr>
                <w:rFonts w:hint="eastAsia" w:ascii="Calibri" w:hAnsi="Calibri" w:eastAsia="宋体" w:cs="等线"/>
                <w:b w:val="0"/>
                <w:bCs/>
                <w:color w:val="auto"/>
                <w:sz w:val="22"/>
                <w:szCs w:val="22"/>
                <w:lang w:val="en-US" w:eastAsia="zh-CN"/>
              </w:rPr>
              <w:t>0</w:t>
            </w:r>
          </w:p>
        </w:tc>
        <w:tc>
          <w:tcPr>
            <w:tcW w:w="1380" w:type="dxa"/>
            <w:tcBorders>
              <w:tl2br w:val="nil"/>
              <w:tr2bl w:val="nil"/>
            </w:tcBorders>
            <w:shd w:val="clear" w:color="auto" w:fill="auto"/>
            <w:vAlign w:val="center"/>
          </w:tcPr>
          <w:p w14:paraId="66688CD9">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rPr>
              <w:t>廉政要求</w:t>
            </w:r>
          </w:p>
        </w:tc>
        <w:tc>
          <w:tcPr>
            <w:tcW w:w="8210" w:type="dxa"/>
            <w:tcBorders>
              <w:tl2br w:val="nil"/>
              <w:tr2bl w:val="nil"/>
            </w:tcBorders>
            <w:shd w:val="clear" w:color="auto" w:fill="auto"/>
            <w:vAlign w:val="center"/>
          </w:tcPr>
          <w:p w14:paraId="01F2FD06">
            <w:pPr>
              <w:keepNext w:val="0"/>
              <w:keepLines w:val="0"/>
              <w:pageBreakBefore w:val="0"/>
              <w:widowControl w:val="0"/>
              <w:suppressLineNumbers w:val="0"/>
              <w:kinsoku/>
              <w:wordWrap/>
              <w:overflowPunct w:val="0"/>
              <w:topLinePunct w:val="0"/>
              <w:autoSpaceDE/>
              <w:autoSpaceDN/>
              <w:bidi w:val="0"/>
              <w:adjustRightInd w:val="0"/>
              <w:snapToGrid w:val="0"/>
              <w:spacing w:line="307" w:lineRule="exact"/>
              <w:jc w:val="both"/>
              <w:textAlignment w:val="center"/>
              <w:rPr>
                <w:rFonts w:hint="eastAsia" w:ascii="Calibri" w:hAnsi="Calibri" w:eastAsia="宋体" w:cs="宋体"/>
                <w:color w:val="auto"/>
                <w:sz w:val="24"/>
                <w:u w:val="none"/>
              </w:rPr>
            </w:pPr>
            <w:r>
              <w:rPr>
                <w:rFonts w:hint="eastAsia" w:ascii="Calibri" w:hAnsi="Calibri" w:eastAsia="宋体" w:cs="宋体"/>
                <w:color w:val="auto"/>
                <w:sz w:val="24"/>
                <w:u w:val="none"/>
                <w:lang w:eastAsia="zh-CN"/>
              </w:rPr>
              <w:t>供应商</w:t>
            </w:r>
            <w:r>
              <w:rPr>
                <w:rFonts w:hint="eastAsia" w:ascii="Calibri" w:hAnsi="Calibri" w:eastAsia="宋体" w:cs="宋体"/>
                <w:color w:val="auto"/>
                <w:sz w:val="24"/>
                <w:u w:val="none"/>
              </w:rPr>
              <w:t>自觉遵守廉政要求，承诺在项目</w:t>
            </w:r>
            <w:r>
              <w:rPr>
                <w:rFonts w:hint="eastAsia" w:ascii="Calibri" w:hAnsi="Calibri" w:eastAsia="宋体" w:cs="宋体"/>
                <w:color w:val="auto"/>
                <w:sz w:val="24"/>
                <w:u w:val="none"/>
                <w:lang w:val="en-US" w:eastAsia="zh-CN"/>
              </w:rPr>
              <w:t>政府采购过程</w:t>
            </w:r>
            <w:r>
              <w:rPr>
                <w:rFonts w:hint="eastAsia" w:ascii="Calibri" w:hAnsi="Calibri" w:eastAsia="宋体" w:cs="宋体"/>
                <w:color w:val="auto"/>
                <w:sz w:val="24"/>
                <w:u w:val="none"/>
              </w:rPr>
              <w:t>及实施阶段，遵守法律、法规及</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相关规定，自觉接受监督。如有违法、违规行为，应承担相应的法律责任，</w:t>
            </w:r>
            <w:r>
              <w:rPr>
                <w:rFonts w:hint="eastAsia" w:ascii="Calibri" w:hAnsi="Calibri" w:eastAsia="宋体" w:cs="宋体"/>
                <w:color w:val="auto"/>
                <w:sz w:val="24"/>
                <w:u w:val="none"/>
                <w:lang w:eastAsia="zh-CN"/>
              </w:rPr>
              <w:t>委托人</w:t>
            </w:r>
            <w:r>
              <w:rPr>
                <w:rFonts w:hint="eastAsia" w:ascii="Calibri" w:hAnsi="Calibri" w:eastAsia="宋体" w:cs="宋体"/>
                <w:color w:val="auto"/>
                <w:sz w:val="24"/>
                <w:u w:val="none"/>
              </w:rPr>
              <w:t>有权不予签订合同或解除合同。</w:t>
            </w:r>
          </w:p>
        </w:tc>
      </w:tr>
    </w:tbl>
    <w:p w14:paraId="267F2A02">
      <w:pPr>
        <w:widowControl/>
        <w:numPr>
          <w:ilvl w:val="0"/>
          <w:numId w:val="0"/>
        </w:numPr>
        <w:bidi w:val="0"/>
        <w:spacing w:line="340" w:lineRule="exact"/>
        <w:ind w:firstLine="480" w:firstLineChars="200"/>
        <w:jc w:val="left"/>
        <w:rPr>
          <w:rFonts w:hint="eastAsia" w:ascii="Arial Narrow" w:hAnsi="Arial Narrow" w:eastAsia="宋体" w:cs="宋体"/>
          <w:color w:val="auto"/>
          <w:kern w:val="2"/>
          <w:sz w:val="24"/>
          <w:szCs w:val="22"/>
          <w:u w:val="single"/>
          <w:lang w:val="en-US" w:eastAsia="zh-CN" w:bidi="ar-SA"/>
        </w:rPr>
      </w:pPr>
    </w:p>
    <w:p w14:paraId="260170B4">
      <w:pPr>
        <w:widowControl/>
        <w:numPr>
          <w:ilvl w:val="0"/>
          <w:numId w:val="0"/>
        </w:numPr>
        <w:bidi w:val="0"/>
        <w:spacing w:line="340" w:lineRule="exact"/>
        <w:jc w:val="left"/>
        <w:rPr>
          <w:rFonts w:hint="eastAsia" w:ascii="Arial Narrow" w:hAnsi="Arial Narrow" w:eastAsia="宋体" w:cs="宋体"/>
          <w:color w:val="auto"/>
          <w:kern w:val="2"/>
          <w:sz w:val="24"/>
          <w:szCs w:val="22"/>
          <w:u w:val="single"/>
          <w:lang w:val="en-US" w:eastAsia="zh-CN" w:bidi="ar-SA"/>
        </w:rPr>
      </w:pPr>
    </w:p>
    <w:p w14:paraId="2659CD6D">
      <w:pPr>
        <w:pStyle w:val="59"/>
        <w:numPr>
          <w:ilvl w:val="0"/>
          <w:numId w:val="0"/>
        </w:numPr>
        <w:bidi w:val="0"/>
        <w:ind w:firstLine="480" w:firstLineChars="200"/>
        <w:rPr>
          <w:rFonts w:hint="eastAsia"/>
          <w:color w:val="auto"/>
          <w:u w:val="single"/>
          <w:lang w:val="en-US" w:eastAsia="zh-CN"/>
        </w:rPr>
      </w:pPr>
    </w:p>
    <w:p w14:paraId="19D51D3E">
      <w:pPr>
        <w:pStyle w:val="3"/>
        <w:pageBreakBefore/>
        <w:spacing w:before="156" w:after="156"/>
        <w:jc w:val="center"/>
        <w:rPr>
          <w:rFonts w:hint="default"/>
          <w:color w:val="auto"/>
          <w:highlight w:val="none"/>
        </w:rPr>
      </w:pPr>
      <w:r>
        <w:rPr>
          <w:color w:val="auto"/>
          <w:highlight w:val="none"/>
        </w:rPr>
        <w:t>第四章 评审方法及标准</w:t>
      </w:r>
      <w:bookmarkEnd w:id="42"/>
      <w:bookmarkEnd w:id="43"/>
      <w:bookmarkEnd w:id="44"/>
      <w:bookmarkEnd w:id="45"/>
    </w:p>
    <w:p w14:paraId="7D5C88E3">
      <w:pPr>
        <w:pStyle w:val="45"/>
        <w:spacing w:before="156"/>
        <w:ind w:firstLine="480"/>
        <w:rPr>
          <w:color w:val="auto"/>
          <w:highlight w:val="none"/>
        </w:rPr>
      </w:pPr>
      <w:r>
        <w:rPr>
          <w:rFonts w:hint="eastAsia"/>
          <w:color w:val="auto"/>
          <w:highlight w:val="none"/>
        </w:rPr>
        <w:t>本项目将按照</w:t>
      </w:r>
      <w:r>
        <w:rPr>
          <w:rFonts w:hint="eastAsia"/>
          <w:color w:val="auto"/>
          <w:highlight w:val="none"/>
          <w:lang w:val="en-US" w:eastAsia="zh-CN"/>
        </w:rPr>
        <w:t>谈判</w:t>
      </w:r>
      <w:r>
        <w:rPr>
          <w:rFonts w:hint="eastAsia"/>
          <w:color w:val="auto"/>
          <w:highlight w:val="none"/>
        </w:rPr>
        <w:t>文件第一至第三章的相关要求及本章的规定评审。</w:t>
      </w:r>
    </w:p>
    <w:p w14:paraId="2EAD977D">
      <w:pPr>
        <w:pStyle w:val="4"/>
        <w:spacing w:before="156"/>
        <w:jc w:val="center"/>
        <w:rPr>
          <w:color w:val="auto"/>
          <w:highlight w:val="none"/>
        </w:rPr>
      </w:pPr>
      <w:bookmarkStart w:id="54" w:name="_Toc13095"/>
      <w:bookmarkStart w:id="55" w:name="_Toc28005"/>
      <w:bookmarkStart w:id="56" w:name="_Toc25199"/>
      <w:bookmarkStart w:id="57" w:name="_Toc9881"/>
      <w:r>
        <w:rPr>
          <w:rFonts w:hint="eastAsia"/>
          <w:color w:val="auto"/>
          <w:highlight w:val="none"/>
        </w:rPr>
        <w:t>第一节 资格审查</w:t>
      </w:r>
      <w:bookmarkEnd w:id="54"/>
      <w:bookmarkEnd w:id="55"/>
      <w:bookmarkEnd w:id="56"/>
      <w:bookmarkEnd w:id="57"/>
    </w:p>
    <w:p w14:paraId="62306285">
      <w:pPr>
        <w:pStyle w:val="45"/>
        <w:spacing w:before="156"/>
        <w:ind w:firstLine="480"/>
        <w:rPr>
          <w:color w:val="auto"/>
          <w:highlight w:val="none"/>
        </w:rPr>
      </w:pPr>
      <w:r>
        <w:rPr>
          <w:rFonts w:hint="eastAsia"/>
          <w:color w:val="auto"/>
          <w:highlight w:val="none"/>
        </w:rPr>
        <w:t>1.1依据相关法律法规规定，由</w:t>
      </w:r>
      <w:r>
        <w:rPr>
          <w:rFonts w:hint="eastAsia"/>
          <w:color w:val="auto"/>
          <w:highlight w:val="none"/>
          <w:lang w:val="en-US" w:eastAsia="zh-CN"/>
        </w:rPr>
        <w:t>谈判小组</w:t>
      </w:r>
      <w:r>
        <w:rPr>
          <w:rFonts w:hint="eastAsia"/>
          <w:color w:val="auto"/>
          <w:highlight w:val="none"/>
        </w:rPr>
        <w:t>对</w:t>
      </w:r>
      <w:r>
        <w:rPr>
          <w:rFonts w:hint="eastAsia"/>
          <w:color w:val="auto"/>
          <w:highlight w:val="none"/>
          <w:lang w:eastAsia="zh-CN"/>
        </w:rPr>
        <w:t>供应商</w:t>
      </w:r>
      <w:r>
        <w:rPr>
          <w:rFonts w:hint="eastAsia"/>
          <w:color w:val="auto"/>
          <w:highlight w:val="none"/>
        </w:rPr>
        <w:t>进行资格审查。资格审查表如下：</w:t>
      </w:r>
    </w:p>
    <w:p w14:paraId="1B265803">
      <w:pPr>
        <w:pStyle w:val="45"/>
        <w:spacing w:before="156"/>
        <w:ind w:firstLine="0" w:firstLineChars="0"/>
        <w:jc w:val="center"/>
        <w:rPr>
          <w:color w:val="auto"/>
          <w:highlight w:val="none"/>
        </w:rPr>
      </w:pPr>
      <w:r>
        <w:rPr>
          <w:rFonts w:hint="eastAsia" w:ascii="方正小标宋_GBK" w:hAnsi="方正小标宋_GBK" w:eastAsia="方正小标宋_GBK" w:cs="方正小标宋_GBK"/>
          <w:color w:val="auto"/>
          <w:sz w:val="30"/>
          <w:szCs w:val="30"/>
          <w:highlight w:val="none"/>
        </w:rPr>
        <w:t>资格审查表</w:t>
      </w:r>
    </w:p>
    <w:tbl>
      <w:tblPr>
        <w:tblStyle w:val="34"/>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700"/>
        <w:gridCol w:w="1820"/>
        <w:gridCol w:w="4560"/>
        <w:gridCol w:w="2790"/>
      </w:tblGrid>
      <w:tr w14:paraId="0A2820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2" w:hRule="atLeast"/>
        </w:trPr>
        <w:tc>
          <w:tcPr>
            <w:tcW w:w="700" w:type="dxa"/>
            <w:tcBorders>
              <w:tl2br w:val="nil"/>
              <w:tr2bl w:val="nil"/>
            </w:tcBorders>
            <w:shd w:val="pct10" w:color="ADB9CA" w:fill="D6DCE5"/>
            <w:tcMar>
              <w:top w:w="0" w:type="dxa"/>
              <w:left w:w="0" w:type="dxa"/>
              <w:bottom w:w="0" w:type="dxa"/>
              <w:right w:w="0" w:type="dxa"/>
            </w:tcMar>
            <w:vAlign w:val="center"/>
          </w:tcPr>
          <w:p w14:paraId="47581883">
            <w:pPr>
              <w:pStyle w:val="48"/>
              <w:rPr>
                <w:color w:val="auto"/>
                <w:highlight w:val="none"/>
              </w:rPr>
            </w:pPr>
            <w:r>
              <w:rPr>
                <w:rFonts w:hint="eastAsia"/>
                <w:color w:val="auto"/>
                <w:highlight w:val="none"/>
              </w:rPr>
              <w:t>序号</w:t>
            </w:r>
          </w:p>
        </w:tc>
        <w:tc>
          <w:tcPr>
            <w:tcW w:w="1820" w:type="dxa"/>
            <w:tcBorders>
              <w:tl2br w:val="nil"/>
              <w:tr2bl w:val="nil"/>
            </w:tcBorders>
            <w:shd w:val="pct10" w:color="ADB9CA" w:fill="D6DCE5"/>
            <w:tcMar>
              <w:top w:w="0" w:type="dxa"/>
              <w:left w:w="0" w:type="dxa"/>
              <w:bottom w:w="0" w:type="dxa"/>
              <w:right w:w="0" w:type="dxa"/>
            </w:tcMar>
            <w:vAlign w:val="center"/>
          </w:tcPr>
          <w:p w14:paraId="1DE8B06E">
            <w:pPr>
              <w:pStyle w:val="48"/>
              <w:rPr>
                <w:color w:val="auto"/>
                <w:highlight w:val="none"/>
              </w:rPr>
            </w:pPr>
            <w:r>
              <w:rPr>
                <w:rFonts w:hint="eastAsia"/>
                <w:color w:val="auto"/>
                <w:highlight w:val="none"/>
              </w:rPr>
              <w:t>评审指标</w:t>
            </w:r>
          </w:p>
        </w:tc>
        <w:tc>
          <w:tcPr>
            <w:tcW w:w="4560" w:type="dxa"/>
            <w:tcBorders>
              <w:tl2br w:val="nil"/>
              <w:tr2bl w:val="nil"/>
            </w:tcBorders>
            <w:shd w:val="pct10" w:color="ADB9CA" w:fill="D6DCE5"/>
            <w:tcMar>
              <w:top w:w="0" w:type="dxa"/>
              <w:left w:w="0" w:type="dxa"/>
              <w:bottom w:w="0" w:type="dxa"/>
              <w:right w:w="0" w:type="dxa"/>
            </w:tcMar>
            <w:vAlign w:val="center"/>
          </w:tcPr>
          <w:p w14:paraId="46D80700">
            <w:pPr>
              <w:pStyle w:val="48"/>
              <w:rPr>
                <w:color w:val="auto"/>
                <w:highlight w:val="none"/>
              </w:rPr>
            </w:pPr>
            <w:r>
              <w:rPr>
                <w:rFonts w:hint="eastAsia"/>
                <w:color w:val="auto"/>
                <w:highlight w:val="none"/>
              </w:rPr>
              <w:t>评审标准</w:t>
            </w:r>
          </w:p>
        </w:tc>
        <w:tc>
          <w:tcPr>
            <w:tcW w:w="2790" w:type="dxa"/>
            <w:tcBorders>
              <w:tl2br w:val="nil"/>
              <w:tr2bl w:val="nil"/>
            </w:tcBorders>
            <w:shd w:val="pct10" w:color="ADB9CA" w:fill="D6DCE5"/>
            <w:tcMar>
              <w:top w:w="0" w:type="dxa"/>
              <w:left w:w="0" w:type="dxa"/>
              <w:bottom w:w="0" w:type="dxa"/>
              <w:right w:w="0" w:type="dxa"/>
            </w:tcMar>
            <w:vAlign w:val="center"/>
          </w:tcPr>
          <w:p w14:paraId="7F1C4C77">
            <w:pPr>
              <w:pStyle w:val="48"/>
              <w:rPr>
                <w:color w:val="auto"/>
                <w:highlight w:val="none"/>
              </w:rPr>
            </w:pPr>
            <w:r>
              <w:rPr>
                <w:rFonts w:hint="eastAsia"/>
                <w:color w:val="auto"/>
                <w:highlight w:val="none"/>
              </w:rPr>
              <w:t>格式及材料要求</w:t>
            </w:r>
          </w:p>
        </w:tc>
      </w:tr>
      <w:tr w14:paraId="2A23562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055F01F6">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D55E150">
            <w:pPr>
              <w:pStyle w:val="48"/>
              <w:rPr>
                <w:color w:val="auto"/>
                <w:szCs w:val="22"/>
                <w:highlight w:val="none"/>
              </w:rPr>
            </w:pPr>
            <w:r>
              <w:rPr>
                <w:rFonts w:hint="eastAsia"/>
                <w:color w:val="auto"/>
                <w:szCs w:val="22"/>
                <w:highlight w:val="none"/>
              </w:rPr>
              <w:t>营业执照</w:t>
            </w:r>
          </w:p>
        </w:tc>
        <w:tc>
          <w:tcPr>
            <w:tcW w:w="4560" w:type="dxa"/>
            <w:tcBorders>
              <w:tl2br w:val="nil"/>
              <w:tr2bl w:val="nil"/>
            </w:tcBorders>
            <w:tcMar>
              <w:top w:w="0" w:type="dxa"/>
              <w:left w:w="0" w:type="dxa"/>
              <w:bottom w:w="0" w:type="dxa"/>
              <w:right w:w="0" w:type="dxa"/>
            </w:tcMar>
            <w:vAlign w:val="center"/>
          </w:tcPr>
          <w:p w14:paraId="6A6D9A5E">
            <w:pPr>
              <w:pStyle w:val="58"/>
              <w:ind w:firstLine="440"/>
              <w:rPr>
                <w:color w:val="auto"/>
                <w:highlight w:val="none"/>
              </w:rPr>
            </w:pPr>
            <w:r>
              <w:rPr>
                <w:rFonts w:hint="eastAsia"/>
                <w:color w:val="auto"/>
                <w:highlight w:val="none"/>
                <w:lang w:eastAsia="zh-CN"/>
              </w:rPr>
              <w:t>供应商</w:t>
            </w:r>
            <w:r>
              <w:rPr>
                <w:rFonts w:hint="eastAsia"/>
                <w:color w:val="auto"/>
                <w:highlight w:val="none"/>
              </w:rPr>
              <w:t>为企业（包括合伙企业）的，应提供有效的“营业执照”；</w:t>
            </w:r>
          </w:p>
          <w:p w14:paraId="72F071CC">
            <w:pPr>
              <w:pStyle w:val="58"/>
              <w:ind w:firstLine="440"/>
              <w:rPr>
                <w:color w:val="auto"/>
                <w:highlight w:val="none"/>
              </w:rPr>
            </w:pPr>
            <w:r>
              <w:rPr>
                <w:rFonts w:hint="eastAsia"/>
                <w:color w:val="auto"/>
                <w:highlight w:val="none"/>
                <w:lang w:eastAsia="zh-CN"/>
              </w:rPr>
              <w:t>供应商</w:t>
            </w:r>
            <w:r>
              <w:rPr>
                <w:rFonts w:hint="eastAsia"/>
                <w:color w:val="auto"/>
                <w:highlight w:val="none"/>
              </w:rPr>
              <w:t>为事业单位的，应提供有效的“事业单位法人证书”；</w:t>
            </w:r>
          </w:p>
          <w:p w14:paraId="764D0F6C">
            <w:pPr>
              <w:pStyle w:val="58"/>
              <w:ind w:firstLine="440"/>
              <w:rPr>
                <w:color w:val="auto"/>
                <w:highlight w:val="none"/>
              </w:rPr>
            </w:pPr>
            <w:r>
              <w:rPr>
                <w:rFonts w:hint="eastAsia"/>
                <w:color w:val="auto"/>
                <w:highlight w:val="none"/>
                <w:lang w:eastAsia="zh-CN"/>
              </w:rPr>
              <w:t>供应商</w:t>
            </w:r>
            <w:r>
              <w:rPr>
                <w:rFonts w:hint="eastAsia"/>
                <w:color w:val="auto"/>
                <w:highlight w:val="none"/>
              </w:rPr>
              <w:t>是非企业机构的，应提供有效的“执业许可证</w:t>
            </w:r>
            <w:r>
              <w:rPr>
                <w:rFonts w:hint="eastAsia"/>
                <w:color w:val="auto"/>
                <w:highlight w:val="none"/>
                <w:lang w:eastAsia="zh-CN"/>
              </w:rPr>
              <w:t>”“</w:t>
            </w:r>
            <w:r>
              <w:rPr>
                <w:rFonts w:hint="eastAsia"/>
                <w:color w:val="auto"/>
                <w:highlight w:val="none"/>
              </w:rPr>
              <w:t>登记证书”等证明文件；</w:t>
            </w:r>
          </w:p>
          <w:p w14:paraId="6C20FB18">
            <w:pPr>
              <w:pStyle w:val="58"/>
              <w:ind w:firstLine="440"/>
              <w:rPr>
                <w:color w:val="auto"/>
                <w:highlight w:val="none"/>
              </w:rPr>
            </w:pPr>
            <w:r>
              <w:rPr>
                <w:rFonts w:hint="eastAsia"/>
                <w:color w:val="auto"/>
                <w:highlight w:val="none"/>
                <w:lang w:eastAsia="zh-CN"/>
              </w:rPr>
              <w:t>供应商</w:t>
            </w:r>
            <w:r>
              <w:rPr>
                <w:rFonts w:hint="eastAsia"/>
                <w:color w:val="auto"/>
                <w:highlight w:val="none"/>
              </w:rPr>
              <w:t>是个体工商户的，应提供有效的“个体工商户营业执照”；</w:t>
            </w:r>
          </w:p>
          <w:p w14:paraId="73142609">
            <w:pPr>
              <w:pStyle w:val="58"/>
              <w:ind w:firstLine="440"/>
              <w:rPr>
                <w:color w:val="auto"/>
                <w:highlight w:val="none"/>
              </w:rPr>
            </w:pPr>
            <w:r>
              <w:rPr>
                <w:rFonts w:hint="eastAsia"/>
                <w:color w:val="auto"/>
                <w:highlight w:val="none"/>
                <w:lang w:eastAsia="zh-CN"/>
              </w:rPr>
              <w:t>供应商</w:t>
            </w:r>
            <w:r>
              <w:rPr>
                <w:rFonts w:hint="eastAsia"/>
                <w:color w:val="auto"/>
                <w:highlight w:val="none"/>
              </w:rPr>
              <w:t>是自然人的，应提供有效的自然人身份证明。</w:t>
            </w:r>
          </w:p>
        </w:tc>
        <w:tc>
          <w:tcPr>
            <w:tcW w:w="2790" w:type="dxa"/>
            <w:tcBorders>
              <w:tl2br w:val="nil"/>
              <w:tr2bl w:val="nil"/>
            </w:tcBorders>
            <w:tcMar>
              <w:top w:w="0" w:type="dxa"/>
              <w:left w:w="0" w:type="dxa"/>
              <w:bottom w:w="0" w:type="dxa"/>
              <w:right w:w="0" w:type="dxa"/>
            </w:tcMar>
          </w:tcPr>
          <w:p w14:paraId="4B14EDAE">
            <w:pPr>
              <w:pStyle w:val="58"/>
              <w:ind w:firstLine="440"/>
              <w:rPr>
                <w:color w:val="auto"/>
                <w:highlight w:val="none"/>
              </w:rPr>
            </w:pPr>
            <w:r>
              <w:rPr>
                <w:rFonts w:hint="eastAsia"/>
                <w:color w:val="auto"/>
                <w:highlight w:val="none"/>
              </w:rPr>
              <w:t>提供有效的</w:t>
            </w:r>
            <w:r>
              <w:rPr>
                <w:rFonts w:hint="eastAsia"/>
                <w:color w:val="auto"/>
                <w:highlight w:val="none"/>
                <w:lang w:eastAsia="zh-CN"/>
              </w:rPr>
              <w:t>供应商</w:t>
            </w:r>
            <w:r>
              <w:rPr>
                <w:rFonts w:hint="eastAsia"/>
                <w:color w:val="auto"/>
                <w:highlight w:val="none"/>
              </w:rPr>
              <w:t>营业执照（或事业单位法人登记证书）和税务登记证的扫描件或影印件，应完整地体现出营业执照（或事业单位法人登记证书）和税务登记证的全部内容。已办理“三证合一“或”五证合一”登记的，</w:t>
            </w:r>
            <w:r>
              <w:rPr>
                <w:rFonts w:hint="eastAsia"/>
                <w:color w:val="auto"/>
                <w:highlight w:val="none"/>
                <w:lang w:val="en-US" w:eastAsia="zh-CN"/>
              </w:rPr>
              <w:t>谈判</w:t>
            </w:r>
            <w:r>
              <w:rPr>
                <w:rFonts w:hint="eastAsia"/>
                <w:color w:val="auto"/>
                <w:highlight w:val="none"/>
              </w:rPr>
              <w:t>文件中提供营业执照（或事业单位法人登记证书）扫描件即可。</w:t>
            </w:r>
          </w:p>
        </w:tc>
      </w:tr>
      <w:tr w14:paraId="76D26F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70" w:hRule="atLeast"/>
        </w:trPr>
        <w:tc>
          <w:tcPr>
            <w:tcW w:w="700" w:type="dxa"/>
            <w:tcBorders>
              <w:tl2br w:val="nil"/>
              <w:tr2bl w:val="nil"/>
            </w:tcBorders>
            <w:tcMar>
              <w:top w:w="0" w:type="dxa"/>
              <w:left w:w="0" w:type="dxa"/>
              <w:bottom w:w="0" w:type="dxa"/>
              <w:right w:w="0" w:type="dxa"/>
            </w:tcMar>
            <w:vAlign w:val="center"/>
          </w:tcPr>
          <w:p w14:paraId="393DF9D9">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7AE07743">
            <w:pPr>
              <w:pStyle w:val="48"/>
              <w:rPr>
                <w:color w:val="auto"/>
                <w:szCs w:val="22"/>
                <w:highlight w:val="none"/>
              </w:rPr>
            </w:pPr>
            <w:r>
              <w:rPr>
                <w:rFonts w:hint="eastAsia"/>
                <w:color w:val="auto"/>
                <w:szCs w:val="22"/>
                <w:highlight w:val="none"/>
                <w:lang w:eastAsia="zh-CN"/>
              </w:rPr>
              <w:t>供应商</w:t>
            </w:r>
            <w:r>
              <w:rPr>
                <w:rFonts w:hint="eastAsia"/>
                <w:color w:val="auto"/>
                <w:szCs w:val="22"/>
                <w:highlight w:val="none"/>
              </w:rPr>
              <w:t>资格声明</w:t>
            </w:r>
          </w:p>
        </w:tc>
        <w:tc>
          <w:tcPr>
            <w:tcW w:w="4560" w:type="dxa"/>
            <w:tcBorders>
              <w:tl2br w:val="nil"/>
              <w:tr2bl w:val="nil"/>
            </w:tcBorders>
            <w:tcMar>
              <w:top w:w="0" w:type="dxa"/>
              <w:left w:w="0" w:type="dxa"/>
              <w:bottom w:w="0" w:type="dxa"/>
              <w:right w:w="0" w:type="dxa"/>
            </w:tcMar>
            <w:vAlign w:val="center"/>
          </w:tcPr>
          <w:p w14:paraId="6D59E8DF">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22B94094">
            <w:pPr>
              <w:pStyle w:val="58"/>
              <w:ind w:firstLine="440"/>
              <w:rPr>
                <w:color w:val="auto"/>
                <w:highlight w:val="none"/>
              </w:rPr>
            </w:pPr>
            <w:r>
              <w:rPr>
                <w:rFonts w:hint="eastAsia"/>
                <w:color w:val="auto"/>
                <w:highlight w:val="none"/>
              </w:rPr>
              <w:t>详见附件3-3</w:t>
            </w:r>
          </w:p>
          <w:p w14:paraId="401832AD">
            <w:pPr>
              <w:pStyle w:val="58"/>
              <w:ind w:firstLine="440"/>
              <w:rPr>
                <w:color w:val="auto"/>
                <w:highlight w:val="none"/>
              </w:rPr>
            </w:pPr>
          </w:p>
        </w:tc>
      </w:tr>
      <w:tr w14:paraId="7E3127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3875" w:hRule="atLeast"/>
        </w:trPr>
        <w:tc>
          <w:tcPr>
            <w:tcW w:w="700" w:type="dxa"/>
            <w:tcBorders>
              <w:tl2br w:val="nil"/>
              <w:tr2bl w:val="nil"/>
            </w:tcBorders>
            <w:tcMar>
              <w:top w:w="0" w:type="dxa"/>
              <w:left w:w="0" w:type="dxa"/>
              <w:bottom w:w="0" w:type="dxa"/>
              <w:right w:w="0" w:type="dxa"/>
            </w:tcMar>
            <w:vAlign w:val="center"/>
          </w:tcPr>
          <w:p w14:paraId="721C7048">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154773CD">
            <w:pPr>
              <w:pStyle w:val="48"/>
              <w:rPr>
                <w:color w:val="auto"/>
                <w:szCs w:val="22"/>
                <w:highlight w:val="none"/>
              </w:rPr>
            </w:pPr>
            <w:r>
              <w:rPr>
                <w:rFonts w:hint="eastAsia"/>
                <w:color w:val="auto"/>
                <w:szCs w:val="22"/>
                <w:highlight w:val="none"/>
                <w:lang w:eastAsia="zh-CN"/>
              </w:rPr>
              <w:t>供应商</w:t>
            </w:r>
            <w:r>
              <w:rPr>
                <w:rFonts w:hint="eastAsia"/>
                <w:color w:val="auto"/>
                <w:szCs w:val="22"/>
                <w:highlight w:val="none"/>
              </w:rPr>
              <w:t>信用记录</w:t>
            </w:r>
          </w:p>
        </w:tc>
        <w:tc>
          <w:tcPr>
            <w:tcW w:w="4560" w:type="dxa"/>
            <w:tcBorders>
              <w:tl2br w:val="nil"/>
              <w:tr2bl w:val="nil"/>
            </w:tcBorders>
            <w:tcMar>
              <w:top w:w="0" w:type="dxa"/>
              <w:left w:w="0" w:type="dxa"/>
              <w:bottom w:w="0" w:type="dxa"/>
              <w:right w:w="0" w:type="dxa"/>
            </w:tcMar>
            <w:vAlign w:val="center"/>
          </w:tcPr>
          <w:p w14:paraId="1C2F6BFE">
            <w:pPr>
              <w:pStyle w:val="58"/>
              <w:ind w:firstLine="440"/>
              <w:rPr>
                <w:color w:val="auto"/>
                <w:highlight w:val="none"/>
              </w:rPr>
            </w:pPr>
            <w:r>
              <w:rPr>
                <w:rFonts w:hint="eastAsia"/>
                <w:color w:val="auto"/>
                <w:highlight w:val="none"/>
              </w:rPr>
              <w:t>查询渠道：信用中国网站和中国政府采购网（www.creditchina.gov.cn、www.ccgp.gov.cn）；</w:t>
            </w:r>
          </w:p>
          <w:p w14:paraId="131077B3">
            <w:pPr>
              <w:pStyle w:val="58"/>
              <w:ind w:firstLine="440"/>
              <w:rPr>
                <w:color w:val="auto"/>
                <w:highlight w:val="none"/>
              </w:rPr>
            </w:pPr>
            <w:r>
              <w:rPr>
                <w:rFonts w:hint="eastAsia"/>
                <w:color w:val="auto"/>
                <w:highlight w:val="none"/>
              </w:rPr>
              <w:t>截止时点：报名截止时间以后、资格审查阶段</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的实际查询时间；</w:t>
            </w:r>
          </w:p>
          <w:p w14:paraId="03C116D2">
            <w:pPr>
              <w:pStyle w:val="58"/>
              <w:ind w:firstLine="440"/>
              <w:rPr>
                <w:color w:val="auto"/>
                <w:highlight w:val="none"/>
              </w:rPr>
            </w:pPr>
            <w:r>
              <w:rPr>
                <w:rFonts w:hint="eastAsia"/>
                <w:color w:val="auto"/>
                <w:highlight w:val="none"/>
              </w:rPr>
              <w:t>信用信息查询记录和证据留存具体方式：查询结果网页打印页作为查询记录和证据，与其他</w:t>
            </w:r>
            <w:r>
              <w:rPr>
                <w:rFonts w:hint="eastAsia"/>
                <w:color w:val="auto"/>
                <w:highlight w:val="none"/>
                <w:lang w:val="en-US" w:eastAsia="zh-CN"/>
              </w:rPr>
              <w:t>采购</w:t>
            </w:r>
            <w:r>
              <w:rPr>
                <w:rFonts w:hint="eastAsia"/>
                <w:color w:val="auto"/>
                <w:highlight w:val="none"/>
              </w:rPr>
              <w:t>文件一并保存；</w:t>
            </w:r>
          </w:p>
          <w:p w14:paraId="21C4642D">
            <w:pPr>
              <w:pStyle w:val="58"/>
              <w:ind w:firstLine="440"/>
              <w:rPr>
                <w:color w:val="auto"/>
                <w:highlight w:val="none"/>
              </w:rPr>
            </w:pPr>
            <w:r>
              <w:rPr>
                <w:rFonts w:hint="eastAsia"/>
                <w:color w:val="auto"/>
                <w:highlight w:val="none"/>
              </w:rPr>
              <w:t>信用信息的使用原则：经认定的被列入失信被执行人、重大税收违法案件当事人名单、政府采购严重违法失信行为记录名单的</w:t>
            </w:r>
            <w:r>
              <w:rPr>
                <w:rFonts w:hint="eastAsia"/>
                <w:color w:val="auto"/>
                <w:highlight w:val="none"/>
                <w:lang w:eastAsia="zh-CN"/>
              </w:rPr>
              <w:t>供应商</w:t>
            </w:r>
            <w:r>
              <w:rPr>
                <w:rFonts w:hint="eastAsia"/>
                <w:color w:val="auto"/>
                <w:highlight w:val="none"/>
              </w:rPr>
              <w:t>，其响应无效。联合体形式</w:t>
            </w:r>
            <w:r>
              <w:rPr>
                <w:rFonts w:hint="eastAsia"/>
                <w:color w:val="auto"/>
                <w:highlight w:val="none"/>
                <w:lang w:val="en-US" w:eastAsia="zh-CN"/>
              </w:rPr>
              <w:t>投标</w:t>
            </w:r>
            <w:r>
              <w:rPr>
                <w:rFonts w:hint="eastAsia"/>
                <w:color w:val="auto"/>
                <w:highlight w:val="none"/>
              </w:rPr>
              <w:t>的，联合体成员存在不良信用记录，视同联合体存在不良信用记录。</w:t>
            </w:r>
          </w:p>
        </w:tc>
        <w:tc>
          <w:tcPr>
            <w:tcW w:w="2790" w:type="dxa"/>
            <w:tcBorders>
              <w:tl2br w:val="nil"/>
              <w:tr2bl w:val="nil"/>
            </w:tcBorders>
            <w:tcMar>
              <w:top w:w="0" w:type="dxa"/>
              <w:left w:w="0" w:type="dxa"/>
              <w:bottom w:w="0" w:type="dxa"/>
              <w:right w:w="0" w:type="dxa"/>
            </w:tcMar>
            <w:vAlign w:val="center"/>
          </w:tcPr>
          <w:p w14:paraId="1BFA9EAF">
            <w:pPr>
              <w:pStyle w:val="58"/>
              <w:ind w:firstLine="440"/>
              <w:rPr>
                <w:color w:val="auto"/>
                <w:highlight w:val="none"/>
              </w:rPr>
            </w:pPr>
            <w:r>
              <w:rPr>
                <w:rFonts w:hint="eastAsia"/>
                <w:color w:val="auto"/>
                <w:highlight w:val="none"/>
              </w:rPr>
              <w:t>无须</w:t>
            </w:r>
            <w:r>
              <w:rPr>
                <w:rFonts w:hint="eastAsia"/>
                <w:color w:val="auto"/>
                <w:highlight w:val="none"/>
                <w:lang w:eastAsia="zh-CN"/>
              </w:rPr>
              <w:t>供应商</w:t>
            </w:r>
            <w:r>
              <w:rPr>
                <w:rFonts w:hint="eastAsia"/>
                <w:color w:val="auto"/>
                <w:highlight w:val="none"/>
              </w:rPr>
              <w:t>提供，由</w:t>
            </w:r>
            <w:r>
              <w:rPr>
                <w:rFonts w:hint="eastAsia"/>
                <w:color w:val="auto"/>
                <w:highlight w:val="none"/>
                <w:lang w:eastAsia="zh-CN"/>
              </w:rPr>
              <w:t>采购人</w:t>
            </w:r>
            <w:r>
              <w:rPr>
                <w:rFonts w:hint="eastAsia"/>
                <w:color w:val="auto"/>
                <w:highlight w:val="none"/>
              </w:rPr>
              <w:t>或</w:t>
            </w:r>
            <w:r>
              <w:rPr>
                <w:rFonts w:hint="eastAsia"/>
                <w:color w:val="auto"/>
                <w:highlight w:val="none"/>
                <w:lang w:eastAsia="zh-CN"/>
              </w:rPr>
              <w:t>采购代理机构</w:t>
            </w:r>
            <w:r>
              <w:rPr>
                <w:rFonts w:hint="eastAsia"/>
                <w:color w:val="auto"/>
                <w:highlight w:val="none"/>
              </w:rPr>
              <w:t>查询。</w:t>
            </w:r>
          </w:p>
        </w:tc>
      </w:tr>
      <w:tr w14:paraId="57BFEB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0BD36CC3">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DCDA035">
            <w:pPr>
              <w:pStyle w:val="48"/>
              <w:rPr>
                <w:color w:val="auto"/>
                <w:szCs w:val="22"/>
                <w:highlight w:val="none"/>
              </w:rPr>
            </w:pPr>
            <w:r>
              <w:rPr>
                <w:rFonts w:hint="eastAsia"/>
                <w:color w:val="auto"/>
                <w:szCs w:val="22"/>
                <w:highlight w:val="none"/>
              </w:rPr>
              <w:t>无重大违法记录声明函、无不良信用记录声明函</w:t>
            </w:r>
          </w:p>
        </w:tc>
        <w:tc>
          <w:tcPr>
            <w:tcW w:w="4560" w:type="dxa"/>
            <w:tcBorders>
              <w:tl2br w:val="nil"/>
              <w:tr2bl w:val="nil"/>
            </w:tcBorders>
            <w:tcMar>
              <w:top w:w="0" w:type="dxa"/>
              <w:left w:w="0" w:type="dxa"/>
              <w:bottom w:w="0" w:type="dxa"/>
              <w:right w:w="0" w:type="dxa"/>
            </w:tcMar>
            <w:vAlign w:val="center"/>
          </w:tcPr>
          <w:p w14:paraId="25094DB0">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1CB375BE">
            <w:pPr>
              <w:pStyle w:val="58"/>
              <w:ind w:firstLine="440"/>
              <w:rPr>
                <w:color w:val="auto"/>
                <w:highlight w:val="none"/>
              </w:rPr>
            </w:pPr>
            <w:r>
              <w:rPr>
                <w:rFonts w:hint="eastAsia"/>
                <w:color w:val="auto"/>
                <w:highlight w:val="none"/>
              </w:rPr>
              <w:t>详见附件3-4</w:t>
            </w:r>
          </w:p>
        </w:tc>
      </w:tr>
      <w:tr w14:paraId="356CD05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06B4AA56">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D96795C">
            <w:pPr>
              <w:pStyle w:val="48"/>
              <w:rPr>
                <w:color w:val="auto"/>
                <w:szCs w:val="22"/>
                <w:highlight w:val="none"/>
              </w:rPr>
            </w:pPr>
            <w:r>
              <w:rPr>
                <w:rFonts w:hint="eastAsia"/>
                <w:color w:val="auto"/>
                <w:szCs w:val="22"/>
                <w:highlight w:val="none"/>
              </w:rPr>
              <w:t>存在关联关系的</w:t>
            </w:r>
            <w:r>
              <w:rPr>
                <w:rFonts w:hint="eastAsia"/>
                <w:color w:val="auto"/>
                <w:szCs w:val="22"/>
                <w:highlight w:val="none"/>
                <w:lang w:eastAsia="zh-CN"/>
              </w:rPr>
              <w:t>供应商</w:t>
            </w:r>
            <w:r>
              <w:rPr>
                <w:rFonts w:hint="eastAsia"/>
                <w:color w:val="auto"/>
                <w:szCs w:val="22"/>
                <w:highlight w:val="none"/>
              </w:rPr>
              <w:t>不参与</w:t>
            </w:r>
            <w:r>
              <w:rPr>
                <w:rFonts w:hint="eastAsia"/>
                <w:color w:val="auto"/>
                <w:szCs w:val="22"/>
                <w:highlight w:val="none"/>
                <w:lang w:val="en-US" w:eastAsia="zh-CN"/>
              </w:rPr>
              <w:t>谈判</w:t>
            </w:r>
            <w:r>
              <w:rPr>
                <w:rFonts w:hint="eastAsia"/>
                <w:color w:val="auto"/>
                <w:szCs w:val="22"/>
                <w:highlight w:val="none"/>
              </w:rPr>
              <w:t>的承诺书</w:t>
            </w:r>
          </w:p>
        </w:tc>
        <w:tc>
          <w:tcPr>
            <w:tcW w:w="4560" w:type="dxa"/>
            <w:tcBorders>
              <w:tl2br w:val="nil"/>
              <w:tr2bl w:val="nil"/>
            </w:tcBorders>
            <w:tcMar>
              <w:top w:w="0" w:type="dxa"/>
              <w:left w:w="0" w:type="dxa"/>
              <w:bottom w:w="0" w:type="dxa"/>
              <w:right w:w="0" w:type="dxa"/>
            </w:tcMar>
            <w:vAlign w:val="center"/>
          </w:tcPr>
          <w:p w14:paraId="01E572F6">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1E5D754C">
            <w:pPr>
              <w:pStyle w:val="58"/>
              <w:ind w:firstLine="440"/>
              <w:rPr>
                <w:color w:val="auto"/>
                <w:highlight w:val="none"/>
              </w:rPr>
            </w:pPr>
            <w:r>
              <w:rPr>
                <w:rFonts w:hint="eastAsia"/>
                <w:color w:val="auto"/>
                <w:highlight w:val="none"/>
              </w:rPr>
              <w:t>详见附件3-5</w:t>
            </w:r>
          </w:p>
          <w:p w14:paraId="6DFD6985">
            <w:pPr>
              <w:pStyle w:val="58"/>
              <w:ind w:firstLine="440"/>
              <w:rPr>
                <w:color w:val="auto"/>
                <w:highlight w:val="none"/>
              </w:rPr>
            </w:pPr>
          </w:p>
        </w:tc>
      </w:tr>
      <w:tr w14:paraId="28354A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1400" w:hRule="atLeast"/>
        </w:trPr>
        <w:tc>
          <w:tcPr>
            <w:tcW w:w="700" w:type="dxa"/>
            <w:tcBorders>
              <w:tl2br w:val="nil"/>
              <w:tr2bl w:val="nil"/>
            </w:tcBorders>
            <w:tcMar>
              <w:top w:w="0" w:type="dxa"/>
              <w:left w:w="0" w:type="dxa"/>
              <w:bottom w:w="0" w:type="dxa"/>
              <w:right w:w="0" w:type="dxa"/>
            </w:tcMar>
            <w:vAlign w:val="center"/>
          </w:tcPr>
          <w:p w14:paraId="1C41EB9E">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58BC6D8">
            <w:pPr>
              <w:pStyle w:val="48"/>
              <w:rPr>
                <w:rFonts w:hint="eastAsia"/>
                <w:color w:val="auto"/>
                <w:szCs w:val="22"/>
                <w:highlight w:val="none"/>
              </w:rPr>
            </w:pPr>
            <w:r>
              <w:rPr>
                <w:rFonts w:hint="eastAsia" w:ascii="Times New Roman" w:hAnsi="Times New Roman" w:cs="Times New Roman"/>
                <w:color w:val="auto"/>
                <w:szCs w:val="22"/>
                <w:highlight w:val="none"/>
                <w:lang w:val="en-US" w:eastAsia="zh-CN"/>
              </w:rPr>
              <w:t>湖南省政府采购供应商资格承诺函</w:t>
            </w:r>
          </w:p>
        </w:tc>
        <w:tc>
          <w:tcPr>
            <w:tcW w:w="4560" w:type="dxa"/>
            <w:tcBorders>
              <w:tl2br w:val="nil"/>
              <w:tr2bl w:val="nil"/>
            </w:tcBorders>
            <w:tcMar>
              <w:top w:w="0" w:type="dxa"/>
              <w:left w:w="0" w:type="dxa"/>
              <w:bottom w:w="0" w:type="dxa"/>
              <w:right w:w="0" w:type="dxa"/>
            </w:tcMar>
            <w:vAlign w:val="center"/>
          </w:tcPr>
          <w:p w14:paraId="0CC73783">
            <w:pPr>
              <w:pStyle w:val="58"/>
              <w:ind w:firstLine="440"/>
              <w:rPr>
                <w:rFonts w:hint="eastAsia"/>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6ADF8EEF">
            <w:pPr>
              <w:pStyle w:val="58"/>
              <w:ind w:firstLine="440"/>
              <w:rPr>
                <w:color w:val="auto"/>
                <w:highlight w:val="none"/>
              </w:rPr>
            </w:pPr>
            <w:r>
              <w:rPr>
                <w:rFonts w:hint="eastAsia"/>
                <w:color w:val="auto"/>
                <w:highlight w:val="none"/>
              </w:rPr>
              <w:t>详见附件3-6</w:t>
            </w:r>
          </w:p>
        </w:tc>
      </w:tr>
      <w:tr w14:paraId="055E88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53" w:hRule="atLeast"/>
        </w:trPr>
        <w:tc>
          <w:tcPr>
            <w:tcW w:w="700" w:type="dxa"/>
            <w:tcBorders>
              <w:tl2br w:val="nil"/>
              <w:tr2bl w:val="nil"/>
            </w:tcBorders>
            <w:tcMar>
              <w:top w:w="0" w:type="dxa"/>
              <w:left w:w="0" w:type="dxa"/>
              <w:bottom w:w="0" w:type="dxa"/>
              <w:right w:w="0" w:type="dxa"/>
            </w:tcMar>
            <w:vAlign w:val="center"/>
          </w:tcPr>
          <w:p w14:paraId="52B6154F">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69A6BA34">
            <w:pPr>
              <w:pStyle w:val="48"/>
              <w:rPr>
                <w:color w:val="auto"/>
                <w:szCs w:val="22"/>
                <w:highlight w:val="none"/>
              </w:rPr>
            </w:pPr>
            <w:r>
              <w:rPr>
                <w:rFonts w:hint="eastAsia"/>
                <w:color w:val="auto"/>
                <w:szCs w:val="22"/>
                <w:highlight w:val="none"/>
              </w:rPr>
              <w:t>特定资格条件（如有）</w:t>
            </w:r>
          </w:p>
        </w:tc>
        <w:tc>
          <w:tcPr>
            <w:tcW w:w="4560" w:type="dxa"/>
            <w:tcBorders>
              <w:tl2br w:val="nil"/>
              <w:tr2bl w:val="nil"/>
            </w:tcBorders>
            <w:tcMar>
              <w:top w:w="0" w:type="dxa"/>
              <w:left w:w="0" w:type="dxa"/>
              <w:bottom w:w="0" w:type="dxa"/>
              <w:right w:w="0" w:type="dxa"/>
            </w:tcMar>
            <w:vAlign w:val="center"/>
          </w:tcPr>
          <w:p w14:paraId="5A1D6697">
            <w:pPr>
              <w:pStyle w:val="58"/>
              <w:ind w:firstLine="660" w:firstLineChars="300"/>
              <w:rPr>
                <w:rFonts w:hint="default" w:eastAsia="微软雅黑"/>
                <w:color w:val="auto"/>
                <w:highlight w:val="none"/>
                <w:lang w:val="en-US" w:eastAsia="zh-CN"/>
              </w:rPr>
            </w:pPr>
            <w:r>
              <w:rPr>
                <w:rFonts w:hint="eastAsia"/>
                <w:color w:val="auto"/>
                <w:highlight w:val="none"/>
                <w:lang w:val="en-US" w:eastAsia="zh-CN"/>
              </w:rPr>
              <w:t>合格有效</w:t>
            </w:r>
          </w:p>
        </w:tc>
        <w:tc>
          <w:tcPr>
            <w:tcW w:w="2790" w:type="dxa"/>
            <w:tcBorders>
              <w:tl2br w:val="nil"/>
              <w:tr2bl w:val="nil"/>
            </w:tcBorders>
            <w:tcMar>
              <w:top w:w="0" w:type="dxa"/>
              <w:left w:w="0" w:type="dxa"/>
              <w:bottom w:w="0" w:type="dxa"/>
              <w:right w:w="0" w:type="dxa"/>
            </w:tcMar>
            <w:vAlign w:val="center"/>
          </w:tcPr>
          <w:p w14:paraId="0D259F17">
            <w:pPr>
              <w:pStyle w:val="58"/>
              <w:ind w:firstLine="440"/>
              <w:jc w:val="both"/>
              <w:rPr>
                <w:rFonts w:hint="eastAsia" w:eastAsia="微软雅黑"/>
                <w:color w:val="auto"/>
                <w:highlight w:val="none"/>
                <w:lang w:val="en-US" w:eastAsia="zh-CN"/>
              </w:rPr>
            </w:pPr>
            <w:r>
              <w:rPr>
                <w:rFonts w:hint="eastAsia"/>
                <w:color w:val="auto"/>
                <w:highlight w:val="none"/>
              </w:rPr>
              <w:t>详见附件3-</w:t>
            </w:r>
            <w:r>
              <w:rPr>
                <w:rFonts w:hint="eastAsia"/>
                <w:color w:val="auto"/>
                <w:highlight w:val="none"/>
                <w:lang w:val="en-US" w:eastAsia="zh-CN"/>
              </w:rPr>
              <w:t>7</w:t>
            </w:r>
          </w:p>
        </w:tc>
      </w:tr>
      <w:tr w14:paraId="7F208C0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3871E181">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5C98A3BB">
            <w:pPr>
              <w:pStyle w:val="48"/>
              <w:rPr>
                <w:color w:val="auto"/>
                <w:szCs w:val="22"/>
                <w:highlight w:val="none"/>
              </w:rPr>
            </w:pPr>
            <w:r>
              <w:rPr>
                <w:rFonts w:hint="eastAsia"/>
                <w:color w:val="auto"/>
                <w:szCs w:val="22"/>
                <w:highlight w:val="none"/>
              </w:rPr>
              <w:t>授权委托书</w:t>
            </w:r>
          </w:p>
        </w:tc>
        <w:tc>
          <w:tcPr>
            <w:tcW w:w="4560" w:type="dxa"/>
            <w:tcBorders>
              <w:tl2br w:val="nil"/>
              <w:tr2bl w:val="nil"/>
            </w:tcBorders>
            <w:tcMar>
              <w:top w:w="0" w:type="dxa"/>
              <w:left w:w="0" w:type="dxa"/>
              <w:bottom w:w="0" w:type="dxa"/>
              <w:right w:w="0" w:type="dxa"/>
            </w:tcMar>
            <w:vAlign w:val="center"/>
          </w:tcPr>
          <w:p w14:paraId="35445914">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单位公章</w:t>
            </w:r>
          </w:p>
        </w:tc>
        <w:tc>
          <w:tcPr>
            <w:tcW w:w="2790" w:type="dxa"/>
            <w:tcBorders>
              <w:tl2br w:val="nil"/>
              <w:tr2bl w:val="nil"/>
            </w:tcBorders>
            <w:tcMar>
              <w:top w:w="0" w:type="dxa"/>
              <w:left w:w="0" w:type="dxa"/>
              <w:bottom w:w="0" w:type="dxa"/>
              <w:right w:w="0" w:type="dxa"/>
            </w:tcMar>
            <w:vAlign w:val="center"/>
          </w:tcPr>
          <w:p w14:paraId="3BA9FF5D">
            <w:pPr>
              <w:pStyle w:val="58"/>
              <w:ind w:firstLine="440"/>
              <w:rPr>
                <w:color w:val="auto"/>
                <w:highlight w:val="none"/>
              </w:rPr>
            </w:pPr>
            <w:r>
              <w:rPr>
                <w:rFonts w:hint="eastAsia"/>
                <w:color w:val="auto"/>
                <w:highlight w:val="none"/>
              </w:rPr>
              <w:t>详见附件二</w:t>
            </w:r>
          </w:p>
          <w:p w14:paraId="7577132B">
            <w:pPr>
              <w:pStyle w:val="58"/>
              <w:ind w:firstLine="440"/>
              <w:rPr>
                <w:color w:val="auto"/>
                <w:highlight w:val="none"/>
              </w:rPr>
            </w:pPr>
          </w:p>
        </w:tc>
      </w:tr>
      <w:tr w14:paraId="442AA7F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12" w:hRule="atLeast"/>
        </w:trPr>
        <w:tc>
          <w:tcPr>
            <w:tcW w:w="700" w:type="dxa"/>
            <w:tcBorders>
              <w:tl2br w:val="nil"/>
              <w:tr2bl w:val="nil"/>
            </w:tcBorders>
            <w:tcMar>
              <w:top w:w="0" w:type="dxa"/>
              <w:left w:w="0" w:type="dxa"/>
              <w:bottom w:w="0" w:type="dxa"/>
              <w:right w:w="0" w:type="dxa"/>
            </w:tcMar>
            <w:vAlign w:val="center"/>
          </w:tcPr>
          <w:p w14:paraId="1CA72862">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3DFC16E7">
            <w:pPr>
              <w:pStyle w:val="48"/>
              <w:rPr>
                <w:color w:val="auto"/>
                <w:szCs w:val="22"/>
                <w:highlight w:val="none"/>
              </w:rPr>
            </w:pPr>
            <w:r>
              <w:rPr>
                <w:rFonts w:hint="eastAsia"/>
                <w:color w:val="auto"/>
                <w:szCs w:val="22"/>
                <w:highlight w:val="none"/>
              </w:rPr>
              <w:t>保证金</w:t>
            </w:r>
          </w:p>
        </w:tc>
        <w:tc>
          <w:tcPr>
            <w:tcW w:w="4560" w:type="dxa"/>
            <w:tcBorders>
              <w:tl2br w:val="nil"/>
              <w:tr2bl w:val="nil"/>
            </w:tcBorders>
            <w:tcMar>
              <w:top w:w="0" w:type="dxa"/>
              <w:left w:w="0" w:type="dxa"/>
              <w:bottom w:w="0" w:type="dxa"/>
              <w:right w:w="0" w:type="dxa"/>
            </w:tcMar>
            <w:vAlign w:val="center"/>
          </w:tcPr>
          <w:p w14:paraId="398E097B">
            <w:pPr>
              <w:pStyle w:val="58"/>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文件须知要求</w:t>
            </w:r>
          </w:p>
        </w:tc>
        <w:tc>
          <w:tcPr>
            <w:tcW w:w="2790" w:type="dxa"/>
            <w:tcBorders>
              <w:tl2br w:val="nil"/>
              <w:tr2bl w:val="nil"/>
            </w:tcBorders>
            <w:tcMar>
              <w:top w:w="0" w:type="dxa"/>
              <w:left w:w="0" w:type="dxa"/>
              <w:bottom w:w="0" w:type="dxa"/>
              <w:right w:w="0" w:type="dxa"/>
            </w:tcMar>
            <w:vAlign w:val="center"/>
          </w:tcPr>
          <w:p w14:paraId="4F512B16">
            <w:pPr>
              <w:pStyle w:val="58"/>
              <w:ind w:firstLine="440"/>
              <w:rPr>
                <w:color w:val="auto"/>
                <w:highlight w:val="none"/>
              </w:rPr>
            </w:pPr>
            <w:r>
              <w:rPr>
                <w:rFonts w:hint="eastAsia"/>
                <w:color w:val="auto"/>
                <w:highlight w:val="none"/>
              </w:rPr>
              <w:t>由系统提供保证金到账情况</w:t>
            </w:r>
          </w:p>
        </w:tc>
      </w:tr>
      <w:tr w14:paraId="04FEE25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424" w:hRule="atLeast"/>
        </w:trPr>
        <w:tc>
          <w:tcPr>
            <w:tcW w:w="700" w:type="dxa"/>
            <w:tcBorders>
              <w:tl2br w:val="nil"/>
              <w:tr2bl w:val="nil"/>
            </w:tcBorders>
            <w:tcMar>
              <w:top w:w="0" w:type="dxa"/>
              <w:left w:w="0" w:type="dxa"/>
              <w:bottom w:w="0" w:type="dxa"/>
              <w:right w:w="0" w:type="dxa"/>
            </w:tcMar>
            <w:vAlign w:val="center"/>
          </w:tcPr>
          <w:p w14:paraId="3F3AC329">
            <w:pPr>
              <w:pStyle w:val="48"/>
              <w:numPr>
                <w:ilvl w:val="0"/>
                <w:numId w:val="45"/>
              </w:numPr>
              <w:rPr>
                <w:color w:val="auto"/>
                <w:szCs w:val="22"/>
                <w:highlight w:val="none"/>
              </w:rPr>
            </w:pPr>
          </w:p>
        </w:tc>
        <w:tc>
          <w:tcPr>
            <w:tcW w:w="1820" w:type="dxa"/>
            <w:tcBorders>
              <w:tl2br w:val="nil"/>
              <w:tr2bl w:val="nil"/>
            </w:tcBorders>
            <w:tcMar>
              <w:top w:w="0" w:type="dxa"/>
              <w:left w:w="0" w:type="dxa"/>
              <w:bottom w:w="0" w:type="dxa"/>
              <w:right w:w="0" w:type="dxa"/>
            </w:tcMar>
            <w:vAlign w:val="center"/>
          </w:tcPr>
          <w:p w14:paraId="2F2E80F8">
            <w:pPr>
              <w:pStyle w:val="48"/>
              <w:rPr>
                <w:color w:val="auto"/>
                <w:szCs w:val="22"/>
                <w:highlight w:val="none"/>
              </w:rPr>
            </w:pPr>
            <w:r>
              <w:rPr>
                <w:rFonts w:hint="eastAsia"/>
                <w:color w:val="auto"/>
                <w:szCs w:val="22"/>
                <w:highlight w:val="none"/>
              </w:rPr>
              <w:t>其他要求</w:t>
            </w:r>
          </w:p>
        </w:tc>
        <w:tc>
          <w:tcPr>
            <w:tcW w:w="4560" w:type="dxa"/>
            <w:tcBorders>
              <w:tl2br w:val="nil"/>
              <w:tr2bl w:val="nil"/>
            </w:tcBorders>
            <w:tcMar>
              <w:top w:w="0" w:type="dxa"/>
              <w:left w:w="0" w:type="dxa"/>
              <w:bottom w:w="0" w:type="dxa"/>
              <w:right w:w="0" w:type="dxa"/>
            </w:tcMar>
            <w:vAlign w:val="center"/>
          </w:tcPr>
          <w:p w14:paraId="2B3B1E5C">
            <w:pPr>
              <w:pStyle w:val="58"/>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2790" w:type="dxa"/>
            <w:tcBorders>
              <w:tl2br w:val="nil"/>
              <w:tr2bl w:val="nil"/>
            </w:tcBorders>
            <w:tcMar>
              <w:top w:w="0" w:type="dxa"/>
              <w:left w:w="0" w:type="dxa"/>
              <w:bottom w:w="0" w:type="dxa"/>
              <w:right w:w="0" w:type="dxa"/>
            </w:tcMar>
            <w:vAlign w:val="center"/>
          </w:tcPr>
          <w:p w14:paraId="0EAFD44C">
            <w:pPr>
              <w:pStyle w:val="58"/>
              <w:ind w:firstLine="440"/>
              <w:rPr>
                <w:color w:val="auto"/>
                <w:highlight w:val="none"/>
              </w:rPr>
            </w:pPr>
          </w:p>
        </w:tc>
      </w:tr>
    </w:tbl>
    <w:p w14:paraId="2CF4348D">
      <w:pPr>
        <w:rPr>
          <w:color w:val="auto"/>
          <w:highlight w:val="none"/>
        </w:rPr>
      </w:pPr>
      <w:r>
        <w:rPr>
          <w:rFonts w:hint="eastAsia"/>
          <w:color w:val="auto"/>
          <w:highlight w:val="none"/>
        </w:rPr>
        <w:br w:type="page"/>
      </w:r>
    </w:p>
    <w:p w14:paraId="01BFA1C8">
      <w:pPr>
        <w:pStyle w:val="4"/>
        <w:spacing w:before="156"/>
        <w:jc w:val="center"/>
        <w:rPr>
          <w:color w:val="auto"/>
          <w:highlight w:val="none"/>
        </w:rPr>
      </w:pPr>
      <w:bookmarkStart w:id="58" w:name="_Toc6409"/>
      <w:bookmarkStart w:id="59" w:name="_Toc32574"/>
      <w:bookmarkStart w:id="60" w:name="_Toc25592"/>
      <w:bookmarkStart w:id="61" w:name="_Toc31994"/>
      <w:r>
        <w:rPr>
          <w:rFonts w:hint="eastAsia"/>
          <w:color w:val="auto"/>
          <w:highlight w:val="none"/>
          <w:lang w:val="en-US" w:eastAsia="zh-CN"/>
        </w:rPr>
        <w:t xml:space="preserve">   </w:t>
      </w:r>
      <w:r>
        <w:rPr>
          <w:rFonts w:hint="eastAsia"/>
          <w:color w:val="auto"/>
          <w:highlight w:val="none"/>
        </w:rPr>
        <w:t>第二节 符合性审查</w:t>
      </w:r>
      <w:bookmarkEnd w:id="58"/>
      <w:bookmarkEnd w:id="59"/>
      <w:bookmarkEnd w:id="60"/>
      <w:bookmarkEnd w:id="61"/>
    </w:p>
    <w:p w14:paraId="7CB00E79">
      <w:pPr>
        <w:pStyle w:val="19"/>
        <w:ind w:firstLine="480"/>
        <w:rPr>
          <w:color w:val="auto"/>
          <w:highlight w:val="none"/>
        </w:rPr>
      </w:pPr>
      <w:r>
        <w:rPr>
          <w:rFonts w:hint="eastAsia"/>
          <w:color w:val="auto"/>
          <w:highlight w:val="none"/>
        </w:rPr>
        <w:t>2.1</w:t>
      </w:r>
      <w:r>
        <w:rPr>
          <w:rFonts w:hint="eastAsia"/>
          <w:color w:val="auto"/>
          <w:highlight w:val="none"/>
          <w:lang w:val="en-US" w:eastAsia="zh-CN"/>
        </w:rPr>
        <w:t>谈判小组</w:t>
      </w:r>
      <w:r>
        <w:rPr>
          <w:rFonts w:hint="eastAsia"/>
          <w:color w:val="auto"/>
          <w:highlight w:val="none"/>
        </w:rPr>
        <w:t>对通过资格审查的</w:t>
      </w:r>
      <w:r>
        <w:rPr>
          <w:rFonts w:hint="eastAsia"/>
          <w:color w:val="auto"/>
          <w:highlight w:val="none"/>
          <w:lang w:eastAsia="zh-CN"/>
        </w:rPr>
        <w:t>供应商</w:t>
      </w:r>
      <w:r>
        <w:rPr>
          <w:rFonts w:hint="eastAsia"/>
          <w:color w:val="auto"/>
          <w:highlight w:val="none"/>
        </w:rPr>
        <w:t>的响应文件进行符合性审查，以确定其是否满足</w:t>
      </w:r>
      <w:r>
        <w:rPr>
          <w:rFonts w:hint="eastAsia"/>
          <w:color w:val="auto"/>
          <w:highlight w:val="none"/>
          <w:lang w:val="en-US" w:eastAsia="zh-CN"/>
        </w:rPr>
        <w:t>谈判</w:t>
      </w:r>
      <w:r>
        <w:rPr>
          <w:rFonts w:hint="eastAsia"/>
          <w:color w:val="auto"/>
          <w:highlight w:val="none"/>
        </w:rPr>
        <w:t>文件的实质性要求。符合性审查表如下：</w:t>
      </w:r>
    </w:p>
    <w:p w14:paraId="31132FD4">
      <w:pPr>
        <w:pStyle w:val="45"/>
        <w:spacing w:before="156"/>
        <w:ind w:firstLine="0" w:firstLineChars="0"/>
        <w:jc w:val="center"/>
        <w:rPr>
          <w:rFonts w:ascii="方正小标宋_GBK" w:hAnsi="方正小标宋_GBK" w:eastAsia="方正小标宋_GBK" w:cs="方正小标宋_GBK"/>
          <w:color w:val="auto"/>
          <w:sz w:val="30"/>
          <w:szCs w:val="30"/>
          <w:highlight w:val="none"/>
        </w:rPr>
      </w:pPr>
      <w:r>
        <w:rPr>
          <w:rFonts w:hint="eastAsia" w:ascii="方正小标宋_GBK" w:hAnsi="方正小标宋_GBK" w:eastAsia="方正小标宋_GBK" w:cs="方正小标宋_GBK"/>
          <w:color w:val="auto"/>
          <w:sz w:val="30"/>
          <w:szCs w:val="30"/>
          <w:highlight w:val="none"/>
        </w:rPr>
        <w:t>符合性审查表</w:t>
      </w:r>
    </w:p>
    <w:tbl>
      <w:tblPr>
        <w:tblStyle w:val="35"/>
        <w:tblW w:w="9915" w:type="dxa"/>
        <w:tblInd w:w="123"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115"/>
        <w:gridCol w:w="3632"/>
        <w:gridCol w:w="3338"/>
      </w:tblGrid>
      <w:tr w14:paraId="09D58C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blHeader/>
        </w:trPr>
        <w:tc>
          <w:tcPr>
            <w:tcW w:w="830" w:type="dxa"/>
            <w:tcBorders>
              <w:tl2br w:val="nil"/>
              <w:tr2bl w:val="nil"/>
            </w:tcBorders>
            <w:shd w:val="pct10" w:color="ADB9CA" w:fill="D6DCE5"/>
            <w:vAlign w:val="center"/>
          </w:tcPr>
          <w:p w14:paraId="21A4095D">
            <w:pPr>
              <w:pStyle w:val="44"/>
              <w:rPr>
                <w:color w:val="auto"/>
                <w:highlight w:val="none"/>
              </w:rPr>
            </w:pPr>
            <w:r>
              <w:rPr>
                <w:color w:val="auto"/>
                <w:highlight w:val="none"/>
              </w:rPr>
              <w:t>序号</w:t>
            </w:r>
          </w:p>
        </w:tc>
        <w:tc>
          <w:tcPr>
            <w:tcW w:w="2115" w:type="dxa"/>
            <w:tcBorders>
              <w:tl2br w:val="nil"/>
              <w:tr2bl w:val="nil"/>
            </w:tcBorders>
            <w:shd w:val="pct10" w:color="ADB9CA" w:fill="D6DCE5"/>
            <w:vAlign w:val="center"/>
          </w:tcPr>
          <w:p w14:paraId="02BF1B03">
            <w:pPr>
              <w:pStyle w:val="44"/>
              <w:ind w:left="240"/>
              <w:rPr>
                <w:color w:val="auto"/>
                <w:highlight w:val="none"/>
              </w:rPr>
            </w:pPr>
            <w:r>
              <w:rPr>
                <w:color w:val="auto"/>
                <w:highlight w:val="none"/>
              </w:rPr>
              <w:t>评审指标</w:t>
            </w:r>
          </w:p>
        </w:tc>
        <w:tc>
          <w:tcPr>
            <w:tcW w:w="3632" w:type="dxa"/>
            <w:tcBorders>
              <w:tl2br w:val="nil"/>
              <w:tr2bl w:val="nil"/>
            </w:tcBorders>
            <w:shd w:val="pct10" w:color="ADB9CA" w:fill="D6DCE5"/>
            <w:vAlign w:val="center"/>
          </w:tcPr>
          <w:p w14:paraId="5BCD68C6">
            <w:pPr>
              <w:pStyle w:val="44"/>
              <w:ind w:left="240"/>
              <w:rPr>
                <w:color w:val="auto"/>
                <w:highlight w:val="none"/>
              </w:rPr>
            </w:pPr>
            <w:r>
              <w:rPr>
                <w:color w:val="auto"/>
                <w:highlight w:val="none"/>
              </w:rPr>
              <w:t>评审标准</w:t>
            </w:r>
          </w:p>
        </w:tc>
        <w:tc>
          <w:tcPr>
            <w:tcW w:w="3338" w:type="dxa"/>
            <w:tcBorders>
              <w:tl2br w:val="nil"/>
              <w:tr2bl w:val="nil"/>
            </w:tcBorders>
            <w:shd w:val="pct10" w:color="ADB9CA" w:fill="D6DCE5"/>
            <w:vAlign w:val="center"/>
          </w:tcPr>
          <w:p w14:paraId="636B4DD7">
            <w:pPr>
              <w:pStyle w:val="44"/>
              <w:ind w:left="240"/>
              <w:rPr>
                <w:color w:val="auto"/>
                <w:highlight w:val="none"/>
              </w:rPr>
            </w:pPr>
            <w:r>
              <w:rPr>
                <w:color w:val="auto"/>
                <w:highlight w:val="none"/>
              </w:rPr>
              <w:t>格式及材料要求</w:t>
            </w:r>
          </w:p>
        </w:tc>
      </w:tr>
      <w:tr w14:paraId="44671D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830" w:type="dxa"/>
            <w:tcBorders>
              <w:tl2br w:val="nil"/>
              <w:tr2bl w:val="nil"/>
            </w:tcBorders>
            <w:vAlign w:val="center"/>
          </w:tcPr>
          <w:p w14:paraId="454615A4">
            <w:pPr>
              <w:pStyle w:val="48"/>
              <w:numPr>
                <w:ilvl w:val="0"/>
                <w:numId w:val="46"/>
              </w:numPr>
              <w:rPr>
                <w:color w:val="auto"/>
                <w:highlight w:val="none"/>
              </w:rPr>
            </w:pPr>
          </w:p>
        </w:tc>
        <w:tc>
          <w:tcPr>
            <w:tcW w:w="2115" w:type="dxa"/>
            <w:tcBorders>
              <w:tl2br w:val="nil"/>
              <w:tr2bl w:val="nil"/>
            </w:tcBorders>
            <w:vAlign w:val="center"/>
          </w:tcPr>
          <w:p w14:paraId="6E486590">
            <w:pPr>
              <w:pStyle w:val="48"/>
              <w:rPr>
                <w:color w:val="auto"/>
                <w:highlight w:val="none"/>
              </w:rPr>
            </w:pPr>
            <w:r>
              <w:rPr>
                <w:rFonts w:hint="eastAsia"/>
                <w:color w:val="auto"/>
                <w:highlight w:val="none"/>
                <w:lang w:val="en-US" w:eastAsia="zh-CN"/>
              </w:rPr>
              <w:t>谈判</w:t>
            </w:r>
            <w:r>
              <w:rPr>
                <w:rFonts w:hint="eastAsia"/>
                <w:color w:val="auto"/>
                <w:highlight w:val="none"/>
              </w:rPr>
              <w:t>响应声明</w:t>
            </w:r>
          </w:p>
        </w:tc>
        <w:tc>
          <w:tcPr>
            <w:tcW w:w="3632" w:type="dxa"/>
            <w:tcBorders>
              <w:tl2br w:val="nil"/>
              <w:tr2bl w:val="nil"/>
            </w:tcBorders>
            <w:vAlign w:val="center"/>
          </w:tcPr>
          <w:p w14:paraId="03E73697">
            <w:pPr>
              <w:pStyle w:val="58"/>
              <w:ind w:firstLine="440"/>
              <w:rPr>
                <w:color w:val="auto"/>
                <w:highlight w:val="none"/>
              </w:rPr>
            </w:pPr>
            <w:r>
              <w:rPr>
                <w:rFonts w:hint="eastAsia"/>
                <w:color w:val="auto"/>
                <w:highlight w:val="none"/>
              </w:rPr>
              <w:t>格式、填写要求符合</w:t>
            </w:r>
            <w:r>
              <w:rPr>
                <w:rFonts w:hint="eastAsia"/>
                <w:color w:val="auto"/>
                <w:highlight w:val="none"/>
                <w:lang w:val="en-US" w:eastAsia="zh-CN"/>
              </w:rPr>
              <w:t>谈判</w:t>
            </w:r>
            <w:r>
              <w:rPr>
                <w:rFonts w:hint="eastAsia"/>
                <w:color w:val="auto"/>
                <w:highlight w:val="none"/>
              </w:rPr>
              <w:t>文件规定并加盖</w:t>
            </w:r>
            <w:r>
              <w:rPr>
                <w:rFonts w:hint="eastAsia"/>
                <w:color w:val="auto"/>
                <w:highlight w:val="none"/>
                <w:lang w:eastAsia="zh-CN"/>
              </w:rPr>
              <w:t>供应商</w:t>
            </w:r>
            <w:r>
              <w:rPr>
                <w:rFonts w:hint="eastAsia"/>
                <w:color w:val="auto"/>
                <w:highlight w:val="none"/>
              </w:rPr>
              <w:t>公章</w:t>
            </w:r>
          </w:p>
        </w:tc>
        <w:tc>
          <w:tcPr>
            <w:tcW w:w="3338" w:type="dxa"/>
            <w:tcBorders>
              <w:tl2br w:val="nil"/>
              <w:tr2bl w:val="nil"/>
            </w:tcBorders>
            <w:vAlign w:val="center"/>
          </w:tcPr>
          <w:p w14:paraId="1380E4E9">
            <w:pPr>
              <w:pStyle w:val="58"/>
              <w:ind w:firstLine="440"/>
              <w:rPr>
                <w:color w:val="auto"/>
                <w:highlight w:val="none"/>
              </w:rPr>
            </w:pPr>
            <w:r>
              <w:rPr>
                <w:rFonts w:hint="eastAsia"/>
                <w:color w:val="auto"/>
                <w:highlight w:val="none"/>
              </w:rPr>
              <w:t>详见第六章响应文件组成格式一</w:t>
            </w:r>
          </w:p>
        </w:tc>
      </w:tr>
      <w:tr w14:paraId="7AB0313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045D5104">
            <w:pPr>
              <w:pStyle w:val="48"/>
              <w:numPr>
                <w:ilvl w:val="0"/>
                <w:numId w:val="46"/>
              </w:numPr>
              <w:rPr>
                <w:color w:val="auto"/>
                <w:highlight w:val="none"/>
              </w:rPr>
            </w:pPr>
          </w:p>
        </w:tc>
        <w:tc>
          <w:tcPr>
            <w:tcW w:w="2115" w:type="dxa"/>
            <w:tcBorders>
              <w:tl2br w:val="nil"/>
              <w:tr2bl w:val="nil"/>
            </w:tcBorders>
            <w:vAlign w:val="center"/>
          </w:tcPr>
          <w:p w14:paraId="337E47F2">
            <w:pPr>
              <w:pStyle w:val="48"/>
              <w:rPr>
                <w:color w:val="auto"/>
                <w:highlight w:val="none"/>
              </w:rPr>
            </w:pPr>
            <w:r>
              <w:rPr>
                <w:rFonts w:hint="eastAsia"/>
                <w:color w:val="auto"/>
                <w:highlight w:val="none"/>
                <w:lang w:val="en-US" w:eastAsia="zh-CN"/>
              </w:rPr>
              <w:t>谈判</w:t>
            </w:r>
            <w:r>
              <w:rPr>
                <w:rFonts w:hint="eastAsia"/>
                <w:color w:val="auto"/>
                <w:highlight w:val="none"/>
              </w:rPr>
              <w:t>响应情况</w:t>
            </w:r>
          </w:p>
        </w:tc>
        <w:tc>
          <w:tcPr>
            <w:tcW w:w="3632" w:type="dxa"/>
            <w:tcBorders>
              <w:tl2br w:val="nil"/>
              <w:tr2bl w:val="nil"/>
            </w:tcBorders>
            <w:vAlign w:val="center"/>
          </w:tcPr>
          <w:p w14:paraId="10D9D14C">
            <w:pPr>
              <w:pStyle w:val="58"/>
              <w:ind w:firstLine="440"/>
              <w:rPr>
                <w:rFonts w:hint="default" w:eastAsia="微软雅黑"/>
                <w:color w:val="auto"/>
                <w:highlight w:val="none"/>
                <w:lang w:val="en-US" w:eastAsia="zh-CN"/>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文件项目需求中的要求</w:t>
            </w:r>
          </w:p>
        </w:tc>
        <w:tc>
          <w:tcPr>
            <w:tcW w:w="3338" w:type="dxa"/>
            <w:tcBorders>
              <w:tl2br w:val="nil"/>
              <w:tr2bl w:val="nil"/>
            </w:tcBorders>
            <w:vAlign w:val="center"/>
          </w:tcPr>
          <w:p w14:paraId="61A68536">
            <w:pPr>
              <w:pStyle w:val="58"/>
              <w:ind w:firstLine="440"/>
              <w:rPr>
                <w:color w:val="auto"/>
                <w:highlight w:val="none"/>
              </w:rPr>
            </w:pPr>
            <w:r>
              <w:rPr>
                <w:rFonts w:hint="eastAsia"/>
                <w:color w:val="auto"/>
                <w:highlight w:val="none"/>
              </w:rPr>
              <w:t>详见第六章响应文件组成格式四</w:t>
            </w:r>
          </w:p>
        </w:tc>
      </w:tr>
      <w:tr w14:paraId="6187EA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66B19C3D">
            <w:pPr>
              <w:pStyle w:val="48"/>
              <w:numPr>
                <w:ilvl w:val="0"/>
                <w:numId w:val="46"/>
              </w:numPr>
              <w:rPr>
                <w:color w:val="auto"/>
                <w:highlight w:val="none"/>
              </w:rPr>
            </w:pPr>
          </w:p>
        </w:tc>
        <w:tc>
          <w:tcPr>
            <w:tcW w:w="2115" w:type="dxa"/>
            <w:tcBorders>
              <w:tl2br w:val="nil"/>
              <w:tr2bl w:val="nil"/>
            </w:tcBorders>
            <w:vAlign w:val="center"/>
          </w:tcPr>
          <w:p w14:paraId="43F4A0AF">
            <w:pPr>
              <w:pStyle w:val="48"/>
              <w:rPr>
                <w:color w:val="auto"/>
                <w:highlight w:val="none"/>
              </w:rPr>
            </w:pPr>
            <w:r>
              <w:rPr>
                <w:rFonts w:hint="eastAsia"/>
                <w:color w:val="auto"/>
                <w:highlight w:val="none"/>
                <w:lang w:val="en-US" w:eastAsia="zh-CN"/>
              </w:rPr>
              <w:t>人员配置和管理方案</w:t>
            </w:r>
          </w:p>
        </w:tc>
        <w:tc>
          <w:tcPr>
            <w:tcW w:w="3632" w:type="dxa"/>
            <w:tcBorders>
              <w:tl2br w:val="nil"/>
              <w:tr2bl w:val="nil"/>
            </w:tcBorders>
            <w:vAlign w:val="center"/>
          </w:tcPr>
          <w:p w14:paraId="34CB48A3">
            <w:pPr>
              <w:pStyle w:val="58"/>
              <w:ind w:firstLine="440"/>
              <w:rPr>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文件项目需求中的要求</w:t>
            </w:r>
          </w:p>
        </w:tc>
        <w:tc>
          <w:tcPr>
            <w:tcW w:w="3338" w:type="dxa"/>
            <w:tcBorders>
              <w:tl2br w:val="nil"/>
              <w:tr2bl w:val="nil"/>
            </w:tcBorders>
            <w:vAlign w:val="center"/>
          </w:tcPr>
          <w:p w14:paraId="085BBA9F">
            <w:pPr>
              <w:pStyle w:val="58"/>
              <w:ind w:firstLine="440"/>
              <w:rPr>
                <w:color w:val="auto"/>
                <w:highlight w:val="none"/>
              </w:rPr>
            </w:pPr>
            <w:r>
              <w:rPr>
                <w:rFonts w:hint="eastAsia"/>
                <w:color w:val="auto"/>
                <w:highlight w:val="none"/>
              </w:rPr>
              <w:t>详见第六章响应文件组成格式五</w:t>
            </w:r>
          </w:p>
        </w:tc>
      </w:tr>
      <w:tr w14:paraId="2CF7A2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60976F98">
            <w:pPr>
              <w:pStyle w:val="48"/>
              <w:numPr>
                <w:ilvl w:val="0"/>
                <w:numId w:val="46"/>
              </w:numPr>
              <w:rPr>
                <w:color w:val="auto"/>
                <w:highlight w:val="none"/>
              </w:rPr>
            </w:pPr>
          </w:p>
        </w:tc>
        <w:tc>
          <w:tcPr>
            <w:tcW w:w="2115" w:type="dxa"/>
            <w:tcBorders>
              <w:tl2br w:val="nil"/>
              <w:tr2bl w:val="nil"/>
            </w:tcBorders>
            <w:shd w:val="clear" w:color="auto" w:fill="auto"/>
            <w:vAlign w:val="center"/>
          </w:tcPr>
          <w:p w14:paraId="04597927">
            <w:pPr>
              <w:pStyle w:val="48"/>
              <w:rPr>
                <w:rFonts w:hint="eastAsia" w:ascii="Times New Roman" w:hAnsi="Times New Roman" w:eastAsia="微软雅黑" w:cs="Times New Roman"/>
                <w:b/>
                <w:color w:val="auto"/>
                <w:kern w:val="2"/>
                <w:sz w:val="22"/>
                <w:szCs w:val="24"/>
                <w:highlight w:val="none"/>
                <w:lang w:val="en-US" w:eastAsia="zh-CN" w:bidi="ar-SA"/>
              </w:rPr>
            </w:pPr>
            <w:r>
              <w:rPr>
                <w:rFonts w:hint="eastAsia" w:ascii="Times New Roman" w:hAnsi="Times New Roman" w:eastAsia="微软雅黑" w:cs="Times New Roman"/>
                <w:b/>
                <w:color w:val="auto"/>
                <w:kern w:val="2"/>
                <w:sz w:val="22"/>
                <w:szCs w:val="24"/>
                <w:highlight w:val="none"/>
                <w:lang w:val="en-US" w:eastAsia="zh-CN" w:bidi="ar-SA"/>
              </w:rPr>
              <w:t>服务承诺及落实措施</w:t>
            </w:r>
          </w:p>
        </w:tc>
        <w:tc>
          <w:tcPr>
            <w:tcW w:w="3632" w:type="dxa"/>
            <w:tcBorders>
              <w:tl2br w:val="nil"/>
              <w:tr2bl w:val="nil"/>
            </w:tcBorders>
            <w:shd w:val="clear" w:color="auto" w:fill="auto"/>
            <w:vAlign w:val="center"/>
          </w:tcPr>
          <w:p w14:paraId="43A5F698">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shd w:val="clear" w:color="auto" w:fill="auto"/>
            <w:vAlign w:val="center"/>
          </w:tcPr>
          <w:p w14:paraId="51C9C408">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详见第六章响应文件组成格式</w:t>
            </w:r>
            <w:r>
              <w:rPr>
                <w:rFonts w:hint="eastAsia"/>
                <w:color w:val="auto"/>
                <w:highlight w:val="none"/>
                <w:lang w:val="en-US" w:eastAsia="zh-CN"/>
              </w:rPr>
              <w:t>六</w:t>
            </w:r>
          </w:p>
        </w:tc>
      </w:tr>
      <w:tr w14:paraId="39EF24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440167D5">
            <w:pPr>
              <w:pStyle w:val="48"/>
              <w:numPr>
                <w:ilvl w:val="0"/>
                <w:numId w:val="46"/>
              </w:numPr>
              <w:rPr>
                <w:color w:val="auto"/>
                <w:highlight w:val="none"/>
              </w:rPr>
            </w:pPr>
          </w:p>
        </w:tc>
        <w:tc>
          <w:tcPr>
            <w:tcW w:w="2115" w:type="dxa"/>
            <w:tcBorders>
              <w:tl2br w:val="nil"/>
              <w:tr2bl w:val="nil"/>
            </w:tcBorders>
            <w:shd w:val="clear" w:color="auto" w:fill="auto"/>
            <w:vAlign w:val="center"/>
          </w:tcPr>
          <w:p w14:paraId="1D56B520">
            <w:pPr>
              <w:pStyle w:val="48"/>
              <w:rPr>
                <w:rFonts w:hint="eastAsia"/>
                <w:color w:val="auto"/>
                <w:highlight w:val="none"/>
                <w:lang w:val="en-US" w:eastAsia="zh-CN"/>
              </w:rPr>
            </w:pPr>
            <w:r>
              <w:rPr>
                <w:rFonts w:hint="eastAsia"/>
                <w:color w:val="auto"/>
                <w:highlight w:val="none"/>
                <w:lang w:val="en-US" w:eastAsia="zh-CN"/>
              </w:rPr>
              <w:t>谈判</w:t>
            </w:r>
            <w:r>
              <w:rPr>
                <w:rFonts w:hint="eastAsia"/>
                <w:color w:val="auto"/>
                <w:highlight w:val="none"/>
              </w:rPr>
              <w:t>承诺</w:t>
            </w:r>
            <w:r>
              <w:rPr>
                <w:rFonts w:hint="eastAsia"/>
                <w:color w:val="auto"/>
                <w:highlight w:val="none"/>
                <w:lang w:eastAsia="zh-CN"/>
              </w:rPr>
              <w:t>书</w:t>
            </w:r>
          </w:p>
        </w:tc>
        <w:tc>
          <w:tcPr>
            <w:tcW w:w="3632" w:type="dxa"/>
            <w:tcBorders>
              <w:tl2br w:val="nil"/>
              <w:tr2bl w:val="nil"/>
            </w:tcBorders>
            <w:shd w:val="clear" w:color="auto" w:fill="auto"/>
            <w:vAlign w:val="center"/>
          </w:tcPr>
          <w:p w14:paraId="58CE5AE0">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shd w:val="clear" w:color="auto" w:fill="auto"/>
            <w:vAlign w:val="center"/>
          </w:tcPr>
          <w:p w14:paraId="78BD2621">
            <w:pPr>
              <w:pStyle w:val="58"/>
              <w:ind w:firstLine="440" w:firstLineChars="200"/>
              <w:rPr>
                <w:rFonts w:hint="eastAsia" w:ascii="宋体" w:hAnsi="宋体" w:eastAsia="微软雅黑" w:cs="宋体"/>
                <w:color w:val="auto"/>
                <w:kern w:val="2"/>
                <w:sz w:val="22"/>
                <w:szCs w:val="24"/>
                <w:highlight w:val="none"/>
                <w:lang w:val="en-US" w:eastAsia="zh-CN" w:bidi="ar-SA"/>
              </w:rPr>
            </w:pPr>
            <w:r>
              <w:rPr>
                <w:rFonts w:hint="eastAsia"/>
                <w:color w:val="auto"/>
                <w:highlight w:val="none"/>
              </w:rPr>
              <w:t>详见第六章响应文件组成格式</w:t>
            </w:r>
            <w:r>
              <w:rPr>
                <w:rFonts w:hint="eastAsia"/>
                <w:color w:val="auto"/>
                <w:highlight w:val="none"/>
                <w:lang w:val="en-US" w:eastAsia="zh-CN"/>
              </w:rPr>
              <w:t>七</w:t>
            </w:r>
          </w:p>
        </w:tc>
      </w:tr>
      <w:tr w14:paraId="153B8D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7622D87C">
            <w:pPr>
              <w:pStyle w:val="48"/>
              <w:numPr>
                <w:ilvl w:val="0"/>
                <w:numId w:val="46"/>
              </w:numPr>
              <w:rPr>
                <w:color w:val="auto"/>
                <w:highlight w:val="none"/>
              </w:rPr>
            </w:pPr>
          </w:p>
        </w:tc>
        <w:tc>
          <w:tcPr>
            <w:tcW w:w="2115" w:type="dxa"/>
            <w:tcBorders>
              <w:tl2br w:val="nil"/>
              <w:tr2bl w:val="nil"/>
            </w:tcBorders>
            <w:vAlign w:val="center"/>
          </w:tcPr>
          <w:p w14:paraId="5B5676A3">
            <w:pPr>
              <w:pStyle w:val="48"/>
              <w:jc w:val="center"/>
              <w:rPr>
                <w:rFonts w:hint="eastAsia"/>
                <w:color w:val="auto"/>
                <w:highlight w:val="none"/>
                <w:lang w:val="en-US" w:eastAsia="zh-CN"/>
              </w:rPr>
            </w:pPr>
            <w:r>
              <w:rPr>
                <w:rFonts w:hint="eastAsia"/>
                <w:color w:val="auto"/>
                <w:szCs w:val="22"/>
                <w:highlight w:val="none"/>
                <w:lang w:val="en-US" w:eastAsia="zh-CN"/>
              </w:rPr>
              <w:t>送达方式确认函</w:t>
            </w:r>
          </w:p>
        </w:tc>
        <w:tc>
          <w:tcPr>
            <w:tcW w:w="3632" w:type="dxa"/>
            <w:tcBorders>
              <w:tl2br w:val="nil"/>
              <w:tr2bl w:val="nil"/>
            </w:tcBorders>
            <w:vAlign w:val="center"/>
          </w:tcPr>
          <w:p w14:paraId="3DB9DD2D">
            <w:pPr>
              <w:pStyle w:val="58"/>
              <w:ind w:firstLine="440"/>
              <w:rPr>
                <w:rFonts w:hint="eastAsia"/>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vAlign w:val="center"/>
          </w:tcPr>
          <w:p w14:paraId="3D6CA997">
            <w:pPr>
              <w:pStyle w:val="58"/>
              <w:ind w:firstLine="440"/>
              <w:rPr>
                <w:rFonts w:hint="eastAsia" w:eastAsia="微软雅黑"/>
                <w:color w:val="auto"/>
                <w:highlight w:val="none"/>
                <w:lang w:val="en-US" w:eastAsia="zh-CN"/>
              </w:rPr>
            </w:pPr>
            <w:r>
              <w:rPr>
                <w:rFonts w:hint="eastAsia"/>
                <w:color w:val="auto"/>
                <w:highlight w:val="none"/>
              </w:rPr>
              <w:t>详见第六章响应文件组成格式</w:t>
            </w:r>
            <w:r>
              <w:rPr>
                <w:rFonts w:hint="eastAsia"/>
                <w:color w:val="auto"/>
                <w:highlight w:val="none"/>
                <w:lang w:val="en-US" w:eastAsia="zh-CN"/>
              </w:rPr>
              <w:t>十一</w:t>
            </w:r>
          </w:p>
        </w:tc>
      </w:tr>
      <w:tr w14:paraId="22325D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30" w:type="dxa"/>
            <w:tcBorders>
              <w:tl2br w:val="nil"/>
              <w:tr2bl w:val="nil"/>
            </w:tcBorders>
            <w:vAlign w:val="center"/>
          </w:tcPr>
          <w:p w14:paraId="784E6299">
            <w:pPr>
              <w:pStyle w:val="48"/>
              <w:numPr>
                <w:ilvl w:val="0"/>
                <w:numId w:val="46"/>
              </w:numPr>
              <w:rPr>
                <w:color w:val="auto"/>
                <w:highlight w:val="none"/>
              </w:rPr>
            </w:pPr>
          </w:p>
        </w:tc>
        <w:tc>
          <w:tcPr>
            <w:tcW w:w="2115" w:type="dxa"/>
            <w:tcBorders>
              <w:tl2br w:val="nil"/>
              <w:tr2bl w:val="nil"/>
            </w:tcBorders>
            <w:vAlign w:val="center"/>
          </w:tcPr>
          <w:p w14:paraId="6A0D5076">
            <w:pPr>
              <w:pStyle w:val="48"/>
              <w:jc w:val="center"/>
              <w:rPr>
                <w:rFonts w:hint="eastAsia"/>
                <w:color w:val="auto"/>
                <w:szCs w:val="22"/>
                <w:highlight w:val="none"/>
                <w:lang w:val="en-US" w:eastAsia="zh-CN"/>
              </w:rPr>
            </w:pPr>
            <w:r>
              <w:rPr>
                <w:rFonts w:hint="eastAsia"/>
                <w:color w:val="auto"/>
                <w:highlight w:val="none"/>
                <w:lang w:val="en-US" w:eastAsia="zh-CN"/>
              </w:rPr>
              <w:t>中小企业声明函</w:t>
            </w:r>
          </w:p>
        </w:tc>
        <w:tc>
          <w:tcPr>
            <w:tcW w:w="3632" w:type="dxa"/>
            <w:tcBorders>
              <w:tl2br w:val="nil"/>
              <w:tr2bl w:val="nil"/>
            </w:tcBorders>
            <w:vAlign w:val="center"/>
          </w:tcPr>
          <w:p w14:paraId="06A17E5E">
            <w:pPr>
              <w:pStyle w:val="58"/>
              <w:ind w:firstLine="440"/>
              <w:rPr>
                <w:rFonts w:hint="eastAsia"/>
                <w:color w:val="auto"/>
                <w:highlight w:val="none"/>
              </w:rPr>
            </w:pPr>
            <w:r>
              <w:rPr>
                <w:rFonts w:hint="eastAsia"/>
                <w:color w:val="auto"/>
                <w:highlight w:val="none"/>
              </w:rPr>
              <w:t>符合</w:t>
            </w:r>
            <w:r>
              <w:rPr>
                <w:rFonts w:hint="eastAsia"/>
                <w:color w:val="auto"/>
                <w:highlight w:val="none"/>
                <w:lang w:val="en-US" w:eastAsia="zh-CN"/>
              </w:rPr>
              <w:t>谈判</w:t>
            </w:r>
            <w:r>
              <w:rPr>
                <w:rFonts w:hint="eastAsia"/>
                <w:color w:val="auto"/>
                <w:highlight w:val="none"/>
              </w:rPr>
              <w:t>文件的要求</w:t>
            </w:r>
          </w:p>
        </w:tc>
        <w:tc>
          <w:tcPr>
            <w:tcW w:w="3338" w:type="dxa"/>
            <w:tcBorders>
              <w:tl2br w:val="nil"/>
              <w:tr2bl w:val="nil"/>
            </w:tcBorders>
            <w:vAlign w:val="center"/>
          </w:tcPr>
          <w:p w14:paraId="65689B74">
            <w:pPr>
              <w:pStyle w:val="58"/>
              <w:ind w:firstLine="440"/>
              <w:rPr>
                <w:rFonts w:hint="eastAsia" w:eastAsia="微软雅黑"/>
                <w:color w:val="auto"/>
                <w:highlight w:val="none"/>
                <w:lang w:val="en-US" w:eastAsia="zh-CN"/>
              </w:rPr>
            </w:pPr>
            <w:r>
              <w:rPr>
                <w:rFonts w:hint="eastAsia"/>
                <w:color w:val="auto"/>
                <w:highlight w:val="none"/>
              </w:rPr>
              <w:t>详见第六章响应文件组成格式</w:t>
            </w:r>
            <w:r>
              <w:rPr>
                <w:rFonts w:hint="eastAsia"/>
                <w:color w:val="auto"/>
                <w:highlight w:val="none"/>
                <w:lang w:val="en-US" w:eastAsia="zh-CN"/>
              </w:rPr>
              <w:t>十二</w:t>
            </w:r>
          </w:p>
        </w:tc>
      </w:tr>
      <w:tr w14:paraId="20B5C5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830" w:type="dxa"/>
            <w:tcBorders>
              <w:tl2br w:val="nil"/>
              <w:tr2bl w:val="nil"/>
            </w:tcBorders>
            <w:vAlign w:val="center"/>
          </w:tcPr>
          <w:p w14:paraId="1FC078A8">
            <w:pPr>
              <w:pStyle w:val="48"/>
              <w:numPr>
                <w:ilvl w:val="0"/>
                <w:numId w:val="46"/>
              </w:numPr>
              <w:rPr>
                <w:color w:val="auto"/>
                <w:highlight w:val="none"/>
              </w:rPr>
            </w:pPr>
          </w:p>
        </w:tc>
        <w:tc>
          <w:tcPr>
            <w:tcW w:w="2115" w:type="dxa"/>
            <w:tcBorders>
              <w:tl2br w:val="nil"/>
              <w:tr2bl w:val="nil"/>
            </w:tcBorders>
            <w:vAlign w:val="center"/>
          </w:tcPr>
          <w:p w14:paraId="7E543BEC">
            <w:pPr>
              <w:pStyle w:val="48"/>
              <w:rPr>
                <w:color w:val="auto"/>
                <w:highlight w:val="none"/>
              </w:rPr>
            </w:pPr>
            <w:r>
              <w:rPr>
                <w:rFonts w:hint="eastAsia"/>
                <w:color w:val="auto"/>
                <w:highlight w:val="none"/>
              </w:rPr>
              <w:t>其他要求</w:t>
            </w:r>
          </w:p>
        </w:tc>
        <w:tc>
          <w:tcPr>
            <w:tcW w:w="3632" w:type="dxa"/>
            <w:tcBorders>
              <w:tl2br w:val="nil"/>
              <w:tr2bl w:val="nil"/>
            </w:tcBorders>
            <w:vAlign w:val="center"/>
          </w:tcPr>
          <w:p w14:paraId="3E0180D1">
            <w:pPr>
              <w:pStyle w:val="58"/>
              <w:ind w:firstLine="440"/>
              <w:rPr>
                <w:color w:val="auto"/>
                <w:highlight w:val="none"/>
              </w:rPr>
            </w:pPr>
            <w:r>
              <w:rPr>
                <w:rFonts w:hint="eastAsia"/>
                <w:color w:val="auto"/>
                <w:highlight w:val="none"/>
              </w:rPr>
              <w:t>符合法律、行政法规规定的其他条件或</w:t>
            </w:r>
            <w:r>
              <w:rPr>
                <w:rFonts w:hint="eastAsia"/>
                <w:color w:val="auto"/>
                <w:highlight w:val="none"/>
                <w:lang w:val="en-US" w:eastAsia="zh-CN"/>
              </w:rPr>
              <w:t>谈判</w:t>
            </w:r>
            <w:r>
              <w:rPr>
                <w:rFonts w:hint="eastAsia"/>
                <w:color w:val="auto"/>
                <w:highlight w:val="none"/>
              </w:rPr>
              <w:t>文件列明的其他要求</w:t>
            </w:r>
          </w:p>
        </w:tc>
        <w:tc>
          <w:tcPr>
            <w:tcW w:w="3338" w:type="dxa"/>
            <w:tcBorders>
              <w:tl2br w:val="nil"/>
              <w:tr2bl w:val="nil"/>
            </w:tcBorders>
            <w:vAlign w:val="center"/>
          </w:tcPr>
          <w:p w14:paraId="23E705A1">
            <w:pPr>
              <w:pStyle w:val="58"/>
              <w:ind w:firstLine="440"/>
              <w:rPr>
                <w:color w:val="auto"/>
                <w:highlight w:val="none"/>
              </w:rPr>
            </w:pPr>
          </w:p>
        </w:tc>
      </w:tr>
    </w:tbl>
    <w:p w14:paraId="63D9926C">
      <w:pPr>
        <w:pStyle w:val="45"/>
        <w:spacing w:before="156"/>
        <w:ind w:firstLine="482"/>
        <w:rPr>
          <w:rFonts w:hint="eastAsia"/>
          <w:color w:val="auto"/>
          <w:highlight w:val="none"/>
        </w:rPr>
      </w:pPr>
      <w:r>
        <w:rPr>
          <w:rFonts w:hint="eastAsia"/>
          <w:b/>
          <w:bCs/>
          <w:color w:val="auto"/>
          <w:highlight w:val="none"/>
        </w:rPr>
        <w:t>符合性审查指标通过标准：</w:t>
      </w:r>
      <w:r>
        <w:rPr>
          <w:rFonts w:hint="eastAsia"/>
          <w:color w:val="auto"/>
          <w:highlight w:val="none"/>
          <w:lang w:eastAsia="zh-CN"/>
        </w:rPr>
        <w:t>供应商</w:t>
      </w:r>
      <w:r>
        <w:rPr>
          <w:rFonts w:hint="eastAsia"/>
          <w:color w:val="auto"/>
          <w:highlight w:val="none"/>
        </w:rPr>
        <w:t>必须通过符合性审查表中的全部评审指标。</w:t>
      </w:r>
    </w:p>
    <w:p w14:paraId="3B7EF11F">
      <w:pPr>
        <w:rPr>
          <w:rFonts w:hint="eastAsia"/>
          <w:color w:val="auto"/>
          <w:highlight w:val="none"/>
        </w:rPr>
      </w:pPr>
      <w:r>
        <w:rPr>
          <w:rFonts w:hint="eastAsia"/>
          <w:color w:val="auto"/>
          <w:highlight w:val="none"/>
        </w:rPr>
        <w:br w:type="page"/>
      </w:r>
    </w:p>
    <w:p w14:paraId="30E354FF">
      <w:pPr>
        <w:pStyle w:val="4"/>
        <w:spacing w:before="156"/>
        <w:jc w:val="center"/>
        <w:rPr>
          <w:rFonts w:hint="eastAsia"/>
          <w:color w:val="auto"/>
          <w:highlight w:val="none"/>
          <w:lang w:val="en-US" w:eastAsia="zh-CN"/>
        </w:rPr>
      </w:pPr>
      <w:bookmarkStart w:id="62" w:name="_Toc3262"/>
      <w:r>
        <w:rPr>
          <w:rFonts w:hint="eastAsia"/>
          <w:color w:val="auto"/>
          <w:highlight w:val="none"/>
        </w:rPr>
        <w:t>第</w:t>
      </w:r>
      <w:r>
        <w:rPr>
          <w:rFonts w:hint="eastAsia"/>
          <w:color w:val="auto"/>
          <w:highlight w:val="none"/>
          <w:lang w:val="en-US" w:eastAsia="zh-CN"/>
        </w:rPr>
        <w:t>三</w:t>
      </w:r>
      <w:r>
        <w:rPr>
          <w:rFonts w:hint="eastAsia"/>
          <w:color w:val="auto"/>
          <w:highlight w:val="none"/>
        </w:rPr>
        <w:t xml:space="preserve">节 </w:t>
      </w:r>
      <w:r>
        <w:rPr>
          <w:rFonts w:hint="eastAsia"/>
          <w:color w:val="auto"/>
          <w:highlight w:val="none"/>
          <w:lang w:val="en-US" w:eastAsia="zh-CN"/>
        </w:rPr>
        <w:t>报价</w:t>
      </w:r>
      <w:bookmarkEnd w:id="62"/>
    </w:p>
    <w:p w14:paraId="5B954748">
      <w:pPr>
        <w:pStyle w:val="45"/>
        <w:numPr>
          <w:ilvl w:val="0"/>
          <w:numId w:val="47"/>
        </w:numPr>
        <w:spacing w:before="156"/>
        <w:ind w:left="-62" w:leftChars="0" w:firstLine="482" w:firstLineChars="0"/>
        <w:textAlignment w:val="baseline"/>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本项目报价采用（减价）多轮报价方式，设置保留价（底价），根据报价情况，将不高于保留价的供应商按照报价由低到高的顺序推荐3名</w:t>
      </w:r>
      <w:r>
        <w:rPr>
          <w:rFonts w:hint="eastAsia" w:cs="Times New Roman"/>
          <w:b/>
          <w:bCs/>
          <w:color w:val="auto"/>
          <w:highlight w:val="none"/>
          <w:lang w:val="en-US" w:eastAsia="zh-CN"/>
        </w:rPr>
        <w:t>成交</w:t>
      </w:r>
      <w:r>
        <w:rPr>
          <w:rFonts w:hint="eastAsia" w:ascii="Times New Roman" w:hAnsi="Times New Roman" w:eastAsia="宋体" w:cs="Times New Roman"/>
          <w:b/>
          <w:bCs/>
          <w:color w:val="auto"/>
          <w:highlight w:val="none"/>
          <w:lang w:val="en-US" w:eastAsia="zh-CN"/>
        </w:rPr>
        <w:t>候选人，不足3个</w:t>
      </w:r>
      <w:r>
        <w:rPr>
          <w:rFonts w:hint="eastAsia" w:cs="Times New Roman"/>
          <w:b/>
          <w:bCs/>
          <w:color w:val="auto"/>
          <w:highlight w:val="none"/>
          <w:lang w:val="en-US" w:eastAsia="zh-CN"/>
        </w:rPr>
        <w:t>成交</w:t>
      </w:r>
      <w:r>
        <w:rPr>
          <w:rFonts w:hint="eastAsia" w:ascii="Times New Roman" w:hAnsi="Times New Roman" w:eastAsia="宋体" w:cs="Times New Roman"/>
          <w:b/>
          <w:bCs/>
          <w:color w:val="auto"/>
          <w:highlight w:val="none"/>
          <w:lang w:val="en-US" w:eastAsia="zh-CN"/>
        </w:rPr>
        <w:t>候选人的，按实际个数推荐。</w:t>
      </w:r>
    </w:p>
    <w:p w14:paraId="72850A0B">
      <w:pPr>
        <w:pStyle w:val="45"/>
        <w:numPr>
          <w:ilvl w:val="0"/>
          <w:numId w:val="47"/>
        </w:numPr>
        <w:spacing w:before="156"/>
        <w:ind w:left="-62" w:leftChars="0" w:firstLine="482" w:firstLineChars="0"/>
        <w:textAlignment w:val="baseline"/>
        <w:rPr>
          <w:rFonts w:hint="default"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报价基本情况</w:t>
      </w:r>
    </w:p>
    <w:tbl>
      <w:tblPr>
        <w:tblStyle w:val="34"/>
        <w:tblW w:w="100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2"/>
        <w:gridCol w:w="2237"/>
        <w:gridCol w:w="2192"/>
        <w:gridCol w:w="1680"/>
        <w:gridCol w:w="2259"/>
        <w:gridCol w:w="840"/>
      </w:tblGrid>
      <w:tr w14:paraId="5978219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98" w:hRule="atLeast"/>
        </w:trPr>
        <w:tc>
          <w:tcPr>
            <w:tcW w:w="862" w:type="dxa"/>
            <w:tcBorders>
              <w:right w:val="single" w:color="auto" w:sz="4" w:space="0"/>
              <w:tl2br w:val="nil"/>
              <w:tr2bl w:val="nil"/>
            </w:tcBorders>
            <w:shd w:val="pct10" w:color="ADB9CA" w:fill="D6DCE5"/>
            <w:tcMar>
              <w:top w:w="0" w:type="dxa"/>
              <w:left w:w="84" w:type="dxa"/>
              <w:bottom w:w="0" w:type="dxa"/>
              <w:right w:w="84" w:type="dxa"/>
            </w:tcMar>
            <w:vAlign w:val="center"/>
          </w:tcPr>
          <w:p w14:paraId="0688B48C">
            <w:pPr>
              <w:pStyle w:val="48"/>
              <w:rPr>
                <w:rFonts w:hint="eastAsia" w:eastAsia="微软雅黑"/>
                <w:color w:val="auto"/>
                <w:highlight w:val="none"/>
                <w:lang w:val="en-US" w:eastAsia="zh-CN"/>
              </w:rPr>
            </w:pPr>
            <w:r>
              <w:rPr>
                <w:rFonts w:hint="eastAsia"/>
                <w:color w:val="auto"/>
                <w:highlight w:val="none"/>
                <w:lang w:val="en-US" w:eastAsia="zh-CN"/>
              </w:rPr>
              <w:t>包名</w:t>
            </w:r>
          </w:p>
        </w:tc>
        <w:tc>
          <w:tcPr>
            <w:tcW w:w="2237" w:type="dxa"/>
            <w:tcBorders>
              <w:left w:val="single" w:color="auto" w:sz="4" w:space="0"/>
              <w:tl2br w:val="nil"/>
              <w:tr2bl w:val="nil"/>
            </w:tcBorders>
            <w:shd w:val="pct10" w:color="ADB9CA" w:fill="D6DCE5"/>
            <w:tcMar>
              <w:top w:w="0" w:type="dxa"/>
              <w:left w:w="84" w:type="dxa"/>
              <w:bottom w:w="0" w:type="dxa"/>
              <w:right w:w="84" w:type="dxa"/>
            </w:tcMar>
            <w:vAlign w:val="center"/>
          </w:tcPr>
          <w:p w14:paraId="1C069D3A">
            <w:pPr>
              <w:pStyle w:val="48"/>
              <w:rPr>
                <w:rFonts w:hint="default"/>
                <w:color w:val="auto"/>
                <w:highlight w:val="none"/>
                <w:lang w:val="en-US" w:eastAsia="zh-CN"/>
              </w:rPr>
            </w:pPr>
            <w:r>
              <w:rPr>
                <w:rFonts w:hint="eastAsia"/>
                <w:color w:val="auto"/>
                <w:highlight w:val="none"/>
                <w:lang w:val="en-US" w:eastAsia="zh-CN"/>
              </w:rPr>
              <w:t>标的名称</w:t>
            </w:r>
          </w:p>
        </w:tc>
        <w:tc>
          <w:tcPr>
            <w:tcW w:w="2192" w:type="dxa"/>
            <w:tcBorders>
              <w:tl2br w:val="nil"/>
              <w:tr2bl w:val="nil"/>
            </w:tcBorders>
            <w:shd w:val="pct10" w:color="ADB9CA" w:fill="D6DCE5"/>
            <w:tcMar>
              <w:top w:w="0" w:type="dxa"/>
              <w:left w:w="84" w:type="dxa"/>
              <w:bottom w:w="0" w:type="dxa"/>
              <w:right w:w="84" w:type="dxa"/>
            </w:tcMar>
            <w:vAlign w:val="center"/>
          </w:tcPr>
          <w:p w14:paraId="05608F45">
            <w:pPr>
              <w:pStyle w:val="48"/>
              <w:rPr>
                <w:color w:val="auto"/>
                <w:highlight w:val="none"/>
              </w:rPr>
            </w:pPr>
            <w:r>
              <w:rPr>
                <w:rFonts w:hint="eastAsia"/>
                <w:color w:val="auto"/>
                <w:highlight w:val="none"/>
                <w:lang w:val="en-US" w:eastAsia="zh-CN"/>
              </w:rPr>
              <w:t>报价</w:t>
            </w:r>
            <w:r>
              <w:rPr>
                <w:rFonts w:hint="eastAsia"/>
                <w:color w:val="auto"/>
                <w:highlight w:val="none"/>
              </w:rPr>
              <w:t>起始价（元）</w:t>
            </w:r>
          </w:p>
        </w:tc>
        <w:tc>
          <w:tcPr>
            <w:tcW w:w="1680" w:type="dxa"/>
            <w:tcBorders>
              <w:tl2br w:val="nil"/>
              <w:tr2bl w:val="nil"/>
            </w:tcBorders>
            <w:shd w:val="pct10" w:color="ADB9CA" w:fill="D6DCE5"/>
            <w:tcMar>
              <w:top w:w="0" w:type="dxa"/>
              <w:left w:w="84" w:type="dxa"/>
              <w:bottom w:w="0" w:type="dxa"/>
              <w:right w:w="84" w:type="dxa"/>
            </w:tcMar>
            <w:vAlign w:val="center"/>
          </w:tcPr>
          <w:p w14:paraId="1691A19E">
            <w:pPr>
              <w:pStyle w:val="48"/>
              <w:rPr>
                <w:color w:val="auto"/>
                <w:highlight w:val="none"/>
              </w:rPr>
            </w:pPr>
            <w:r>
              <w:rPr>
                <w:rFonts w:hint="eastAsia"/>
                <w:color w:val="auto"/>
                <w:highlight w:val="none"/>
              </w:rPr>
              <w:t>保证金（元）</w:t>
            </w:r>
          </w:p>
        </w:tc>
        <w:tc>
          <w:tcPr>
            <w:tcW w:w="2259" w:type="dxa"/>
            <w:tcBorders>
              <w:tl2br w:val="nil"/>
              <w:tr2bl w:val="nil"/>
            </w:tcBorders>
            <w:shd w:val="pct10" w:color="ADB9CA" w:fill="D6DCE5"/>
            <w:tcMar>
              <w:top w:w="0" w:type="dxa"/>
              <w:left w:w="84" w:type="dxa"/>
              <w:bottom w:w="0" w:type="dxa"/>
              <w:right w:w="84" w:type="dxa"/>
            </w:tcMar>
            <w:vAlign w:val="center"/>
          </w:tcPr>
          <w:p w14:paraId="2E5EFE58">
            <w:pPr>
              <w:pStyle w:val="48"/>
              <w:rPr>
                <w:color w:val="auto"/>
                <w:highlight w:val="none"/>
              </w:rPr>
            </w:pPr>
            <w:r>
              <w:rPr>
                <w:rFonts w:hint="eastAsia"/>
                <w:color w:val="auto"/>
                <w:highlight w:val="none"/>
                <w:lang w:val="en-US" w:eastAsia="zh-CN"/>
              </w:rPr>
              <w:t>报价</w:t>
            </w:r>
            <w:r>
              <w:rPr>
                <w:rFonts w:hint="eastAsia"/>
                <w:color w:val="auto"/>
                <w:highlight w:val="none"/>
              </w:rPr>
              <w:t>（减价）幅度（元）</w:t>
            </w:r>
          </w:p>
        </w:tc>
        <w:tc>
          <w:tcPr>
            <w:tcW w:w="840" w:type="dxa"/>
            <w:tcBorders>
              <w:tl2br w:val="nil"/>
              <w:tr2bl w:val="nil"/>
            </w:tcBorders>
            <w:shd w:val="pct10" w:color="ADB9CA" w:fill="D6DCE5"/>
            <w:tcMar>
              <w:top w:w="0" w:type="dxa"/>
              <w:left w:w="84" w:type="dxa"/>
              <w:bottom w:w="0" w:type="dxa"/>
              <w:right w:w="84" w:type="dxa"/>
            </w:tcMar>
            <w:vAlign w:val="center"/>
          </w:tcPr>
          <w:p w14:paraId="1D2BB02A">
            <w:pPr>
              <w:pStyle w:val="48"/>
              <w:rPr>
                <w:color w:val="auto"/>
                <w:highlight w:val="none"/>
              </w:rPr>
            </w:pPr>
            <w:r>
              <w:rPr>
                <w:rFonts w:hint="eastAsia"/>
                <w:color w:val="auto"/>
                <w:highlight w:val="none"/>
              </w:rPr>
              <w:t>备注</w:t>
            </w:r>
          </w:p>
        </w:tc>
      </w:tr>
      <w:tr w14:paraId="610E3AF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929" w:hRule="atLeast"/>
        </w:trPr>
        <w:tc>
          <w:tcPr>
            <w:tcW w:w="862" w:type="dxa"/>
            <w:tcBorders>
              <w:right w:val="single" w:color="auto" w:sz="4" w:space="0"/>
              <w:tl2br w:val="nil"/>
              <w:tr2bl w:val="nil"/>
            </w:tcBorders>
            <w:shd w:val="clear" w:color="auto" w:fill="auto"/>
            <w:tcMar>
              <w:top w:w="0" w:type="dxa"/>
              <w:left w:w="84" w:type="dxa"/>
              <w:bottom w:w="0" w:type="dxa"/>
              <w:right w:w="84" w:type="dxa"/>
            </w:tcMar>
            <w:vAlign w:val="center"/>
          </w:tcPr>
          <w:p w14:paraId="3E693B98">
            <w:pPr>
              <w:pStyle w:val="48"/>
              <w:spacing w:line="240" w:lineRule="auto"/>
              <w:rPr>
                <w:rFonts w:hint="eastAsia"/>
                <w:color w:val="auto"/>
                <w:highlight w:val="none"/>
                <w:lang w:val="en-US" w:eastAsia="zh-CN"/>
              </w:rPr>
            </w:pPr>
            <w:r>
              <w:rPr>
                <w:rFonts w:hint="eastAsia" w:ascii="Arial Narrow" w:hAnsi="Arial Narrow" w:eastAsia="宋体" w:cs="宋体"/>
                <w:kern w:val="2"/>
                <w:sz w:val="24"/>
                <w:szCs w:val="22"/>
                <w:u w:val="none"/>
                <w:lang w:val="en-US" w:eastAsia="zh-CN" w:bidi="ar-SA"/>
              </w:rPr>
              <w:t>包1</w:t>
            </w:r>
          </w:p>
        </w:tc>
        <w:tc>
          <w:tcPr>
            <w:tcW w:w="2237" w:type="dxa"/>
            <w:tcBorders>
              <w:left w:val="single" w:color="auto" w:sz="4" w:space="0"/>
              <w:tl2br w:val="nil"/>
              <w:tr2bl w:val="nil"/>
            </w:tcBorders>
            <w:tcMar>
              <w:top w:w="0" w:type="dxa"/>
              <w:left w:w="84" w:type="dxa"/>
              <w:bottom w:w="0" w:type="dxa"/>
              <w:right w:w="84" w:type="dxa"/>
            </w:tcMar>
            <w:vAlign w:val="center"/>
          </w:tcPr>
          <w:p w14:paraId="3E6487A1">
            <w:pPr>
              <w:pStyle w:val="58"/>
              <w:keepNext w:val="0"/>
              <w:keepLines w:val="0"/>
              <w:pageBreakBefore w:val="0"/>
              <w:widowControl/>
              <w:numPr>
                <w:ilvl w:val="0"/>
                <w:numId w:val="0"/>
              </w:numPr>
              <w:tabs>
                <w:tab w:val="clear" w:pos="0"/>
              </w:tabs>
              <w:kinsoku/>
              <w:wordWrap/>
              <w:overflowPunct/>
              <w:topLinePunct w:val="0"/>
              <w:autoSpaceDE/>
              <w:autoSpaceDN/>
              <w:bidi w:val="0"/>
              <w:adjustRightInd/>
              <w:snapToGrid/>
              <w:spacing w:line="300" w:lineRule="exact"/>
              <w:ind w:left="0" w:leftChars="0" w:right="-55" w:rightChars="-23" w:firstLine="0" w:firstLineChars="0"/>
              <w:jc w:val="center"/>
              <w:textAlignment w:val="auto"/>
              <w:rPr>
                <w:rFonts w:hint="eastAsia" w:ascii="Arial Narrow" w:hAnsi="Arial Narrow" w:eastAsia="宋体" w:cs="宋体"/>
                <w:color w:val="auto"/>
                <w:kern w:val="2"/>
                <w:sz w:val="24"/>
                <w:szCs w:val="22"/>
                <w:highlight w:val="none"/>
                <w:lang w:val="en-US" w:eastAsia="zh-CN" w:bidi="ar-SA"/>
              </w:rPr>
            </w:pPr>
            <w:r>
              <w:rPr>
                <w:rFonts w:hint="eastAsia" w:ascii="Arial Narrow" w:hAnsi="Arial Narrow" w:eastAsia="宋体" w:cs="宋体"/>
                <w:kern w:val="2"/>
                <w:sz w:val="24"/>
                <w:szCs w:val="22"/>
                <w:lang w:val="en-US" w:eastAsia="zh-CN" w:bidi="ar-SA"/>
              </w:rPr>
              <w:t>第十一届全省少数民族传统运动会自动除颤器（AED）采购项目</w:t>
            </w:r>
          </w:p>
        </w:tc>
        <w:tc>
          <w:tcPr>
            <w:tcW w:w="2192" w:type="dxa"/>
            <w:tcBorders>
              <w:tl2br w:val="nil"/>
              <w:tr2bl w:val="nil"/>
            </w:tcBorders>
            <w:tcMar>
              <w:top w:w="0" w:type="dxa"/>
              <w:left w:w="84" w:type="dxa"/>
              <w:bottom w:w="0" w:type="dxa"/>
              <w:right w:w="84" w:type="dxa"/>
            </w:tcMar>
            <w:vAlign w:val="center"/>
          </w:tcPr>
          <w:p w14:paraId="5907B45D">
            <w:pPr>
              <w:pStyle w:val="48"/>
              <w:rPr>
                <w:rFonts w:hint="eastAsia" w:ascii="Times New Roman" w:hAnsi="Times New Roman" w:eastAsia="宋体" w:cs="Times New Roman"/>
                <w:color w:val="auto"/>
                <w:kern w:val="2"/>
                <w:sz w:val="24"/>
                <w:szCs w:val="22"/>
                <w:highlight w:val="none"/>
                <w:u w:val="none"/>
                <w:lang w:val="en-US" w:eastAsia="zh-CN" w:bidi="ar-SA"/>
              </w:rPr>
            </w:pPr>
            <w:r>
              <w:rPr>
                <w:rFonts w:hint="eastAsia" w:cs="Times New Roman"/>
                <w:b/>
                <w:bCs w:val="0"/>
                <w:color w:val="auto"/>
                <w:highlight w:val="none"/>
                <w:lang w:val="en-US" w:eastAsia="zh-CN"/>
              </w:rPr>
              <w:t>546000.00</w:t>
            </w:r>
          </w:p>
        </w:tc>
        <w:tc>
          <w:tcPr>
            <w:tcW w:w="1680" w:type="dxa"/>
            <w:tcBorders>
              <w:tl2br w:val="nil"/>
              <w:tr2bl w:val="nil"/>
            </w:tcBorders>
            <w:tcMar>
              <w:top w:w="0" w:type="dxa"/>
              <w:left w:w="84" w:type="dxa"/>
              <w:bottom w:w="0" w:type="dxa"/>
              <w:right w:w="84" w:type="dxa"/>
            </w:tcMar>
            <w:vAlign w:val="center"/>
          </w:tcPr>
          <w:p w14:paraId="0A715A1A">
            <w:pPr>
              <w:pageBreakBefore w:val="0"/>
              <w:kinsoku/>
              <w:wordWrap/>
              <w:overflowPunct/>
              <w:topLinePunct w:val="0"/>
              <w:autoSpaceDE/>
              <w:autoSpaceDN/>
              <w:bidi w:val="0"/>
              <w:ind w:left="0" w:leftChars="0"/>
              <w:jc w:val="center"/>
              <w:rPr>
                <w:rFonts w:hint="eastAsia"/>
                <w:b w:val="0"/>
                <w:bCs/>
                <w:color w:val="auto"/>
                <w:highlight w:val="none"/>
                <w:lang w:val="en-US" w:eastAsia="zh-CN"/>
              </w:rPr>
            </w:pPr>
            <w:r>
              <w:rPr>
                <w:rFonts w:hint="eastAsia"/>
                <w:b/>
                <w:bCs w:val="0"/>
                <w:color w:val="auto"/>
                <w:highlight w:val="none"/>
                <w:u w:val="none"/>
                <w:lang w:val="en-US" w:eastAsia="zh-CN"/>
              </w:rPr>
              <w:t>1</w:t>
            </w:r>
          </w:p>
        </w:tc>
        <w:tc>
          <w:tcPr>
            <w:tcW w:w="2259" w:type="dxa"/>
            <w:tcBorders>
              <w:tl2br w:val="nil"/>
              <w:tr2bl w:val="nil"/>
            </w:tcBorders>
            <w:tcMar>
              <w:top w:w="0" w:type="dxa"/>
              <w:left w:w="84" w:type="dxa"/>
              <w:bottom w:w="0" w:type="dxa"/>
              <w:right w:w="84" w:type="dxa"/>
            </w:tcMar>
            <w:vAlign w:val="center"/>
          </w:tcPr>
          <w:p w14:paraId="29804A63">
            <w:pPr>
              <w:pStyle w:val="48"/>
              <w:pageBreakBefore w:val="0"/>
              <w:kinsoku/>
              <w:wordWrap/>
              <w:overflowPunct/>
              <w:topLinePunct w:val="0"/>
              <w:autoSpaceDE/>
              <w:autoSpaceDN/>
              <w:bidi w:val="0"/>
              <w:ind w:left="0" w:leftChars="0"/>
              <w:jc w:val="center"/>
              <w:rPr>
                <w:rFonts w:hint="eastAsia"/>
                <w:b w:val="0"/>
                <w:bCs/>
                <w:color w:val="auto"/>
                <w:highlight w:val="none"/>
                <w:lang w:val="en-US" w:eastAsia="zh-CN"/>
              </w:rPr>
            </w:pPr>
            <w:r>
              <w:rPr>
                <w:rFonts w:hint="eastAsia"/>
                <w:b/>
                <w:bCs w:val="0"/>
                <w:color w:val="auto"/>
                <w:highlight w:val="none"/>
                <w:lang w:val="en-US" w:eastAsia="zh-CN"/>
              </w:rPr>
              <w:t>5500及其整数倍</w:t>
            </w:r>
          </w:p>
        </w:tc>
        <w:tc>
          <w:tcPr>
            <w:tcW w:w="840" w:type="dxa"/>
            <w:tcBorders>
              <w:tl2br w:val="nil"/>
              <w:tr2bl w:val="nil"/>
            </w:tcBorders>
            <w:tcMar>
              <w:top w:w="0" w:type="dxa"/>
              <w:left w:w="84" w:type="dxa"/>
              <w:bottom w:w="0" w:type="dxa"/>
              <w:right w:w="84" w:type="dxa"/>
            </w:tcMar>
            <w:vAlign w:val="center"/>
          </w:tcPr>
          <w:p w14:paraId="1D90C6EA">
            <w:pPr>
              <w:pStyle w:val="48"/>
              <w:rPr>
                <w:b w:val="0"/>
                <w:bCs/>
                <w:color w:val="auto"/>
                <w:highlight w:val="none"/>
              </w:rPr>
            </w:pPr>
          </w:p>
        </w:tc>
      </w:tr>
    </w:tbl>
    <w:p w14:paraId="7CAE236D">
      <w:pPr>
        <w:pStyle w:val="45"/>
        <w:numPr>
          <w:ilvl w:val="0"/>
          <w:numId w:val="47"/>
        </w:numPr>
        <w:spacing w:before="156"/>
        <w:ind w:left="-62" w:leftChars="0" w:firstLine="482" w:firstLineChars="0"/>
        <w:textAlignment w:val="baseline"/>
        <w:rPr>
          <w:rFonts w:hint="eastAsia" w:ascii="Times New Roman" w:hAnsi="Times New Roman"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报价时间安排</w:t>
      </w:r>
    </w:p>
    <w:p w14:paraId="29AD5FE9">
      <w:pPr>
        <w:pStyle w:val="45"/>
        <w:keepNext w:val="0"/>
        <w:keepLines w:val="0"/>
        <w:pageBreakBefore w:val="0"/>
        <w:widowControl w:val="0"/>
        <w:numPr>
          <w:ilvl w:val="0"/>
          <w:numId w:val="48"/>
        </w:numPr>
        <w:kinsoku/>
        <w:wordWrap/>
        <w:overflowPunct/>
        <w:topLinePunct w:val="0"/>
        <w:autoSpaceDE/>
        <w:autoSpaceDN/>
        <w:bidi w:val="0"/>
        <w:spacing w:before="156"/>
        <w:ind w:left="0" w:leftChars="0" w:firstLine="425" w:firstLineChars="0"/>
        <w:textAlignment w:val="auto"/>
        <w:rPr>
          <w:color w:val="auto"/>
          <w:highlight w:val="none"/>
        </w:rPr>
      </w:pPr>
      <w:r>
        <w:rPr>
          <w:rFonts w:hint="eastAsia"/>
          <w:color w:val="auto"/>
          <w:highlight w:val="none"/>
        </w:rPr>
        <w:t>自由</w:t>
      </w:r>
      <w:r>
        <w:rPr>
          <w:rFonts w:hint="eastAsia"/>
          <w:color w:val="auto"/>
          <w:highlight w:val="none"/>
          <w:lang w:val="en-US" w:eastAsia="zh-CN"/>
        </w:rPr>
        <w:t>报价</w:t>
      </w:r>
      <w:r>
        <w:rPr>
          <w:rFonts w:hint="eastAsia"/>
          <w:color w:val="auto"/>
          <w:highlight w:val="none"/>
        </w:rPr>
        <w:t>开始时间：</w:t>
      </w:r>
      <w:r>
        <w:rPr>
          <w:rFonts w:hint="eastAsia"/>
          <w:color w:val="auto"/>
          <w:highlight w:val="yellow"/>
          <w:u w:val="single"/>
        </w:rPr>
        <w:t xml:space="preserve"> </w:t>
      </w:r>
      <w:r>
        <w:rPr>
          <w:rFonts w:hint="eastAsia"/>
          <w:color w:val="auto"/>
          <w:highlight w:val="yellow"/>
          <w:u w:val="single"/>
          <w:lang w:eastAsia="zh-CN"/>
        </w:rPr>
        <w:t>202</w:t>
      </w:r>
      <w:r>
        <w:rPr>
          <w:rFonts w:hint="eastAsia"/>
          <w:color w:val="auto"/>
          <w:highlight w:val="yellow"/>
          <w:u w:val="single"/>
          <w:lang w:val="en-US" w:eastAsia="zh-CN"/>
        </w:rPr>
        <w:t>6</w:t>
      </w:r>
      <w:r>
        <w:rPr>
          <w:rFonts w:hint="eastAsia"/>
          <w:color w:val="auto"/>
          <w:highlight w:val="yellow"/>
          <w:u w:val="single"/>
        </w:rPr>
        <w:t xml:space="preserve"> </w:t>
      </w:r>
      <w:r>
        <w:rPr>
          <w:rFonts w:hint="eastAsia"/>
          <w:color w:val="auto"/>
          <w:highlight w:val="yellow"/>
        </w:rPr>
        <w:t>年</w:t>
      </w:r>
      <w:r>
        <w:rPr>
          <w:rFonts w:hint="eastAsia"/>
          <w:color w:val="auto"/>
          <w:highlight w:val="yellow"/>
          <w:u w:val="single"/>
          <w:lang w:val="en-US" w:eastAsia="zh-CN"/>
        </w:rPr>
        <w:t>10</w:t>
      </w:r>
      <w:r>
        <w:rPr>
          <w:rFonts w:hint="eastAsia"/>
          <w:color w:val="auto"/>
          <w:highlight w:val="yellow"/>
        </w:rPr>
        <w:t>月</w:t>
      </w:r>
      <w:r>
        <w:rPr>
          <w:rFonts w:hint="eastAsia"/>
          <w:color w:val="auto"/>
          <w:highlight w:val="yellow"/>
          <w:u w:val="single"/>
          <w:lang w:val="en-US" w:eastAsia="zh-CN"/>
        </w:rPr>
        <w:t>10</w:t>
      </w:r>
      <w:r>
        <w:rPr>
          <w:rFonts w:hint="eastAsia"/>
          <w:color w:val="auto"/>
          <w:highlight w:val="yellow"/>
        </w:rPr>
        <w:t>日</w:t>
      </w:r>
      <w:r>
        <w:rPr>
          <w:rFonts w:hint="eastAsia"/>
          <w:color w:val="auto"/>
          <w:highlight w:val="none"/>
        </w:rPr>
        <w:t>（备注：经</w:t>
      </w:r>
      <w:r>
        <w:rPr>
          <w:rFonts w:hint="eastAsia"/>
          <w:color w:val="auto"/>
          <w:highlight w:val="none"/>
          <w:lang w:val="en-US" w:eastAsia="zh-CN"/>
        </w:rPr>
        <w:t>资格审查和符合性审查</w:t>
      </w:r>
      <w:r>
        <w:rPr>
          <w:rFonts w:hint="eastAsia"/>
          <w:color w:val="auto"/>
          <w:highlight w:val="none"/>
        </w:rPr>
        <w:t>通过后由系统颁发资格证书进行</w:t>
      </w:r>
      <w:r>
        <w:rPr>
          <w:rFonts w:hint="eastAsia"/>
          <w:color w:val="auto"/>
          <w:highlight w:val="none"/>
          <w:lang w:val="en-US" w:eastAsia="zh-CN"/>
        </w:rPr>
        <w:t>报价</w:t>
      </w:r>
      <w:r>
        <w:rPr>
          <w:rFonts w:hint="eastAsia"/>
          <w:color w:val="auto"/>
          <w:highlight w:val="none"/>
        </w:rPr>
        <w:t>）。</w:t>
      </w:r>
    </w:p>
    <w:p w14:paraId="10FB1B0C">
      <w:pPr>
        <w:pStyle w:val="45"/>
        <w:keepNext w:val="0"/>
        <w:keepLines w:val="0"/>
        <w:pageBreakBefore w:val="0"/>
        <w:widowControl w:val="0"/>
        <w:numPr>
          <w:ilvl w:val="0"/>
          <w:numId w:val="48"/>
        </w:numPr>
        <w:kinsoku/>
        <w:wordWrap/>
        <w:overflowPunct/>
        <w:topLinePunct w:val="0"/>
        <w:autoSpaceDE/>
        <w:autoSpaceDN/>
        <w:bidi w:val="0"/>
        <w:spacing w:before="156"/>
        <w:ind w:left="0" w:leftChars="0" w:firstLine="425" w:firstLineChars="0"/>
        <w:textAlignment w:val="auto"/>
        <w:rPr>
          <w:color w:val="auto"/>
          <w:highlight w:val="none"/>
        </w:rPr>
      </w:pPr>
      <w:r>
        <w:rPr>
          <w:rFonts w:hint="eastAsia"/>
          <w:color w:val="auto"/>
          <w:highlight w:val="none"/>
        </w:rPr>
        <w:t>限时</w:t>
      </w:r>
      <w:r>
        <w:rPr>
          <w:rFonts w:hint="eastAsia"/>
          <w:color w:val="auto"/>
          <w:highlight w:val="none"/>
          <w:lang w:eastAsia="zh-CN"/>
        </w:rPr>
        <w:t>报价</w:t>
      </w:r>
      <w:r>
        <w:rPr>
          <w:rFonts w:hint="eastAsia"/>
          <w:color w:val="auto"/>
          <w:highlight w:val="none"/>
        </w:rPr>
        <w:t>开始时间：</w:t>
      </w:r>
      <w:r>
        <w:rPr>
          <w:rFonts w:hint="eastAsia"/>
          <w:color w:val="auto"/>
          <w:highlight w:val="none"/>
          <w:u w:val="none"/>
          <w:lang w:val="en-US" w:eastAsia="zh-CN"/>
        </w:rPr>
        <w:t>开始时间</w:t>
      </w:r>
      <w:r>
        <w:rPr>
          <w:rFonts w:hint="eastAsia"/>
          <w:color w:val="auto"/>
          <w:highlight w:val="yellow"/>
          <w:u w:val="none"/>
          <w:lang w:eastAsia="zh-CN"/>
        </w:rPr>
        <w:t>202</w:t>
      </w:r>
      <w:r>
        <w:rPr>
          <w:rFonts w:hint="eastAsia"/>
          <w:color w:val="auto"/>
          <w:highlight w:val="yellow"/>
          <w:u w:val="none"/>
          <w:lang w:val="en-US" w:eastAsia="zh-CN"/>
        </w:rPr>
        <w:t>6</w:t>
      </w:r>
      <w:r>
        <w:rPr>
          <w:rFonts w:hint="eastAsia"/>
          <w:color w:val="auto"/>
          <w:highlight w:val="yellow"/>
          <w:u w:val="none"/>
        </w:rPr>
        <w:t>年</w:t>
      </w:r>
      <w:r>
        <w:rPr>
          <w:rFonts w:hint="eastAsia"/>
          <w:color w:val="auto"/>
          <w:highlight w:val="yellow"/>
          <w:u w:val="none"/>
          <w:lang w:val="en-US" w:eastAsia="zh-CN"/>
        </w:rPr>
        <w:t>10</w:t>
      </w:r>
      <w:r>
        <w:rPr>
          <w:rFonts w:hint="eastAsia"/>
          <w:color w:val="auto"/>
          <w:highlight w:val="yellow"/>
          <w:u w:val="none"/>
        </w:rPr>
        <w:t>月</w:t>
      </w:r>
      <w:r>
        <w:rPr>
          <w:rFonts w:hint="eastAsia"/>
          <w:color w:val="auto"/>
          <w:highlight w:val="yellow"/>
          <w:u w:val="none"/>
          <w:lang w:val="en-US" w:eastAsia="zh-CN"/>
        </w:rPr>
        <w:t>10</w:t>
      </w:r>
      <w:r>
        <w:rPr>
          <w:rFonts w:hint="eastAsia"/>
          <w:color w:val="auto"/>
          <w:highlight w:val="yellow"/>
          <w:u w:val="none"/>
        </w:rPr>
        <w:t>日</w:t>
      </w:r>
      <w:r>
        <w:rPr>
          <w:rFonts w:hint="eastAsia"/>
          <w:color w:val="auto"/>
          <w:highlight w:val="yellow"/>
          <w:u w:val="none"/>
          <w:lang w:val="en-US" w:eastAsia="zh-CN"/>
        </w:rPr>
        <w:t>15:00时</w:t>
      </w:r>
      <w:r>
        <w:rPr>
          <w:rFonts w:hint="eastAsia"/>
          <w:color w:val="auto"/>
          <w:highlight w:val="none"/>
        </w:rPr>
        <w:t>。</w:t>
      </w:r>
    </w:p>
    <w:p w14:paraId="5CDE6A81">
      <w:pPr>
        <w:rPr>
          <w:color w:val="auto"/>
          <w:highlight w:val="none"/>
        </w:rPr>
      </w:pPr>
    </w:p>
    <w:p w14:paraId="75136220">
      <w:pPr>
        <w:pStyle w:val="19"/>
        <w:ind w:firstLine="480"/>
        <w:rPr>
          <w:color w:val="auto"/>
          <w:highlight w:val="none"/>
        </w:rPr>
        <w:sectPr>
          <w:pgSz w:w="11906" w:h="16838"/>
          <w:pgMar w:top="1440" w:right="1080" w:bottom="1440" w:left="1080"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006115C9">
      <w:pPr>
        <w:pStyle w:val="3"/>
        <w:numPr>
          <w:ilvl w:val="0"/>
          <w:numId w:val="0"/>
        </w:numPr>
        <w:bidi w:val="0"/>
        <w:jc w:val="center"/>
        <w:rPr>
          <w:color w:val="auto"/>
          <w:highlight w:val="none"/>
        </w:rPr>
      </w:pPr>
      <w:bookmarkStart w:id="63" w:name="_Toc26312"/>
      <w:bookmarkStart w:id="64" w:name="_Toc6985"/>
      <w:bookmarkStart w:id="65" w:name="_Toc25314"/>
      <w:r>
        <w:rPr>
          <w:color w:val="auto"/>
          <w:highlight w:val="none"/>
        </w:rPr>
        <w:t xml:space="preserve">第五章 </w:t>
      </w:r>
      <w:bookmarkEnd w:id="63"/>
      <w:bookmarkEnd w:id="64"/>
      <w:bookmarkEnd w:id="65"/>
      <w:bookmarkStart w:id="66" w:name="_Toc17943"/>
      <w:bookmarkStart w:id="67" w:name="_Toc22669"/>
      <w:bookmarkStart w:id="68" w:name="_Toc2635"/>
      <w:r>
        <w:rPr>
          <w:rFonts w:hint="eastAsia"/>
          <w:color w:val="auto"/>
          <w:highlight w:val="none"/>
        </w:rPr>
        <w:t>政府采购合同</w:t>
      </w:r>
      <w:bookmarkEnd w:id="66"/>
    </w:p>
    <w:p w14:paraId="5A507BF5">
      <w:pPr>
        <w:pStyle w:val="4"/>
        <w:jc w:val="center"/>
        <w:rPr>
          <w:rFonts w:hint="eastAsia"/>
          <w:color w:val="auto"/>
          <w:highlight w:val="none"/>
        </w:rPr>
      </w:pPr>
      <w:bookmarkStart w:id="69" w:name="_Toc19561"/>
      <w:bookmarkStart w:id="70" w:name="_Toc17615"/>
      <w:bookmarkStart w:id="71" w:name="_Toc23400"/>
    </w:p>
    <w:p w14:paraId="2183EDFE">
      <w:pPr>
        <w:pStyle w:val="4"/>
        <w:jc w:val="center"/>
        <w:rPr>
          <w:color w:val="auto"/>
          <w:highlight w:val="none"/>
        </w:rPr>
      </w:pPr>
      <w:r>
        <w:rPr>
          <w:rFonts w:hint="eastAsia"/>
          <w:color w:val="auto"/>
          <w:highlight w:val="none"/>
        </w:rPr>
        <w:t>第一部分</w:t>
      </w:r>
      <w:r>
        <w:rPr>
          <w:color w:val="auto"/>
          <w:highlight w:val="none"/>
        </w:rPr>
        <w:t xml:space="preserve"> </w:t>
      </w:r>
      <w:r>
        <w:rPr>
          <w:rFonts w:hint="eastAsia"/>
          <w:color w:val="auto"/>
          <w:highlight w:val="none"/>
        </w:rPr>
        <w:t>合同书</w:t>
      </w:r>
      <w:bookmarkEnd w:id="69"/>
      <w:bookmarkEnd w:id="70"/>
      <w:bookmarkEnd w:id="71"/>
    </w:p>
    <w:p w14:paraId="36681B59">
      <w:pPr>
        <w:rPr>
          <w:color w:val="auto"/>
          <w:highlight w:val="none"/>
        </w:rPr>
      </w:pPr>
    </w:p>
    <w:tbl>
      <w:tblPr>
        <w:tblStyle w:val="34"/>
        <w:tblW w:w="9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
        <w:gridCol w:w="2889"/>
        <w:gridCol w:w="240"/>
        <w:gridCol w:w="6087"/>
        <w:gridCol w:w="264"/>
      </w:tblGrid>
      <w:tr w14:paraId="5E0AE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9720" w:type="dxa"/>
            <w:gridSpan w:val="5"/>
            <w:tcBorders>
              <w:top w:val="nil"/>
              <w:left w:val="nil"/>
              <w:bottom w:val="nil"/>
              <w:right w:val="nil"/>
            </w:tcBorders>
            <w:noWrap w:val="0"/>
            <w:vAlign w:val="top"/>
          </w:tcPr>
          <w:p w14:paraId="67C428BB">
            <w:pPr>
              <w:pStyle w:val="19"/>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ascii="Times New Roman" w:hAnsi="Times New Roman"/>
                <w:b/>
                <w:color w:val="auto"/>
              </w:rPr>
            </w:pPr>
            <w:bookmarkStart w:id="72" w:name="_Toc18902"/>
          </w:p>
        </w:tc>
      </w:tr>
      <w:tr w14:paraId="6FC51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0" w:type="dxa"/>
            <w:gridSpan w:val="5"/>
            <w:tcBorders>
              <w:top w:val="nil"/>
              <w:left w:val="nil"/>
              <w:bottom w:val="nil"/>
              <w:right w:val="nil"/>
            </w:tcBorders>
            <w:noWrap w:val="0"/>
            <w:vAlign w:val="top"/>
          </w:tcPr>
          <w:p w14:paraId="0BDFCE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color w:val="auto"/>
                <w:sz w:val="44"/>
              </w:rPr>
            </w:pPr>
            <w:r>
              <w:rPr>
                <w:rFonts w:hint="eastAsia" w:ascii="方正小标宋_GBK" w:hAnsi="方正小标宋_GBK" w:eastAsia="方正小标宋_GBK" w:cs="方正小标宋_GBK"/>
                <w:color w:val="000000" w:themeColor="text1"/>
                <w:sz w:val="72"/>
                <w:szCs w:val="72"/>
                <w14:textFill>
                  <w14:solidFill>
                    <w14:schemeClr w14:val="tx1"/>
                  </w14:solidFill>
                </w14:textFill>
              </w:rPr>
              <w:t>政府采购合同</w:t>
            </w:r>
          </w:p>
        </w:tc>
      </w:tr>
      <w:tr w14:paraId="04D9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jc w:val="center"/>
        </w:trPr>
        <w:tc>
          <w:tcPr>
            <w:tcW w:w="9720" w:type="dxa"/>
            <w:gridSpan w:val="5"/>
            <w:tcBorders>
              <w:top w:val="nil"/>
              <w:left w:val="nil"/>
              <w:bottom w:val="nil"/>
              <w:right w:val="nil"/>
            </w:tcBorders>
            <w:noWrap w:val="0"/>
            <w:vAlign w:val="top"/>
          </w:tcPr>
          <w:p w14:paraId="60E184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rPr>
            </w:pPr>
            <w:r>
              <w:rPr>
                <w:rFonts w:hint="eastAsia" w:ascii="方正小标宋_GBK" w:hAnsi="方正小标宋_GBK" w:eastAsia="方正小标宋_GBK" w:cs="方正小标宋_GBK"/>
                <w:color w:val="000000" w:themeColor="text1"/>
                <w:sz w:val="56"/>
                <w:szCs w:val="56"/>
                <w14:textFill>
                  <w14:solidFill>
                    <w14:schemeClr w14:val="tx1"/>
                  </w14:solidFill>
                </w14:textFill>
              </w:rPr>
              <w:t>（货物类）</w:t>
            </w:r>
          </w:p>
        </w:tc>
      </w:tr>
      <w:tr w14:paraId="34A3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restart"/>
            <w:tcBorders>
              <w:top w:val="nil"/>
              <w:left w:val="nil"/>
              <w:bottom w:val="nil"/>
              <w:right w:val="nil"/>
            </w:tcBorders>
            <w:noWrap w:val="0"/>
            <w:vAlign w:val="center"/>
          </w:tcPr>
          <w:p w14:paraId="677503F2">
            <w:pPr>
              <w:adjustRightInd w:val="0"/>
              <w:snapToGrid w:val="0"/>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2269DAED">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项目名称：</w:t>
            </w:r>
          </w:p>
        </w:tc>
        <w:tc>
          <w:tcPr>
            <w:tcW w:w="240" w:type="dxa"/>
            <w:tcBorders>
              <w:top w:val="nil"/>
              <w:left w:val="nil"/>
              <w:bottom w:val="nil"/>
              <w:right w:val="nil"/>
            </w:tcBorders>
            <w:noWrap w:val="0"/>
            <w:vAlign w:val="center"/>
          </w:tcPr>
          <w:p w14:paraId="70C2B4D4">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75184968">
            <w:pPr>
              <w:rPr>
                <w:rFonts w:hint="eastAsia" w:ascii="微软雅黑" w:hAnsi="微软雅黑" w:eastAsia="微软雅黑" w:cs="微软雅黑"/>
                <w:color w:val="auto"/>
                <w:spacing w:val="20"/>
                <w:sz w:val="28"/>
                <w:szCs w:val="28"/>
                <w:lang w:eastAsia="zh-CN"/>
              </w:rPr>
            </w:pPr>
            <w:r>
              <w:rPr>
                <w:rFonts w:hint="eastAsia" w:ascii="黑体" w:hAnsi="黑体" w:eastAsia="黑体" w:cs="黑体"/>
                <w:color w:val="auto"/>
                <w:sz w:val="32"/>
                <w:szCs w:val="36"/>
                <w:lang w:val="en-US" w:eastAsia="zh-CN"/>
              </w:rPr>
              <w:t>第十一届全省少数民族传统运动会自动除颤器（AED）采购项目</w:t>
            </w:r>
          </w:p>
        </w:tc>
        <w:tc>
          <w:tcPr>
            <w:tcW w:w="264" w:type="dxa"/>
            <w:vMerge w:val="restart"/>
            <w:tcBorders>
              <w:top w:val="nil"/>
              <w:left w:val="nil"/>
              <w:bottom w:val="nil"/>
              <w:right w:val="nil"/>
            </w:tcBorders>
            <w:noWrap w:val="0"/>
            <w:vAlign w:val="center"/>
          </w:tcPr>
          <w:p w14:paraId="5A3818EA">
            <w:pPr>
              <w:adjustRightInd w:val="0"/>
              <w:snapToGrid w:val="0"/>
              <w:rPr>
                <w:rFonts w:ascii="Times New Roman" w:hAnsi="Times New Roman" w:eastAsia="楷体_GB2312"/>
                <w:color w:val="auto"/>
                <w:sz w:val="52"/>
              </w:rPr>
            </w:pPr>
          </w:p>
        </w:tc>
      </w:tr>
      <w:tr w14:paraId="0F71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40" w:type="dxa"/>
            <w:vMerge w:val="continue"/>
            <w:tcBorders>
              <w:top w:val="nil"/>
              <w:left w:val="nil"/>
              <w:bottom w:val="nil"/>
              <w:right w:val="nil"/>
            </w:tcBorders>
            <w:noWrap w:val="0"/>
            <w:vAlign w:val="center"/>
          </w:tcPr>
          <w:p w14:paraId="1483A0D5">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1371F84">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采购合同编号：</w:t>
            </w:r>
          </w:p>
        </w:tc>
        <w:tc>
          <w:tcPr>
            <w:tcW w:w="240" w:type="dxa"/>
            <w:tcBorders>
              <w:top w:val="nil"/>
              <w:left w:val="nil"/>
              <w:bottom w:val="nil"/>
              <w:right w:val="nil"/>
            </w:tcBorders>
            <w:noWrap w:val="0"/>
            <w:vAlign w:val="center"/>
          </w:tcPr>
          <w:p w14:paraId="24ED0683">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6F7C51D2">
            <w:pPr>
              <w:rPr>
                <w:rFonts w:hint="eastAsia" w:ascii="微软雅黑" w:hAnsi="微软雅黑" w:eastAsia="微软雅黑" w:cs="微软雅黑"/>
                <w:color w:val="auto"/>
                <w:sz w:val="28"/>
                <w:szCs w:val="28"/>
              </w:rPr>
            </w:pPr>
          </w:p>
        </w:tc>
        <w:tc>
          <w:tcPr>
            <w:tcW w:w="264" w:type="dxa"/>
            <w:vMerge w:val="continue"/>
            <w:tcBorders>
              <w:top w:val="nil"/>
              <w:left w:val="nil"/>
              <w:bottom w:val="nil"/>
              <w:right w:val="nil"/>
            </w:tcBorders>
            <w:noWrap w:val="0"/>
            <w:vAlign w:val="center"/>
          </w:tcPr>
          <w:p w14:paraId="79FEEBCA">
            <w:pPr>
              <w:widowControl/>
              <w:jc w:val="left"/>
              <w:rPr>
                <w:rFonts w:ascii="Times New Roman" w:hAnsi="Times New Roman" w:eastAsia="楷体_GB2312"/>
                <w:color w:val="auto"/>
                <w:sz w:val="52"/>
              </w:rPr>
            </w:pPr>
          </w:p>
        </w:tc>
      </w:tr>
      <w:tr w14:paraId="1857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noWrap w:val="0"/>
            <w:vAlign w:val="center"/>
          </w:tcPr>
          <w:p w14:paraId="05C38F04">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8A69675">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甲方（采购人）：</w:t>
            </w:r>
          </w:p>
        </w:tc>
        <w:tc>
          <w:tcPr>
            <w:tcW w:w="240" w:type="dxa"/>
            <w:tcBorders>
              <w:top w:val="nil"/>
              <w:left w:val="nil"/>
              <w:bottom w:val="nil"/>
              <w:right w:val="nil"/>
            </w:tcBorders>
            <w:noWrap w:val="0"/>
            <w:vAlign w:val="center"/>
          </w:tcPr>
          <w:p w14:paraId="5FB120E0">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76003784">
            <w:pPr>
              <w:rPr>
                <w:rFonts w:hint="default" w:ascii="微软雅黑" w:hAnsi="微软雅黑" w:eastAsia="微软雅黑" w:cs="微软雅黑"/>
                <w:color w:val="auto"/>
                <w:sz w:val="28"/>
                <w:szCs w:val="28"/>
                <w:lang w:val="en" w:eastAsia="zh-CN"/>
              </w:rPr>
            </w:pPr>
            <w:r>
              <w:rPr>
                <w:rFonts w:hint="eastAsia" w:ascii="黑体" w:hAnsi="黑体" w:eastAsia="黑体" w:cs="黑体"/>
                <w:color w:val="auto"/>
                <w:sz w:val="28"/>
                <w:szCs w:val="32"/>
                <w:lang w:val="en-US" w:eastAsia="zh-CN"/>
              </w:rPr>
              <w:t>张家界市卫生健康委员会</w:t>
            </w:r>
          </w:p>
        </w:tc>
        <w:tc>
          <w:tcPr>
            <w:tcW w:w="264" w:type="dxa"/>
            <w:vMerge w:val="continue"/>
            <w:tcBorders>
              <w:top w:val="nil"/>
              <w:left w:val="nil"/>
              <w:bottom w:val="nil"/>
              <w:right w:val="nil"/>
            </w:tcBorders>
            <w:noWrap w:val="0"/>
            <w:vAlign w:val="center"/>
          </w:tcPr>
          <w:p w14:paraId="76DC1102">
            <w:pPr>
              <w:widowControl/>
              <w:jc w:val="left"/>
              <w:rPr>
                <w:rFonts w:ascii="Times New Roman" w:hAnsi="Times New Roman" w:eastAsia="楷体_GB2312"/>
                <w:color w:val="auto"/>
                <w:sz w:val="52"/>
              </w:rPr>
            </w:pPr>
          </w:p>
        </w:tc>
      </w:tr>
      <w:tr w14:paraId="1F51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vMerge w:val="continue"/>
            <w:tcBorders>
              <w:top w:val="nil"/>
              <w:left w:val="nil"/>
              <w:bottom w:val="nil"/>
              <w:right w:val="nil"/>
            </w:tcBorders>
            <w:noWrap w:val="0"/>
            <w:vAlign w:val="center"/>
          </w:tcPr>
          <w:p w14:paraId="50325173">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596F8331">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highlight w:val="white"/>
              </w:rPr>
              <w:t>乙方（供应商）：</w:t>
            </w:r>
          </w:p>
        </w:tc>
        <w:tc>
          <w:tcPr>
            <w:tcW w:w="240" w:type="dxa"/>
            <w:tcBorders>
              <w:top w:val="nil"/>
              <w:left w:val="nil"/>
              <w:bottom w:val="nil"/>
              <w:right w:val="nil"/>
            </w:tcBorders>
            <w:noWrap w:val="0"/>
            <w:vAlign w:val="center"/>
          </w:tcPr>
          <w:p w14:paraId="02C34CD8">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1A91C41A">
            <w:pPr>
              <w:rPr>
                <w:rFonts w:ascii="Times New Roman" w:hAnsi="Times New Roman"/>
                <w:color w:val="auto"/>
                <w:sz w:val="28"/>
                <w:szCs w:val="28"/>
              </w:rPr>
            </w:pPr>
          </w:p>
        </w:tc>
        <w:tc>
          <w:tcPr>
            <w:tcW w:w="264" w:type="dxa"/>
            <w:vMerge w:val="continue"/>
            <w:tcBorders>
              <w:top w:val="nil"/>
              <w:left w:val="nil"/>
              <w:bottom w:val="nil"/>
              <w:right w:val="nil"/>
            </w:tcBorders>
            <w:noWrap w:val="0"/>
            <w:vAlign w:val="center"/>
          </w:tcPr>
          <w:p w14:paraId="5F92B5FB">
            <w:pPr>
              <w:widowControl/>
              <w:jc w:val="left"/>
              <w:rPr>
                <w:rFonts w:ascii="Times New Roman" w:hAnsi="Times New Roman" w:eastAsia="楷体_GB2312"/>
                <w:color w:val="auto"/>
                <w:sz w:val="52"/>
              </w:rPr>
            </w:pPr>
          </w:p>
        </w:tc>
      </w:tr>
      <w:tr w14:paraId="75D0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7D3D0742">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60BC85A4">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签订地点：</w:t>
            </w:r>
          </w:p>
        </w:tc>
        <w:tc>
          <w:tcPr>
            <w:tcW w:w="240" w:type="dxa"/>
            <w:tcBorders>
              <w:top w:val="nil"/>
              <w:left w:val="nil"/>
              <w:bottom w:val="nil"/>
              <w:right w:val="nil"/>
            </w:tcBorders>
            <w:noWrap w:val="0"/>
            <w:vAlign w:val="center"/>
          </w:tcPr>
          <w:p w14:paraId="39E60C5D">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65F681A9">
            <w:pPr>
              <w:rPr>
                <w:rFonts w:ascii="Times New Roman" w:hAnsi="Times New Roman"/>
                <w:color w:val="auto"/>
                <w:sz w:val="28"/>
                <w:szCs w:val="28"/>
              </w:rPr>
            </w:pPr>
          </w:p>
        </w:tc>
        <w:tc>
          <w:tcPr>
            <w:tcW w:w="264" w:type="dxa"/>
            <w:tcBorders>
              <w:top w:val="nil"/>
              <w:left w:val="nil"/>
              <w:bottom w:val="nil"/>
              <w:right w:val="nil"/>
            </w:tcBorders>
            <w:noWrap w:val="0"/>
            <w:vAlign w:val="center"/>
          </w:tcPr>
          <w:p w14:paraId="5530111E">
            <w:pPr>
              <w:widowControl/>
              <w:jc w:val="distribute"/>
              <w:rPr>
                <w:rFonts w:ascii="Times New Roman" w:hAnsi="Times New Roman" w:eastAsia="楷体_GB2312"/>
                <w:color w:val="auto"/>
                <w:sz w:val="52"/>
              </w:rPr>
            </w:pPr>
          </w:p>
        </w:tc>
      </w:tr>
      <w:tr w14:paraId="3BFC3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40" w:type="dxa"/>
            <w:tcBorders>
              <w:top w:val="nil"/>
              <w:left w:val="nil"/>
              <w:bottom w:val="nil"/>
              <w:right w:val="nil"/>
            </w:tcBorders>
            <w:noWrap w:val="0"/>
            <w:vAlign w:val="center"/>
          </w:tcPr>
          <w:p w14:paraId="4E1BAC38">
            <w:pPr>
              <w:widowControl/>
              <w:jc w:val="left"/>
              <w:rPr>
                <w:rFonts w:ascii="Times New Roman" w:hAnsi="Times New Roman" w:eastAsia="楷体_GB2312"/>
                <w:color w:val="auto"/>
                <w:sz w:val="52"/>
              </w:rPr>
            </w:pPr>
          </w:p>
        </w:tc>
        <w:tc>
          <w:tcPr>
            <w:tcW w:w="2889" w:type="dxa"/>
            <w:tcBorders>
              <w:top w:val="nil"/>
              <w:left w:val="nil"/>
              <w:bottom w:val="nil"/>
              <w:right w:val="nil"/>
            </w:tcBorders>
            <w:noWrap w:val="0"/>
            <w:vAlign w:val="center"/>
          </w:tcPr>
          <w:p w14:paraId="7674B322">
            <w:pPr>
              <w:adjustRightInd w:val="0"/>
              <w:snapToGrid w:val="0"/>
              <w:spacing w:line="360" w:lineRule="auto"/>
              <w:jc w:val="distribute"/>
              <w:rPr>
                <w:rFonts w:ascii="黑体" w:hAnsi="黑体" w:eastAsia="黑体" w:cs="黑体"/>
                <w:color w:val="auto"/>
                <w:sz w:val="32"/>
                <w:szCs w:val="32"/>
                <w:highlight w:val="white"/>
              </w:rPr>
            </w:pPr>
            <w:r>
              <w:rPr>
                <w:rFonts w:hint="eastAsia" w:ascii="黑体" w:hAnsi="黑体" w:eastAsia="黑体" w:cs="黑体"/>
                <w:color w:val="auto"/>
                <w:sz w:val="32"/>
                <w:szCs w:val="32"/>
                <w:highlight w:val="white"/>
              </w:rPr>
              <w:t>签订日期：</w:t>
            </w:r>
          </w:p>
        </w:tc>
        <w:tc>
          <w:tcPr>
            <w:tcW w:w="240" w:type="dxa"/>
            <w:tcBorders>
              <w:top w:val="nil"/>
              <w:left w:val="nil"/>
              <w:bottom w:val="nil"/>
              <w:right w:val="nil"/>
            </w:tcBorders>
            <w:noWrap w:val="0"/>
            <w:vAlign w:val="center"/>
          </w:tcPr>
          <w:p w14:paraId="59858DD7">
            <w:pPr>
              <w:ind w:firstLine="1960" w:firstLineChars="700"/>
              <w:rPr>
                <w:rFonts w:ascii="Times New Roman" w:hAnsi="Times New Roman"/>
                <w:color w:val="auto"/>
                <w:sz w:val="28"/>
                <w:szCs w:val="28"/>
              </w:rPr>
            </w:pPr>
          </w:p>
        </w:tc>
        <w:tc>
          <w:tcPr>
            <w:tcW w:w="6087" w:type="dxa"/>
            <w:tcBorders>
              <w:top w:val="nil"/>
              <w:left w:val="nil"/>
              <w:bottom w:val="nil"/>
              <w:right w:val="nil"/>
            </w:tcBorders>
            <w:noWrap w:val="0"/>
            <w:vAlign w:val="center"/>
          </w:tcPr>
          <w:p w14:paraId="58621372">
            <w:pPr>
              <w:rPr>
                <w:rFonts w:ascii="Times New Roman" w:hAnsi="Times New Roman"/>
                <w:color w:val="auto"/>
                <w:sz w:val="28"/>
                <w:szCs w:val="28"/>
              </w:rPr>
            </w:pPr>
          </w:p>
        </w:tc>
        <w:tc>
          <w:tcPr>
            <w:tcW w:w="264" w:type="dxa"/>
            <w:tcBorders>
              <w:top w:val="nil"/>
              <w:left w:val="nil"/>
              <w:bottom w:val="nil"/>
              <w:right w:val="nil"/>
            </w:tcBorders>
            <w:noWrap w:val="0"/>
            <w:vAlign w:val="center"/>
          </w:tcPr>
          <w:p w14:paraId="67024B9E">
            <w:pPr>
              <w:widowControl/>
              <w:jc w:val="distribute"/>
              <w:rPr>
                <w:rFonts w:ascii="Times New Roman" w:hAnsi="Times New Roman" w:eastAsia="楷体_GB2312"/>
                <w:color w:val="auto"/>
                <w:sz w:val="52"/>
              </w:rPr>
            </w:pPr>
          </w:p>
        </w:tc>
      </w:tr>
    </w:tbl>
    <w:p w14:paraId="0BC1D3DF">
      <w:pPr>
        <w:rPr>
          <w:color w:val="auto"/>
        </w:rPr>
      </w:pPr>
      <w:r>
        <w:rPr>
          <w:rFonts w:hint="eastAsia"/>
          <w:color w:val="auto"/>
        </w:rPr>
        <w:br w:type="page"/>
      </w:r>
    </w:p>
    <w:p w14:paraId="261052C4">
      <w:pPr>
        <w:widowControl w:val="0"/>
        <w:adjustRightInd w:val="0"/>
        <w:snapToGrid w:val="0"/>
        <w:spacing w:before="156" w:beforeLines="50" w:line="460" w:lineRule="exact"/>
        <w:ind w:firstLine="480" w:firstLineChars="200"/>
        <w:jc w:val="both"/>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cs="Times New Roman"/>
          <w:color w:val="auto"/>
          <w:kern w:val="2"/>
          <w:sz w:val="24"/>
          <w:szCs w:val="22"/>
          <w:u w:val="single"/>
          <w:lang w:val="en-US" w:eastAsia="zh-CN" w:bidi="ar-SA"/>
        </w:rPr>
        <w:t>张家界市卫生健康委员会</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（以下简称：甲方）通过</w:t>
      </w:r>
      <w:r>
        <w:rPr>
          <w:rFonts w:hint="eastAsia"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4"/>
          <w:u w:val="single"/>
          <w:lang w:val="en-US" w:eastAsia="zh-CN" w:bidi="ar-SA"/>
        </w:rPr>
        <w:t>湖南省天平项目管理有限公司</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组织的竞争性谈判方式采购活动，经评标委员会评定，</w:t>
      </w:r>
      <w:r>
        <w:rPr>
          <w:rFonts w:hint="eastAsia" w:ascii="Times New Roman" w:hAnsi="Times New Roman" w:eastAsia="宋体" w:cs="Times New Roman"/>
          <w:color w:val="auto"/>
          <w:kern w:val="2"/>
          <w:sz w:val="24"/>
          <w:szCs w:val="22"/>
          <w:u w:val="single"/>
          <w:lang w:val="en-US" w:eastAsia="zh-CN" w:bidi="ar-SA"/>
        </w:rPr>
        <w:t>（中标人名称）</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（以下简称：乙方）为本项目中标人，现按照采购文件确定的事项签订本合同。</w:t>
      </w:r>
    </w:p>
    <w:p w14:paraId="32E0D9E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根据《中华人民共和国民法典》、《中华人民共和国政府采购法》等相关法律法规之规定，按照平等、自愿、公平和诚实信用的原则，经甲方和乙方协商一致，约定以下合同条款，以兹共同遵守、全面履行。</w:t>
      </w:r>
    </w:p>
    <w:p w14:paraId="52100E32">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1.1</w:t>
      </w:r>
      <w:r>
        <w:rPr>
          <w:rFonts w:hint="eastAsia" w:ascii="Times New Roman" w:hAnsi="Times New Roman" w:eastAsia="宋体" w:cs="Times New Roman"/>
          <w:b/>
          <w:bCs/>
          <w:color w:val="auto"/>
          <w:kern w:val="2"/>
          <w:sz w:val="24"/>
          <w:szCs w:val="22"/>
          <w:lang w:val="en-US" w:eastAsia="zh-CN" w:bidi="ar-SA"/>
        </w:rPr>
        <w:t>合同组成部分</w:t>
      </w:r>
    </w:p>
    <w:p w14:paraId="01D3586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下列文件为本合同的组成部分，并构成一个整体，需综合解释、相互补充。如果下列文件内容出现不一致的情形，那么在保证按照采购文件确定的事项前提下，组成本合同的多个文件的优先使用顺序如下：</w:t>
      </w:r>
    </w:p>
    <w:p w14:paraId="060C6681">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1.1.1</w:t>
      </w:r>
      <w:r>
        <w:rPr>
          <w:rFonts w:hint="eastAsia" w:ascii="Times New Roman" w:hAnsi="Times New Roman" w:eastAsia="宋体" w:cs="Times New Roman"/>
          <w:color w:val="auto"/>
          <w:kern w:val="2"/>
          <w:sz w:val="24"/>
          <w:szCs w:val="22"/>
          <w:lang w:val="en-US" w:eastAsia="zh-CN" w:bidi="ar-SA"/>
        </w:rPr>
        <w:t>本合同及其补充合同、变更协议；</w:t>
      </w:r>
    </w:p>
    <w:p w14:paraId="2082D20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1.1.2</w:t>
      </w:r>
      <w:r>
        <w:rPr>
          <w:rFonts w:hint="eastAsia" w:ascii="Times New Roman" w:hAnsi="Times New Roman" w:eastAsia="宋体" w:cs="Times New Roman"/>
          <w:color w:val="auto"/>
          <w:kern w:val="2"/>
          <w:sz w:val="24"/>
          <w:szCs w:val="22"/>
          <w:lang w:val="en-US" w:eastAsia="zh-CN" w:bidi="ar-SA"/>
        </w:rPr>
        <w:t>中标通知书；</w:t>
      </w:r>
    </w:p>
    <w:p w14:paraId="128F0900">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1.1.3</w:t>
      </w:r>
      <w:r>
        <w:rPr>
          <w:rFonts w:hint="eastAsia" w:ascii="Times New Roman" w:hAnsi="Times New Roman" w:eastAsia="宋体" w:cs="Times New Roman"/>
          <w:color w:val="auto"/>
          <w:kern w:val="2"/>
          <w:sz w:val="24"/>
          <w:szCs w:val="22"/>
          <w:lang w:val="en-US" w:eastAsia="zh-CN" w:bidi="ar-SA"/>
        </w:rPr>
        <w:t>响应文件（含澄清或者说明文件）；</w:t>
      </w:r>
    </w:p>
    <w:p w14:paraId="4F5A8413">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1.1.4</w:t>
      </w:r>
      <w:r>
        <w:rPr>
          <w:rFonts w:hint="eastAsia" w:ascii="Times New Roman" w:hAnsi="Times New Roman" w:eastAsia="宋体" w:cs="Times New Roman"/>
          <w:color w:val="auto"/>
          <w:kern w:val="2"/>
          <w:sz w:val="24"/>
          <w:szCs w:val="22"/>
          <w:lang w:val="en-US" w:eastAsia="zh-CN" w:bidi="ar-SA"/>
        </w:rPr>
        <w:t>谈判文件（含澄清或者修改文件）；</w:t>
      </w:r>
    </w:p>
    <w:p w14:paraId="2AD93499">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1.1.5</w:t>
      </w:r>
      <w:r>
        <w:rPr>
          <w:rFonts w:hint="eastAsia" w:ascii="Times New Roman" w:hAnsi="Times New Roman" w:eastAsia="宋体" w:cs="Times New Roman"/>
          <w:color w:val="auto"/>
          <w:kern w:val="2"/>
          <w:sz w:val="24"/>
          <w:szCs w:val="22"/>
          <w:lang w:val="en-US" w:eastAsia="zh-CN" w:bidi="ar-SA"/>
        </w:rPr>
        <w:t>其他相关采购文件。</w:t>
      </w:r>
    </w:p>
    <w:p w14:paraId="52E948EA">
      <w:pPr>
        <w:widowControl w:val="0"/>
        <w:adjustRightInd w:val="0"/>
        <w:snapToGrid w:val="0"/>
        <w:spacing w:before="156" w:beforeLines="50" w:line="5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1.2</w:t>
      </w:r>
      <w:r>
        <w:rPr>
          <w:rFonts w:hint="eastAsia" w:ascii="Times New Roman" w:hAnsi="Times New Roman" w:eastAsia="宋体" w:cs="Times New Roman"/>
          <w:b/>
          <w:bCs/>
          <w:color w:val="auto"/>
          <w:kern w:val="2"/>
          <w:sz w:val="24"/>
          <w:szCs w:val="22"/>
          <w:lang w:val="en-US" w:eastAsia="zh-CN" w:bidi="ar-SA"/>
        </w:rPr>
        <w:t>货物</w:t>
      </w:r>
    </w:p>
    <w:tbl>
      <w:tblPr>
        <w:tblStyle w:val="34"/>
        <w:tblW w:w="0" w:type="auto"/>
        <w:tblInd w:w="0" w:type="dxa"/>
        <w:tblLayout w:type="fixed"/>
        <w:tblCellMar>
          <w:top w:w="0" w:type="dxa"/>
          <w:left w:w="108" w:type="dxa"/>
          <w:bottom w:w="0" w:type="dxa"/>
          <w:right w:w="108" w:type="dxa"/>
        </w:tblCellMar>
      </w:tblPr>
      <w:tblGrid>
        <w:gridCol w:w="624"/>
        <w:gridCol w:w="2216"/>
        <w:gridCol w:w="3088"/>
        <w:gridCol w:w="1215"/>
        <w:gridCol w:w="1065"/>
        <w:gridCol w:w="1995"/>
      </w:tblGrid>
      <w:tr w14:paraId="24B0F4C3">
        <w:tblPrEx>
          <w:tblCellMar>
            <w:top w:w="0" w:type="dxa"/>
            <w:left w:w="108" w:type="dxa"/>
            <w:bottom w:w="0" w:type="dxa"/>
            <w:right w:w="108" w:type="dxa"/>
          </w:tblCellMar>
        </w:tblPrEx>
        <w:tc>
          <w:tcPr>
            <w:tcW w:w="624" w:type="dxa"/>
            <w:tcBorders>
              <w:top w:val="double" w:color="auto" w:sz="4" w:space="0"/>
              <w:left w:val="double" w:color="auto" w:sz="4" w:space="0"/>
              <w:bottom w:val="single" w:color="auto" w:sz="4" w:space="0"/>
              <w:right w:val="single" w:color="auto" w:sz="4" w:space="0"/>
            </w:tcBorders>
            <w:noWrap w:val="0"/>
            <w:vAlign w:val="center"/>
          </w:tcPr>
          <w:p w14:paraId="27469893">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序号</w:t>
            </w:r>
          </w:p>
        </w:tc>
        <w:tc>
          <w:tcPr>
            <w:tcW w:w="2216" w:type="dxa"/>
            <w:tcBorders>
              <w:top w:val="double" w:color="auto" w:sz="4" w:space="0"/>
              <w:left w:val="single" w:color="auto" w:sz="4" w:space="0"/>
              <w:bottom w:val="single" w:color="auto" w:sz="4" w:space="0"/>
              <w:right w:val="single" w:color="auto" w:sz="4" w:space="0"/>
            </w:tcBorders>
            <w:noWrap w:val="0"/>
            <w:vAlign w:val="center"/>
          </w:tcPr>
          <w:p w14:paraId="77E5F021">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货物名称</w:t>
            </w:r>
          </w:p>
        </w:tc>
        <w:tc>
          <w:tcPr>
            <w:tcW w:w="3088" w:type="dxa"/>
            <w:tcBorders>
              <w:top w:val="double" w:color="auto" w:sz="4" w:space="0"/>
              <w:left w:val="single" w:color="auto" w:sz="4" w:space="0"/>
              <w:bottom w:val="single" w:color="auto" w:sz="4" w:space="0"/>
              <w:right w:val="single" w:color="auto" w:sz="4" w:space="0"/>
            </w:tcBorders>
            <w:noWrap w:val="0"/>
            <w:vAlign w:val="center"/>
          </w:tcPr>
          <w:p w14:paraId="21F2674A">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规格型号</w:t>
            </w:r>
          </w:p>
        </w:tc>
        <w:tc>
          <w:tcPr>
            <w:tcW w:w="1215" w:type="dxa"/>
            <w:tcBorders>
              <w:top w:val="double" w:color="auto" w:sz="4" w:space="0"/>
              <w:left w:val="single" w:color="auto" w:sz="4" w:space="0"/>
              <w:bottom w:val="single" w:color="auto" w:sz="4" w:space="0"/>
              <w:right w:val="single" w:color="auto" w:sz="4" w:space="0"/>
            </w:tcBorders>
            <w:noWrap w:val="0"/>
            <w:vAlign w:val="center"/>
          </w:tcPr>
          <w:p w14:paraId="0F33A089">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单位</w:t>
            </w:r>
          </w:p>
        </w:tc>
        <w:tc>
          <w:tcPr>
            <w:tcW w:w="1065" w:type="dxa"/>
            <w:tcBorders>
              <w:top w:val="double" w:color="auto" w:sz="4" w:space="0"/>
              <w:left w:val="single" w:color="auto" w:sz="4" w:space="0"/>
              <w:bottom w:val="single" w:color="auto" w:sz="4" w:space="0"/>
              <w:right w:val="single" w:color="auto" w:sz="4" w:space="0"/>
            </w:tcBorders>
            <w:noWrap w:val="0"/>
            <w:vAlign w:val="center"/>
          </w:tcPr>
          <w:p w14:paraId="22508DA7">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数量</w:t>
            </w:r>
          </w:p>
        </w:tc>
        <w:tc>
          <w:tcPr>
            <w:tcW w:w="1995" w:type="dxa"/>
            <w:tcBorders>
              <w:top w:val="double" w:color="auto" w:sz="4" w:space="0"/>
              <w:left w:val="single" w:color="auto" w:sz="4" w:space="0"/>
              <w:bottom w:val="single" w:color="auto" w:sz="4" w:space="0"/>
              <w:right w:val="double" w:color="auto" w:sz="4" w:space="0"/>
            </w:tcBorders>
            <w:noWrap w:val="0"/>
            <w:vAlign w:val="center"/>
          </w:tcPr>
          <w:p w14:paraId="54BB1B7E">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生产厂商</w:t>
            </w:r>
          </w:p>
        </w:tc>
      </w:tr>
      <w:tr w14:paraId="2A684239">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457B77F0">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1</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6EFF87DF">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42CD0C0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0525E91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CB110B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7A0188A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0628CE56">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4BC097E4">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2</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6EAC004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3DE4AB3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44BD378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4E9C46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1CF0B656">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7AB4B228">
        <w:tblPrEx>
          <w:tblCellMar>
            <w:top w:w="0" w:type="dxa"/>
            <w:left w:w="108" w:type="dxa"/>
            <w:bottom w:w="0" w:type="dxa"/>
            <w:right w:w="108" w:type="dxa"/>
          </w:tblCellMar>
        </w:tblPrEx>
        <w:tc>
          <w:tcPr>
            <w:tcW w:w="624" w:type="dxa"/>
            <w:tcBorders>
              <w:top w:val="single" w:color="auto" w:sz="4" w:space="0"/>
              <w:left w:val="double" w:color="auto" w:sz="4" w:space="0"/>
              <w:bottom w:val="single" w:color="auto" w:sz="4" w:space="0"/>
              <w:right w:val="single" w:color="auto" w:sz="4" w:space="0"/>
            </w:tcBorders>
            <w:noWrap w:val="0"/>
            <w:vAlign w:val="top"/>
          </w:tcPr>
          <w:p w14:paraId="1469CE2A">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3</w:t>
            </w:r>
          </w:p>
        </w:tc>
        <w:tc>
          <w:tcPr>
            <w:tcW w:w="2216" w:type="dxa"/>
            <w:tcBorders>
              <w:top w:val="single" w:color="auto" w:sz="4" w:space="0"/>
              <w:left w:val="single" w:color="auto" w:sz="4" w:space="0"/>
              <w:bottom w:val="single" w:color="auto" w:sz="4" w:space="0"/>
              <w:right w:val="single" w:color="auto" w:sz="4" w:space="0"/>
            </w:tcBorders>
            <w:noWrap w:val="0"/>
            <w:vAlign w:val="top"/>
          </w:tcPr>
          <w:p w14:paraId="4B38061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single" w:color="auto" w:sz="4" w:space="0"/>
              <w:right w:val="single" w:color="auto" w:sz="4" w:space="0"/>
            </w:tcBorders>
            <w:noWrap w:val="0"/>
            <w:vAlign w:val="top"/>
          </w:tcPr>
          <w:p w14:paraId="7D02AE9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single" w:color="auto" w:sz="4" w:space="0"/>
              <w:right w:val="single" w:color="auto" w:sz="4" w:space="0"/>
            </w:tcBorders>
            <w:noWrap w:val="0"/>
            <w:vAlign w:val="top"/>
          </w:tcPr>
          <w:p w14:paraId="42912BB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25D12C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single" w:color="auto" w:sz="4" w:space="0"/>
              <w:right w:val="double" w:color="auto" w:sz="4" w:space="0"/>
            </w:tcBorders>
            <w:noWrap w:val="0"/>
            <w:vAlign w:val="top"/>
          </w:tcPr>
          <w:p w14:paraId="645CA25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r w14:paraId="7FB23381">
        <w:tblPrEx>
          <w:tblCellMar>
            <w:top w:w="0" w:type="dxa"/>
            <w:left w:w="108" w:type="dxa"/>
            <w:bottom w:w="0" w:type="dxa"/>
            <w:right w:w="108" w:type="dxa"/>
          </w:tblCellMar>
        </w:tblPrEx>
        <w:tc>
          <w:tcPr>
            <w:tcW w:w="624" w:type="dxa"/>
            <w:tcBorders>
              <w:top w:val="single" w:color="auto" w:sz="4" w:space="0"/>
              <w:left w:val="double" w:color="auto" w:sz="4" w:space="0"/>
              <w:bottom w:val="double" w:color="auto" w:sz="4" w:space="0"/>
              <w:right w:val="single" w:color="auto" w:sz="4" w:space="0"/>
            </w:tcBorders>
            <w:noWrap w:val="0"/>
            <w:vAlign w:val="top"/>
          </w:tcPr>
          <w:p w14:paraId="797E1E99">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w:t>
            </w:r>
          </w:p>
        </w:tc>
        <w:tc>
          <w:tcPr>
            <w:tcW w:w="2216" w:type="dxa"/>
            <w:tcBorders>
              <w:top w:val="single" w:color="auto" w:sz="4" w:space="0"/>
              <w:left w:val="single" w:color="auto" w:sz="4" w:space="0"/>
              <w:bottom w:val="double" w:color="auto" w:sz="4" w:space="0"/>
              <w:right w:val="single" w:color="auto" w:sz="4" w:space="0"/>
            </w:tcBorders>
            <w:noWrap w:val="0"/>
            <w:vAlign w:val="top"/>
          </w:tcPr>
          <w:p w14:paraId="7085DF9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3088" w:type="dxa"/>
            <w:tcBorders>
              <w:top w:val="single" w:color="auto" w:sz="4" w:space="0"/>
              <w:left w:val="single" w:color="auto" w:sz="4" w:space="0"/>
              <w:bottom w:val="double" w:color="auto" w:sz="4" w:space="0"/>
              <w:right w:val="single" w:color="auto" w:sz="4" w:space="0"/>
            </w:tcBorders>
            <w:noWrap w:val="0"/>
            <w:vAlign w:val="top"/>
          </w:tcPr>
          <w:p w14:paraId="0E6CF0C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215" w:type="dxa"/>
            <w:tcBorders>
              <w:top w:val="single" w:color="auto" w:sz="4" w:space="0"/>
              <w:left w:val="single" w:color="auto" w:sz="4" w:space="0"/>
              <w:bottom w:val="double" w:color="auto" w:sz="4" w:space="0"/>
              <w:right w:val="single" w:color="auto" w:sz="4" w:space="0"/>
            </w:tcBorders>
            <w:noWrap w:val="0"/>
            <w:vAlign w:val="top"/>
          </w:tcPr>
          <w:p w14:paraId="1E7AF88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065" w:type="dxa"/>
            <w:tcBorders>
              <w:top w:val="single" w:color="auto" w:sz="4" w:space="0"/>
              <w:left w:val="single" w:color="auto" w:sz="4" w:space="0"/>
              <w:bottom w:val="double" w:color="auto" w:sz="4" w:space="0"/>
              <w:right w:val="single" w:color="auto" w:sz="4" w:space="0"/>
            </w:tcBorders>
            <w:noWrap w:val="0"/>
            <w:vAlign w:val="top"/>
          </w:tcPr>
          <w:p w14:paraId="3D3B4D1B">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c>
          <w:tcPr>
            <w:tcW w:w="1995" w:type="dxa"/>
            <w:tcBorders>
              <w:top w:val="single" w:color="auto" w:sz="4" w:space="0"/>
              <w:left w:val="single" w:color="auto" w:sz="4" w:space="0"/>
              <w:bottom w:val="double" w:color="auto" w:sz="4" w:space="0"/>
              <w:right w:val="double" w:color="auto" w:sz="4" w:space="0"/>
            </w:tcBorders>
            <w:noWrap w:val="0"/>
            <w:vAlign w:val="top"/>
          </w:tcPr>
          <w:p w14:paraId="353CCBF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p>
        </w:tc>
      </w:tr>
    </w:tbl>
    <w:p w14:paraId="5ACF2379">
      <w:pPr>
        <w:widowControl w:val="0"/>
        <w:adjustRightInd w:val="0"/>
        <w:snapToGrid w:val="0"/>
        <w:spacing w:before="156" w:beforeLines="50" w:line="5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1.3</w:t>
      </w:r>
      <w:r>
        <w:rPr>
          <w:rFonts w:hint="eastAsia" w:ascii="Times New Roman" w:hAnsi="Times New Roman" w:eastAsia="宋体" w:cs="Times New Roman"/>
          <w:b/>
          <w:bCs/>
          <w:color w:val="auto"/>
          <w:kern w:val="2"/>
          <w:sz w:val="24"/>
          <w:szCs w:val="22"/>
          <w:lang w:val="en-US" w:eastAsia="zh-CN" w:bidi="ar-SA"/>
        </w:rPr>
        <w:t>价款</w:t>
      </w:r>
    </w:p>
    <w:p w14:paraId="07B4F08C">
      <w:pPr>
        <w:widowControl w:val="0"/>
        <w:adjustRightInd w:val="0"/>
        <w:snapToGrid w:val="0"/>
        <w:spacing w:before="156" w:beforeLines="50" w:line="5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本合同总价为：￥</w:t>
      </w:r>
      <w:r>
        <w:rPr>
          <w:rFonts w:ascii="Times New Roman" w:hAnsi="Times New Roman" w:eastAsia="宋体" w:cs="Times New Roman"/>
          <w:color w:val="auto"/>
          <w:kern w:val="2"/>
          <w:sz w:val="24"/>
          <w:szCs w:val="22"/>
          <w:lang w:val="en-US" w:eastAsia="zh-CN" w:bidi="ar-SA"/>
        </w:rPr>
        <w:t xml:space="preserve"> </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lang w:val="en-US" w:eastAsia="zh-CN" w:bidi="ar-SA"/>
        </w:rPr>
        <w:t>元（大写：人民币</w:t>
      </w:r>
      <w:r>
        <w:rPr>
          <w:rFonts w:ascii="Times New Roman" w:hAnsi="Times New Roman" w:eastAsia="宋体" w:cs="Times New Roman"/>
          <w:color w:val="auto"/>
          <w:kern w:val="2"/>
          <w:sz w:val="24"/>
          <w:szCs w:val="22"/>
          <w:u w:val="single"/>
          <w:lang w:val="en-US" w:eastAsia="zh-CN" w:bidi="ar-SA"/>
        </w:rPr>
        <w:t xml:space="preserve">            </w:t>
      </w:r>
      <w:r>
        <w:rPr>
          <w:rFonts w:ascii="Times New Roman" w:hAnsi="Times New Roman" w:eastAsia="宋体" w:cs="Times New Roman"/>
          <w:color w:val="auto"/>
          <w:kern w:val="2"/>
          <w:sz w:val="24"/>
          <w:szCs w:val="22"/>
          <w:u w:val="single"/>
          <w:lang w:val="en-US" w:eastAsia="zh-CN" w:bidi="ar-SA"/>
        </w:rPr>
        <w:tab/>
      </w:r>
      <w:r>
        <w:rPr>
          <w:rFonts w:hint="eastAsia" w:ascii="Times New Roman" w:hAnsi="Times New Roman" w:eastAsia="宋体" w:cs="Times New Roman"/>
          <w:color w:val="auto"/>
          <w:kern w:val="2"/>
          <w:sz w:val="24"/>
          <w:szCs w:val="22"/>
          <w:lang w:val="en-US" w:eastAsia="zh-CN" w:bidi="ar-SA"/>
        </w:rPr>
        <w:t>元）。</w:t>
      </w:r>
    </w:p>
    <w:p w14:paraId="0729D2B5">
      <w:pPr>
        <w:widowControl w:val="0"/>
        <w:adjustRightInd w:val="0"/>
        <w:snapToGrid w:val="0"/>
        <w:spacing w:before="156" w:beforeLines="50" w:line="5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分项价格：</w:t>
      </w:r>
    </w:p>
    <w:tbl>
      <w:tblPr>
        <w:tblStyle w:val="34"/>
        <w:tblW w:w="0" w:type="auto"/>
        <w:tblInd w:w="0" w:type="dxa"/>
        <w:tblLayout w:type="fixed"/>
        <w:tblCellMar>
          <w:top w:w="0" w:type="dxa"/>
          <w:left w:w="108" w:type="dxa"/>
          <w:bottom w:w="0" w:type="dxa"/>
          <w:right w:w="108" w:type="dxa"/>
        </w:tblCellMar>
      </w:tblPr>
      <w:tblGrid>
        <w:gridCol w:w="869"/>
        <w:gridCol w:w="3600"/>
        <w:gridCol w:w="5869"/>
      </w:tblGrid>
      <w:tr w14:paraId="70646F38">
        <w:tblPrEx>
          <w:tblCellMar>
            <w:top w:w="0" w:type="dxa"/>
            <w:left w:w="108" w:type="dxa"/>
            <w:bottom w:w="0" w:type="dxa"/>
            <w:right w:w="108" w:type="dxa"/>
          </w:tblCellMar>
        </w:tblPrEx>
        <w:trPr>
          <w:trHeight w:val="502" w:hRule="atLeast"/>
        </w:trPr>
        <w:tc>
          <w:tcPr>
            <w:tcW w:w="869" w:type="dxa"/>
            <w:tcBorders>
              <w:top w:val="double" w:color="auto" w:sz="4" w:space="0"/>
              <w:left w:val="double" w:color="auto" w:sz="4" w:space="0"/>
              <w:bottom w:val="single" w:color="auto" w:sz="4" w:space="0"/>
              <w:right w:val="single" w:color="auto" w:sz="4" w:space="0"/>
            </w:tcBorders>
            <w:noWrap w:val="0"/>
            <w:vAlign w:val="center"/>
          </w:tcPr>
          <w:p w14:paraId="7960E115">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序号</w:t>
            </w:r>
          </w:p>
        </w:tc>
        <w:tc>
          <w:tcPr>
            <w:tcW w:w="3600" w:type="dxa"/>
            <w:tcBorders>
              <w:top w:val="double" w:color="auto" w:sz="4" w:space="0"/>
              <w:left w:val="single" w:color="auto" w:sz="4" w:space="0"/>
              <w:bottom w:val="single" w:color="auto" w:sz="4" w:space="0"/>
              <w:right w:val="single" w:color="auto" w:sz="4" w:space="0"/>
            </w:tcBorders>
            <w:noWrap w:val="0"/>
            <w:vAlign w:val="center"/>
          </w:tcPr>
          <w:p w14:paraId="795D2E41">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分项名称</w:t>
            </w:r>
          </w:p>
        </w:tc>
        <w:tc>
          <w:tcPr>
            <w:tcW w:w="5869" w:type="dxa"/>
            <w:tcBorders>
              <w:top w:val="double" w:color="auto" w:sz="4" w:space="0"/>
              <w:left w:val="single" w:color="auto" w:sz="4" w:space="0"/>
              <w:bottom w:val="single" w:color="auto" w:sz="4" w:space="0"/>
              <w:right w:val="double" w:color="auto" w:sz="4" w:space="0"/>
            </w:tcBorders>
            <w:noWrap w:val="0"/>
            <w:vAlign w:val="center"/>
          </w:tcPr>
          <w:p w14:paraId="39C70F1C">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分项价格</w:t>
            </w:r>
          </w:p>
        </w:tc>
      </w:tr>
      <w:tr w14:paraId="5036D674">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435467F8">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1</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550E1F1B">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65DE70AA">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1E259E8A">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1399C24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2</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38B4230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563BAC3F">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2FD67B05">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53BA474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zh-CN" w:bidi="ar-SA"/>
              </w:rPr>
              <w:t>3</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005DD0B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785F37B4">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21F136CE">
        <w:tblPrEx>
          <w:tblCellMar>
            <w:top w:w="0" w:type="dxa"/>
            <w:left w:w="108" w:type="dxa"/>
            <w:bottom w:w="0" w:type="dxa"/>
            <w:right w:w="108" w:type="dxa"/>
          </w:tblCellMar>
        </w:tblPrEx>
        <w:tc>
          <w:tcPr>
            <w:tcW w:w="869" w:type="dxa"/>
            <w:tcBorders>
              <w:top w:val="single" w:color="auto" w:sz="4" w:space="0"/>
              <w:left w:val="double" w:color="auto" w:sz="4" w:space="0"/>
              <w:bottom w:val="single" w:color="auto" w:sz="4" w:space="0"/>
              <w:right w:val="single" w:color="auto" w:sz="4" w:space="0"/>
            </w:tcBorders>
            <w:noWrap w:val="0"/>
            <w:vAlign w:val="top"/>
          </w:tcPr>
          <w:p w14:paraId="06887878">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微软雅黑"/>
                <w:b/>
                <w:color w:val="auto"/>
                <w:kern w:val="2"/>
                <w:sz w:val="22"/>
                <w:szCs w:val="24"/>
                <w:lang w:val="en-US" w:eastAsia="zh-CN" w:bidi="ar-SA"/>
              </w:rPr>
              <w:t>……</w:t>
            </w:r>
          </w:p>
        </w:tc>
        <w:tc>
          <w:tcPr>
            <w:tcW w:w="3600" w:type="dxa"/>
            <w:tcBorders>
              <w:top w:val="single" w:color="auto" w:sz="4" w:space="0"/>
              <w:left w:val="single" w:color="auto" w:sz="4" w:space="0"/>
              <w:bottom w:val="single" w:color="auto" w:sz="4" w:space="0"/>
              <w:right w:val="single" w:color="auto" w:sz="4" w:space="0"/>
            </w:tcBorders>
            <w:noWrap w:val="0"/>
            <w:vAlign w:val="top"/>
          </w:tcPr>
          <w:p w14:paraId="296D89B9">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c>
          <w:tcPr>
            <w:tcW w:w="5869" w:type="dxa"/>
            <w:tcBorders>
              <w:top w:val="single" w:color="auto" w:sz="4" w:space="0"/>
              <w:left w:val="single" w:color="auto" w:sz="4" w:space="0"/>
              <w:bottom w:val="single" w:color="auto" w:sz="4" w:space="0"/>
              <w:right w:val="double" w:color="auto" w:sz="4" w:space="0"/>
            </w:tcBorders>
            <w:noWrap w:val="0"/>
            <w:vAlign w:val="top"/>
          </w:tcPr>
          <w:p w14:paraId="211FCCC0">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r w14:paraId="12978844">
        <w:tblPrEx>
          <w:tblCellMar>
            <w:top w:w="0" w:type="dxa"/>
            <w:left w:w="108" w:type="dxa"/>
            <w:bottom w:w="0" w:type="dxa"/>
            <w:right w:w="108" w:type="dxa"/>
          </w:tblCellMar>
        </w:tblPrEx>
        <w:tc>
          <w:tcPr>
            <w:tcW w:w="4469" w:type="dxa"/>
            <w:gridSpan w:val="2"/>
            <w:tcBorders>
              <w:top w:val="single" w:color="auto" w:sz="4" w:space="0"/>
              <w:left w:val="double" w:color="auto" w:sz="4" w:space="0"/>
              <w:bottom w:val="double" w:color="auto" w:sz="4" w:space="0"/>
              <w:right w:val="single" w:color="auto" w:sz="4" w:space="0"/>
            </w:tcBorders>
            <w:noWrap w:val="0"/>
            <w:vAlign w:val="top"/>
          </w:tcPr>
          <w:p w14:paraId="35000511">
            <w:pPr>
              <w:widowControl w:val="0"/>
              <w:spacing w:line="54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合</w:t>
            </w:r>
            <w:r>
              <w:rPr>
                <w:rFonts w:ascii="Times New Roman" w:hAnsi="Times New Roman" w:eastAsia="微软雅黑" w:cs="Times New Roman"/>
                <w:b/>
                <w:color w:val="auto"/>
                <w:kern w:val="2"/>
                <w:sz w:val="22"/>
                <w:szCs w:val="24"/>
                <w:lang w:val="en-US" w:eastAsia="zh-CN" w:bidi="ar-SA"/>
              </w:rPr>
              <w:t xml:space="preserve">   </w:t>
            </w:r>
            <w:r>
              <w:rPr>
                <w:rFonts w:hint="eastAsia" w:ascii="Times New Roman" w:hAnsi="Times New Roman" w:eastAsia="微软雅黑" w:cs="Times New Roman"/>
                <w:b/>
                <w:color w:val="auto"/>
                <w:kern w:val="2"/>
                <w:sz w:val="22"/>
                <w:szCs w:val="24"/>
                <w:lang w:val="en-US" w:eastAsia="zh-CN" w:bidi="ar-SA"/>
              </w:rPr>
              <w:t>计</w:t>
            </w:r>
          </w:p>
        </w:tc>
        <w:tc>
          <w:tcPr>
            <w:tcW w:w="5869" w:type="dxa"/>
            <w:tcBorders>
              <w:top w:val="single" w:color="auto" w:sz="4" w:space="0"/>
              <w:left w:val="single" w:color="auto" w:sz="4" w:space="0"/>
              <w:bottom w:val="double" w:color="auto" w:sz="4" w:space="0"/>
              <w:right w:val="double" w:color="auto" w:sz="4" w:space="0"/>
            </w:tcBorders>
            <w:noWrap w:val="0"/>
            <w:vAlign w:val="top"/>
          </w:tcPr>
          <w:p w14:paraId="5D5E8B4C">
            <w:pPr>
              <w:widowControl w:val="0"/>
              <w:spacing w:line="540" w:lineRule="exact"/>
              <w:jc w:val="center"/>
              <w:rPr>
                <w:rFonts w:ascii="Times New Roman" w:hAnsi="Times New Roman" w:eastAsia="微软雅黑" w:cs="Times New Roman"/>
                <w:b/>
                <w:color w:val="auto"/>
                <w:kern w:val="2"/>
                <w:sz w:val="22"/>
                <w:szCs w:val="24"/>
                <w:lang w:val="en-US" w:eastAsia="zh-CN" w:bidi="ar-SA"/>
              </w:rPr>
            </w:pPr>
          </w:p>
        </w:tc>
      </w:tr>
    </w:tbl>
    <w:p w14:paraId="61E5BB41">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1.4</w:t>
      </w:r>
      <w:r>
        <w:rPr>
          <w:rFonts w:hint="eastAsia" w:ascii="Times New Roman" w:hAnsi="Times New Roman" w:eastAsia="宋体" w:cs="Times New Roman"/>
          <w:b/>
          <w:bCs/>
          <w:color w:val="auto"/>
          <w:kern w:val="2"/>
          <w:sz w:val="24"/>
          <w:szCs w:val="22"/>
          <w:lang w:val="en-US" w:eastAsia="zh-CN" w:bidi="ar-SA"/>
        </w:rPr>
        <w:t>付款方式和发票开具方式</w:t>
      </w:r>
    </w:p>
    <w:p w14:paraId="46590F9A">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1.4.1</w:t>
      </w:r>
      <w:r>
        <w:rPr>
          <w:rFonts w:hint="eastAsia" w:ascii="Times New Roman" w:hAnsi="Times New Roman" w:eastAsia="宋体" w:cs="Times New Roman"/>
          <w:color w:val="auto"/>
          <w:kern w:val="2"/>
          <w:sz w:val="24"/>
          <w:szCs w:val="22"/>
          <w:lang w:val="en-US" w:eastAsia="zh-CN" w:bidi="ar-SA"/>
        </w:rPr>
        <w:t>付款方式</w:t>
      </w:r>
      <w:r>
        <w:rPr>
          <w:rFonts w:hint="eastAsia" w:ascii="Times New Roman" w:hAnsi="Times New Roman" w:eastAsia="宋体" w:cs="Times New Roman"/>
          <w:color w:val="auto"/>
          <w:kern w:val="2"/>
          <w:sz w:val="24"/>
          <w:szCs w:val="22"/>
          <w:u w:val="none"/>
          <w:lang w:val="en-US" w:eastAsia="zh-CN" w:bidi="ar-SA"/>
        </w:rPr>
        <w:t>：</w:t>
      </w:r>
      <w:r>
        <w:rPr>
          <w:rFonts w:hint="eastAsia" w:ascii="Times New Roman" w:hAnsi="Times New Roman" w:eastAsia="宋体" w:cs="Times New Roman"/>
          <w:color w:val="auto"/>
          <w:kern w:val="2"/>
          <w:sz w:val="24"/>
          <w:szCs w:val="22"/>
          <w:u w:val="single"/>
          <w:lang w:val="en-US" w:eastAsia="zh-CN" w:bidi="ar-SA"/>
        </w:rPr>
        <w:t>合同签订时约定</w:t>
      </w:r>
      <w:r>
        <w:rPr>
          <w:rFonts w:hint="eastAsia" w:ascii="Times New Roman" w:hAnsi="Times New Roman" w:eastAsia="宋体" w:cs="宋体"/>
          <w:color w:val="auto"/>
          <w:kern w:val="2"/>
          <w:sz w:val="24"/>
          <w:szCs w:val="22"/>
          <w:u w:val="none"/>
          <w:lang w:val="en-US" w:eastAsia="zh-CN" w:bidi="ar-SA"/>
        </w:rPr>
        <w:t>。</w:t>
      </w:r>
    </w:p>
    <w:p w14:paraId="6B7DA744">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u w:val="single"/>
          <w:lang w:val="en-US" w:eastAsia="zh-CN" w:bidi="ar-SA"/>
        </w:rPr>
      </w:pPr>
      <w:r>
        <w:rPr>
          <w:rFonts w:ascii="Times New Roman" w:hAnsi="Times New Roman" w:eastAsia="宋体" w:cs="Times New Roman"/>
          <w:color w:val="auto"/>
          <w:kern w:val="2"/>
          <w:sz w:val="24"/>
          <w:szCs w:val="22"/>
          <w:lang w:val="en-US" w:eastAsia="zh-CN" w:bidi="ar-SA"/>
        </w:rPr>
        <w:t>1.4.2</w:t>
      </w:r>
      <w:r>
        <w:rPr>
          <w:rFonts w:hint="eastAsia" w:ascii="Times New Roman" w:hAnsi="Times New Roman" w:eastAsia="宋体" w:cs="Times New Roman"/>
          <w:color w:val="auto"/>
          <w:kern w:val="2"/>
          <w:sz w:val="24"/>
          <w:szCs w:val="22"/>
          <w:lang w:val="en-US" w:eastAsia="zh-CN" w:bidi="ar-SA"/>
        </w:rPr>
        <w:t>发票开具方式：</w:t>
      </w:r>
      <w:r>
        <w:rPr>
          <w:rFonts w:ascii="Times New Roman" w:hAnsi="Times New Roman" w:eastAsia="宋体" w:cs="Times New Roman"/>
          <w:color w:val="auto"/>
          <w:kern w:val="2"/>
          <w:sz w:val="24"/>
          <w:szCs w:val="22"/>
          <w:u w:val="single"/>
          <w:lang w:val="en-US" w:eastAsia="zh-CN" w:bidi="ar-SA"/>
        </w:rPr>
        <w:t xml:space="preserve"> </w:t>
      </w:r>
      <w:r>
        <w:rPr>
          <w:rFonts w:hint="eastAsia" w:ascii="Times New Roman" w:hAnsi="Times New Roman" w:eastAsia="宋体" w:cs="Times New Roman"/>
          <w:color w:val="auto"/>
          <w:kern w:val="2"/>
          <w:sz w:val="24"/>
          <w:szCs w:val="22"/>
          <w:u w:val="single"/>
          <w:lang w:val="en-US" w:eastAsia="zh-CN" w:bidi="ar-SA"/>
        </w:rPr>
        <w:t xml:space="preserve"> 普通发票 </w:t>
      </w:r>
      <w:r>
        <w:rPr>
          <w:rFonts w:hint="eastAsia" w:ascii="Times New Roman" w:hAnsi="Times New Roman" w:eastAsia="宋体" w:cs="Times New Roman"/>
          <w:color w:val="auto"/>
          <w:kern w:val="2"/>
          <w:sz w:val="24"/>
          <w:szCs w:val="22"/>
          <w:u w:val="none"/>
          <w:lang w:val="en-US" w:eastAsia="zh-CN" w:bidi="ar-SA"/>
        </w:rPr>
        <w:t>。</w:t>
      </w:r>
    </w:p>
    <w:p w14:paraId="7BD23039">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1.5</w:t>
      </w:r>
      <w:r>
        <w:rPr>
          <w:rFonts w:hint="eastAsia" w:ascii="Times New Roman" w:hAnsi="Times New Roman" w:eastAsia="宋体" w:cs="Times New Roman"/>
          <w:b/>
          <w:bCs/>
          <w:color w:val="auto"/>
          <w:kern w:val="2"/>
          <w:sz w:val="24"/>
          <w:szCs w:val="22"/>
          <w:lang w:val="en-US" w:eastAsia="zh-CN" w:bidi="ar-SA"/>
        </w:rPr>
        <w:t>货物交付期限、地点和方式</w:t>
      </w:r>
    </w:p>
    <w:p w14:paraId="624AD074">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1.5.1</w:t>
      </w:r>
      <w:r>
        <w:rPr>
          <w:rFonts w:hint="eastAsia" w:ascii="Times New Roman" w:hAnsi="Times New Roman" w:eastAsia="宋体" w:cs="Times New Roman"/>
          <w:color w:val="auto"/>
          <w:kern w:val="2"/>
          <w:sz w:val="24"/>
          <w:szCs w:val="22"/>
          <w:lang w:val="en-US" w:eastAsia="zh-CN" w:bidi="ar-SA"/>
        </w:rPr>
        <w:t>交付期限：</w:t>
      </w:r>
      <w:r>
        <w:rPr>
          <w:rFonts w:hint="eastAsia" w:ascii="Times New Roman" w:hAnsi="Times New Roman" w:cs="Times New Roman"/>
          <w:color w:val="auto"/>
          <w:kern w:val="2"/>
          <w:sz w:val="24"/>
          <w:szCs w:val="22"/>
          <w:u w:val="single"/>
          <w:lang w:val="en-US" w:eastAsia="zh-CN" w:bidi="ar-SA"/>
        </w:rPr>
        <w:t>自合同签订之日起10天内完成交货</w:t>
      </w:r>
      <w:r>
        <w:rPr>
          <w:rFonts w:hint="eastAsia" w:ascii="Times New Roman" w:hAnsi="Times New Roman" w:eastAsia="宋体" w:cs="Times New Roman"/>
          <w:color w:val="auto"/>
          <w:kern w:val="2"/>
          <w:sz w:val="24"/>
          <w:szCs w:val="22"/>
          <w:u w:val="none"/>
          <w:lang w:val="en-US" w:eastAsia="zh-CN" w:bidi="ar-SA"/>
        </w:rPr>
        <w:t>；</w:t>
      </w:r>
    </w:p>
    <w:p w14:paraId="75C7730D">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1.5.2</w:t>
      </w:r>
      <w:r>
        <w:rPr>
          <w:rFonts w:hint="eastAsia" w:ascii="Times New Roman" w:hAnsi="Times New Roman" w:eastAsia="宋体" w:cs="Times New Roman"/>
          <w:color w:val="auto"/>
          <w:kern w:val="2"/>
          <w:sz w:val="24"/>
          <w:szCs w:val="22"/>
          <w:lang w:val="en-US" w:eastAsia="zh-CN" w:bidi="ar-SA"/>
        </w:rPr>
        <w:t>交付地点：</w:t>
      </w:r>
      <w:r>
        <w:rPr>
          <w:rFonts w:hint="eastAsia" w:ascii="Times New Roman" w:hAnsi="Times New Roman" w:eastAsia="宋体" w:cs="Times New Roman"/>
          <w:color w:val="auto"/>
          <w:kern w:val="2"/>
          <w:sz w:val="24"/>
          <w:szCs w:val="22"/>
          <w:u w:val="single"/>
          <w:lang w:val="en-US" w:eastAsia="zh-CN" w:bidi="ar-SA"/>
        </w:rPr>
        <w:t>张家界市永定区，具体由采购人指定</w:t>
      </w:r>
      <w:r>
        <w:rPr>
          <w:rFonts w:hint="eastAsia" w:ascii="Times New Roman" w:hAnsi="Times New Roman" w:eastAsia="宋体" w:cs="Times New Roman"/>
          <w:color w:val="auto"/>
          <w:kern w:val="2"/>
          <w:sz w:val="24"/>
          <w:szCs w:val="22"/>
          <w:u w:val="none"/>
          <w:lang w:val="en-US" w:eastAsia="zh-CN" w:bidi="ar-SA"/>
        </w:rPr>
        <w:t>；</w:t>
      </w:r>
    </w:p>
    <w:p w14:paraId="7295501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1.5.3</w:t>
      </w:r>
      <w:r>
        <w:rPr>
          <w:rFonts w:hint="eastAsia" w:ascii="Times New Roman" w:hAnsi="Times New Roman" w:eastAsia="宋体" w:cs="Times New Roman"/>
          <w:color w:val="auto"/>
          <w:kern w:val="2"/>
          <w:sz w:val="24"/>
          <w:szCs w:val="22"/>
          <w:lang w:val="en-US" w:eastAsia="zh-CN" w:bidi="ar-SA"/>
        </w:rPr>
        <w:t>交付方式：</w:t>
      </w:r>
      <w:r>
        <w:rPr>
          <w:rFonts w:hint="eastAsia" w:ascii="Times New Roman" w:hAnsi="Times New Roman" w:eastAsia="宋体" w:cs="Times New Roman"/>
          <w:color w:val="auto"/>
          <w:kern w:val="2"/>
          <w:sz w:val="24"/>
          <w:szCs w:val="22"/>
          <w:u w:val="single"/>
          <w:lang w:val="en-US" w:eastAsia="zh-CN" w:bidi="ar-SA"/>
        </w:rPr>
        <w:t>供货安装调试完成并通过终验后交付使用</w:t>
      </w:r>
      <w:r>
        <w:rPr>
          <w:rFonts w:hint="eastAsia" w:ascii="Times New Roman" w:hAnsi="Times New Roman" w:eastAsia="宋体" w:cs="Times New Roman"/>
          <w:color w:val="auto"/>
          <w:kern w:val="2"/>
          <w:sz w:val="24"/>
          <w:szCs w:val="22"/>
          <w:u w:val="none"/>
          <w:lang w:val="en-US" w:eastAsia="zh-CN" w:bidi="ar-SA"/>
        </w:rPr>
        <w:t>。</w:t>
      </w:r>
    </w:p>
    <w:p w14:paraId="342C2605">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1.6</w:t>
      </w:r>
      <w:r>
        <w:rPr>
          <w:rFonts w:hint="eastAsia" w:ascii="Times New Roman" w:hAnsi="Times New Roman" w:eastAsia="宋体" w:cs="Times New Roman"/>
          <w:b/>
          <w:bCs/>
          <w:color w:val="auto"/>
          <w:kern w:val="2"/>
          <w:sz w:val="24"/>
          <w:szCs w:val="22"/>
          <w:lang w:val="en-US" w:eastAsia="zh-CN" w:bidi="ar-SA"/>
        </w:rPr>
        <w:t>违约责任</w:t>
      </w:r>
    </w:p>
    <w:p w14:paraId="7607C18A">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1.6.1</w:t>
      </w:r>
      <w:r>
        <w:rPr>
          <w:rFonts w:hint="eastAsia" w:ascii="Times New Roman" w:hAnsi="Times New Roman" w:eastAsia="宋体" w:cs="Times New Roman"/>
          <w:color w:val="auto"/>
          <w:kern w:val="2"/>
          <w:sz w:val="24"/>
          <w:szCs w:val="22"/>
          <w:lang w:val="en-US" w:eastAsia="zh-CN" w:bidi="ar-SA"/>
        </w:rPr>
        <w:t>除不可抗力外，如果乙方没有按照本合同约定的期限、地点和方式交付货物，那么甲方可要求乙方支付违约金，违约金按每迟延交付货物一日的应交付而未交付货物价格的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计算，最高限额为本合同总价的</w:t>
      </w:r>
      <w:r>
        <w:rPr>
          <w:rFonts w:hint="eastAsia" w:ascii="Times New Roman" w:hAnsi="Times New Roman" w:eastAsia="宋体" w:cs="Times New Roman"/>
          <w:color w:val="auto"/>
          <w:kern w:val="2"/>
          <w:sz w:val="24"/>
          <w:szCs w:val="22"/>
          <w:u w:val="single"/>
          <w:lang w:val="en-US" w:eastAsia="zh-CN" w:bidi="ar-SA"/>
        </w:rPr>
        <w:t>20</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；迟延交付货物的违约金计算数额达到前述最高限额之日起，甲方有权在要求乙方支付违约金的同时，书面通知乙方解除本合同；</w:t>
      </w:r>
    </w:p>
    <w:p w14:paraId="038969D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1.6.2</w:t>
      </w:r>
      <w:r>
        <w:rPr>
          <w:rFonts w:hint="eastAsia" w:ascii="Times New Roman" w:hAnsi="Times New Roman" w:eastAsia="宋体" w:cs="Times New Roman"/>
          <w:color w:val="auto"/>
          <w:kern w:val="2"/>
          <w:sz w:val="24"/>
          <w:szCs w:val="22"/>
          <w:lang w:val="en-US" w:eastAsia="zh-CN" w:bidi="ar-SA"/>
        </w:rPr>
        <w:t>除不可抗力外，如果甲方没有按照本合同约定的付款方式付款，那么乙方可要求甲方支付违约金，违约金按每迟延付款一日的应付而未付款的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计算，最高限额为本合同总价的</w:t>
      </w:r>
      <w:r>
        <w:rPr>
          <w:rFonts w:ascii="Times New Roman" w:hAnsi="Times New Roman" w:eastAsia="宋体" w:cs="Times New Roman"/>
          <w:color w:val="auto"/>
          <w:kern w:val="2"/>
          <w:sz w:val="24"/>
          <w:szCs w:val="22"/>
          <w:u w:val="single"/>
          <w:lang w:val="en-US" w:eastAsia="zh-CN" w:bidi="ar-SA"/>
        </w:rPr>
        <w:t>0.</w:t>
      </w:r>
      <w:r>
        <w:rPr>
          <w:rFonts w:hint="eastAsia" w:ascii="Times New Roman" w:hAnsi="Times New Roman" w:eastAsia="宋体" w:cs="Times New Roman"/>
          <w:color w:val="auto"/>
          <w:kern w:val="2"/>
          <w:sz w:val="24"/>
          <w:szCs w:val="22"/>
          <w:u w:val="single"/>
          <w:lang w:val="en-US" w:eastAsia="zh-CN" w:bidi="ar-SA"/>
        </w:rPr>
        <w:t>5</w:t>
      </w:r>
      <w:r>
        <w:rPr>
          <w:rFonts w:ascii="Times New Roman" w:hAnsi="Times New Roman" w:eastAsia="宋体" w:cs="Times New Roman"/>
          <w:color w:val="auto"/>
          <w:kern w:val="2"/>
          <w:sz w:val="24"/>
          <w:szCs w:val="22"/>
          <w:lang w:val="en-US" w:eastAsia="zh-CN" w:bidi="ar-SA"/>
        </w:rPr>
        <w:t>%</w:t>
      </w:r>
      <w:r>
        <w:rPr>
          <w:rFonts w:hint="eastAsia" w:ascii="Times New Roman" w:hAnsi="Times New Roman" w:eastAsia="宋体" w:cs="Times New Roman"/>
          <w:color w:val="auto"/>
          <w:kern w:val="2"/>
          <w:sz w:val="24"/>
          <w:szCs w:val="22"/>
          <w:lang w:val="en-US" w:eastAsia="zh-CN" w:bidi="ar-SA"/>
        </w:rPr>
        <w:t>；</w:t>
      </w:r>
    </w:p>
    <w:p w14:paraId="59885A46">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1.6.3</w:t>
      </w:r>
      <w:r>
        <w:rPr>
          <w:rFonts w:hint="eastAsia" w:ascii="Times New Roman" w:hAnsi="Times New Roman" w:eastAsia="宋体" w:cs="Times New Roman"/>
          <w:color w:val="auto"/>
          <w:kern w:val="2"/>
          <w:sz w:val="24"/>
          <w:szCs w:val="22"/>
          <w:lang w:val="en-US" w:eastAsia="zh-CN" w:bidi="ar-SA"/>
        </w:rPr>
        <w:t>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42697EC">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1.6.4</w:t>
      </w:r>
      <w:r>
        <w:rPr>
          <w:rFonts w:hint="eastAsia" w:ascii="Times New Roman" w:hAnsi="Times New Roman" w:eastAsia="宋体" w:cs="Times New Roman"/>
          <w:color w:val="auto"/>
          <w:kern w:val="2"/>
          <w:sz w:val="24"/>
          <w:szCs w:val="22"/>
          <w:lang w:val="en-US" w:eastAsia="zh-CN" w:bidi="ar-SA"/>
        </w:rPr>
        <w:t>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7A4C00B0">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1.6.5</w:t>
      </w:r>
      <w:r>
        <w:rPr>
          <w:rFonts w:hint="eastAsia" w:ascii="Times New Roman" w:hAnsi="Times New Roman" w:eastAsia="宋体" w:cs="Times New Roman"/>
          <w:color w:val="auto"/>
          <w:kern w:val="2"/>
          <w:sz w:val="24"/>
          <w:szCs w:val="22"/>
          <w:lang w:val="en-US" w:eastAsia="zh-CN" w:bidi="ar-SA"/>
        </w:rPr>
        <w:t>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97197D7">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1.6.6</w:t>
      </w:r>
      <w:r>
        <w:rPr>
          <w:rFonts w:hint="eastAsia" w:ascii="Times New Roman" w:hAnsi="Times New Roman" w:eastAsia="宋体" w:cs="Times New Roman"/>
          <w:color w:val="auto"/>
          <w:kern w:val="2"/>
          <w:sz w:val="24"/>
          <w:szCs w:val="22"/>
          <w:lang w:val="en-US" w:eastAsia="zh-CN" w:bidi="ar-SA"/>
        </w:rPr>
        <w:t>如果出现政府采购监督管理部门在处理投诉事项期间，书面通知甲方暂停采购活动的情形，或者询问或质疑事项可能影响中标结果的，导致甲方中止履行合同的情形，均不视为甲方违约。</w:t>
      </w:r>
    </w:p>
    <w:p w14:paraId="1D6CE05D">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1.7</w:t>
      </w:r>
      <w:r>
        <w:rPr>
          <w:rFonts w:hint="eastAsia" w:ascii="Times New Roman" w:hAnsi="Times New Roman" w:eastAsia="宋体" w:cs="Times New Roman"/>
          <w:b/>
          <w:bCs/>
          <w:color w:val="auto"/>
          <w:kern w:val="2"/>
          <w:sz w:val="24"/>
          <w:szCs w:val="22"/>
          <w:lang w:val="en-US" w:eastAsia="zh-CN" w:bidi="ar-SA"/>
        </w:rPr>
        <w:t>合同争议的解决</w:t>
      </w:r>
    </w:p>
    <w:p w14:paraId="173E2F38">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本合同履行过程中发生的任何争议，双方当事人均可通过和解或者调解解决；不愿和解、调解或者和解、调解不成的，可以选择下列第</w:t>
      </w:r>
      <w:r>
        <w:rPr>
          <w:rFonts w:ascii="Times New Roman" w:hAnsi="Times New Roman" w:eastAsia="宋体" w:cs="Times New Roman"/>
          <w:color w:val="auto"/>
          <w:kern w:val="2"/>
          <w:sz w:val="24"/>
          <w:szCs w:val="22"/>
          <w:u w:val="single"/>
          <w:lang w:val="en-US" w:eastAsia="zh-CN" w:bidi="ar-SA"/>
        </w:rPr>
        <w:t>1.7.1</w:t>
      </w:r>
      <w:r>
        <w:rPr>
          <w:rFonts w:hint="eastAsia" w:ascii="Times New Roman" w:hAnsi="Times New Roman" w:eastAsia="宋体" w:cs="Times New Roman"/>
          <w:color w:val="auto"/>
          <w:kern w:val="2"/>
          <w:sz w:val="24"/>
          <w:szCs w:val="22"/>
          <w:lang w:val="en-US" w:eastAsia="zh-CN" w:bidi="ar-SA"/>
        </w:rPr>
        <w:t>种方式解决：</w:t>
      </w:r>
    </w:p>
    <w:p w14:paraId="5AE9334B">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1.7.1</w:t>
      </w:r>
      <w:r>
        <w:rPr>
          <w:rFonts w:hint="eastAsia" w:ascii="Times New Roman" w:hAnsi="Times New Roman" w:eastAsia="宋体" w:cs="Times New Roman"/>
          <w:color w:val="auto"/>
          <w:kern w:val="2"/>
          <w:sz w:val="24"/>
          <w:szCs w:val="22"/>
          <w:lang w:val="en-US" w:eastAsia="zh-CN" w:bidi="ar-SA"/>
        </w:rPr>
        <w:t>将争议提交张家界仲裁委员会依申请仲裁时其现行有效的仲裁规则裁决；</w:t>
      </w:r>
    </w:p>
    <w:p w14:paraId="20E006E6">
      <w:pPr>
        <w:widowControl w:val="0"/>
        <w:adjustRightInd w:val="0"/>
        <w:snapToGrid w:val="0"/>
        <w:spacing w:before="156" w:beforeLines="50" w:line="460" w:lineRule="exact"/>
        <w:ind w:firstLine="480"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1.7.2</w:t>
      </w:r>
      <w:r>
        <w:rPr>
          <w:rFonts w:hint="eastAsia" w:ascii="Times New Roman" w:hAnsi="Times New Roman" w:eastAsia="宋体" w:cs="Times New Roman"/>
          <w:color w:val="auto"/>
          <w:kern w:val="2"/>
          <w:sz w:val="24"/>
          <w:szCs w:val="22"/>
          <w:lang w:val="en-US" w:eastAsia="zh-CN" w:bidi="ar-SA"/>
        </w:rPr>
        <w:t>向乙方所在地人民法院起诉。</w:t>
      </w:r>
    </w:p>
    <w:p w14:paraId="105D4A82">
      <w:pPr>
        <w:widowControl w:val="0"/>
        <w:adjustRightInd w:val="0"/>
        <w:snapToGrid w:val="0"/>
        <w:spacing w:before="156" w:beforeLines="50" w:line="46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1.8</w:t>
      </w:r>
      <w:r>
        <w:rPr>
          <w:rFonts w:hint="eastAsia" w:ascii="Times New Roman" w:hAnsi="Times New Roman" w:eastAsia="宋体" w:cs="Times New Roman"/>
          <w:b/>
          <w:bCs/>
          <w:color w:val="auto"/>
          <w:kern w:val="2"/>
          <w:sz w:val="24"/>
          <w:szCs w:val="22"/>
          <w:lang w:val="en-US" w:eastAsia="zh-CN" w:bidi="ar-SA"/>
        </w:rPr>
        <w:t>合同生效</w:t>
      </w:r>
    </w:p>
    <w:tbl>
      <w:tblPr>
        <w:tblStyle w:val="34"/>
        <w:tblpPr w:leftFromText="180" w:rightFromText="180" w:vertAnchor="text" w:horzAnchor="page" w:tblpX="1202" w:tblpY="790"/>
        <w:tblOverlap w:val="never"/>
        <w:tblW w:w="0" w:type="auto"/>
        <w:tblInd w:w="0" w:type="dxa"/>
        <w:tblLayout w:type="autofit"/>
        <w:tblCellMar>
          <w:top w:w="0" w:type="dxa"/>
          <w:left w:w="108" w:type="dxa"/>
          <w:bottom w:w="0" w:type="dxa"/>
          <w:right w:w="108" w:type="dxa"/>
        </w:tblCellMar>
      </w:tblPr>
      <w:tblGrid>
        <w:gridCol w:w="2384"/>
        <w:gridCol w:w="2355"/>
        <w:gridCol w:w="2370"/>
        <w:gridCol w:w="2642"/>
      </w:tblGrid>
      <w:tr w14:paraId="2D3AEA8E">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752E26AD">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甲方（单位盖章）：</w:t>
            </w:r>
          </w:p>
        </w:tc>
        <w:tc>
          <w:tcPr>
            <w:tcW w:w="2355" w:type="dxa"/>
            <w:tcBorders>
              <w:top w:val="nil"/>
              <w:left w:val="nil"/>
              <w:bottom w:val="nil"/>
              <w:right w:val="nil"/>
            </w:tcBorders>
            <w:noWrap w:val="0"/>
            <w:vAlign w:val="center"/>
          </w:tcPr>
          <w:p w14:paraId="60D02750">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370" w:type="dxa"/>
            <w:tcBorders>
              <w:top w:val="nil"/>
              <w:left w:val="nil"/>
              <w:bottom w:val="nil"/>
              <w:right w:val="nil"/>
            </w:tcBorders>
            <w:noWrap w:val="0"/>
            <w:vAlign w:val="center"/>
          </w:tcPr>
          <w:p w14:paraId="49552E02">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乙方（单位盖章）：</w:t>
            </w:r>
          </w:p>
        </w:tc>
        <w:tc>
          <w:tcPr>
            <w:tcW w:w="2642" w:type="dxa"/>
            <w:tcBorders>
              <w:top w:val="nil"/>
              <w:left w:val="nil"/>
              <w:bottom w:val="nil"/>
              <w:right w:val="nil"/>
            </w:tcBorders>
            <w:noWrap w:val="0"/>
            <w:vAlign w:val="center"/>
          </w:tcPr>
          <w:p w14:paraId="46699F06">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3D891841">
        <w:tblPrEx>
          <w:tblCellMar>
            <w:top w:w="0" w:type="dxa"/>
            <w:left w:w="108" w:type="dxa"/>
            <w:bottom w:w="0" w:type="dxa"/>
            <w:right w:w="108" w:type="dxa"/>
          </w:tblCellMar>
        </w:tblPrEx>
        <w:trPr>
          <w:trHeight w:val="1402" w:hRule="atLeast"/>
        </w:trPr>
        <w:tc>
          <w:tcPr>
            <w:tcW w:w="2384" w:type="dxa"/>
            <w:tcBorders>
              <w:top w:val="nil"/>
              <w:left w:val="nil"/>
              <w:bottom w:val="nil"/>
              <w:right w:val="nil"/>
            </w:tcBorders>
            <w:noWrap w:val="0"/>
            <w:vAlign w:val="center"/>
          </w:tcPr>
          <w:p w14:paraId="130F2CD9">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法定代表人或授权代表（签字或盖章）：</w:t>
            </w:r>
          </w:p>
        </w:tc>
        <w:tc>
          <w:tcPr>
            <w:tcW w:w="2355" w:type="dxa"/>
            <w:tcBorders>
              <w:top w:val="nil"/>
              <w:left w:val="nil"/>
              <w:bottom w:val="nil"/>
              <w:right w:val="nil"/>
            </w:tcBorders>
            <w:noWrap w:val="0"/>
            <w:vAlign w:val="center"/>
          </w:tcPr>
          <w:p w14:paraId="2F8D82EB">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370" w:type="dxa"/>
            <w:tcBorders>
              <w:top w:val="nil"/>
              <w:left w:val="nil"/>
              <w:bottom w:val="nil"/>
              <w:right w:val="nil"/>
            </w:tcBorders>
            <w:noWrap w:val="0"/>
            <w:vAlign w:val="center"/>
          </w:tcPr>
          <w:p w14:paraId="73522EC1">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法定代表人或授权代表（签字或盖章）：</w:t>
            </w:r>
          </w:p>
        </w:tc>
        <w:tc>
          <w:tcPr>
            <w:tcW w:w="2642" w:type="dxa"/>
            <w:tcBorders>
              <w:top w:val="nil"/>
              <w:left w:val="nil"/>
              <w:bottom w:val="nil"/>
              <w:right w:val="nil"/>
            </w:tcBorders>
            <w:noWrap w:val="0"/>
            <w:vAlign w:val="center"/>
          </w:tcPr>
          <w:p w14:paraId="15ADBA9C">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63E43D47">
        <w:tblPrEx>
          <w:tblCellMar>
            <w:top w:w="0" w:type="dxa"/>
            <w:left w:w="108" w:type="dxa"/>
            <w:bottom w:w="0" w:type="dxa"/>
            <w:right w:w="108" w:type="dxa"/>
          </w:tblCellMar>
        </w:tblPrEx>
        <w:tc>
          <w:tcPr>
            <w:tcW w:w="2384" w:type="dxa"/>
            <w:tcBorders>
              <w:top w:val="nil"/>
              <w:left w:val="nil"/>
              <w:bottom w:val="nil"/>
              <w:right w:val="nil"/>
            </w:tcBorders>
            <w:noWrap w:val="0"/>
            <w:vAlign w:val="center"/>
          </w:tcPr>
          <w:p w14:paraId="4B153BBF">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w:t>
            </w:r>
          </w:p>
        </w:tc>
        <w:tc>
          <w:tcPr>
            <w:tcW w:w="2355" w:type="dxa"/>
            <w:tcBorders>
              <w:top w:val="nil"/>
              <w:left w:val="nil"/>
              <w:bottom w:val="nil"/>
              <w:right w:val="nil"/>
            </w:tcBorders>
            <w:noWrap w:val="0"/>
            <w:vAlign w:val="center"/>
          </w:tcPr>
          <w:p w14:paraId="60AB232F">
            <w:pPr>
              <w:widowControl w:val="0"/>
              <w:adjustRightInd w:val="0"/>
              <w:snapToGrid w:val="0"/>
              <w:spacing w:before="156" w:beforeLines="50" w:line="540" w:lineRule="exact"/>
              <w:ind w:firstLine="0" w:firstLineChars="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年</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月</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日</w:t>
            </w:r>
          </w:p>
        </w:tc>
        <w:tc>
          <w:tcPr>
            <w:tcW w:w="2370" w:type="dxa"/>
            <w:tcBorders>
              <w:top w:val="nil"/>
              <w:left w:val="nil"/>
              <w:bottom w:val="nil"/>
              <w:right w:val="nil"/>
            </w:tcBorders>
            <w:noWrap w:val="0"/>
            <w:vAlign w:val="center"/>
          </w:tcPr>
          <w:p w14:paraId="54DFE41B">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w:t>
            </w:r>
          </w:p>
        </w:tc>
        <w:tc>
          <w:tcPr>
            <w:tcW w:w="2642" w:type="dxa"/>
            <w:tcBorders>
              <w:top w:val="nil"/>
              <w:left w:val="nil"/>
              <w:bottom w:val="nil"/>
              <w:right w:val="nil"/>
            </w:tcBorders>
            <w:noWrap w:val="0"/>
            <w:vAlign w:val="center"/>
          </w:tcPr>
          <w:p w14:paraId="6D00C411">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年</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月</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日</w:t>
            </w:r>
          </w:p>
        </w:tc>
      </w:tr>
    </w:tbl>
    <w:p w14:paraId="64B5B928">
      <w:pPr>
        <w:widowControl w:val="0"/>
        <w:adjustRightInd w:val="0"/>
        <w:snapToGrid w:val="0"/>
        <w:spacing w:before="156" w:beforeLines="50" w:line="46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本合同自双方当事人盖章时生效。</w:t>
      </w:r>
    </w:p>
    <w:p w14:paraId="67BFCF3D">
      <w:pPr>
        <w:spacing w:line="540" w:lineRule="exact"/>
        <w:rPr>
          <w:rFonts w:ascii="黑体" w:hAnsi="黑体" w:eastAsia="黑体" w:cs="黑体"/>
          <w:color w:val="auto"/>
          <w:sz w:val="30"/>
          <w:szCs w:val="30"/>
        </w:rPr>
      </w:pPr>
    </w:p>
    <w:p w14:paraId="1779F318">
      <w:pPr>
        <w:keepNext/>
        <w:keepLines/>
        <w:widowControl w:val="0"/>
        <w:tabs>
          <w:tab w:val="left" w:pos="0"/>
        </w:tabs>
        <w:spacing w:before="50" w:beforeLines="50" w:after="10" w:line="560" w:lineRule="exact"/>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第二部分</w:t>
      </w:r>
      <w:r>
        <w:rPr>
          <w:rFonts w:ascii="Arial" w:hAnsi="Arial" w:eastAsia="黑体" w:cs="Times New Roman"/>
          <w:color w:val="auto"/>
          <w:kern w:val="2"/>
          <w:sz w:val="30"/>
          <w:szCs w:val="24"/>
          <w:lang w:val="en-US" w:eastAsia="zh-CN" w:bidi="ar-SA"/>
        </w:rPr>
        <w:t xml:space="preserve"> </w:t>
      </w:r>
      <w:r>
        <w:rPr>
          <w:rFonts w:hint="eastAsia" w:ascii="Arial" w:hAnsi="Arial" w:eastAsia="黑体" w:cs="Times New Roman"/>
          <w:color w:val="auto"/>
          <w:kern w:val="2"/>
          <w:sz w:val="30"/>
          <w:szCs w:val="24"/>
          <w:lang w:val="en-US" w:eastAsia="zh-CN" w:bidi="ar-SA"/>
        </w:rPr>
        <w:t>政府采购合同通用条款（货物类）</w:t>
      </w:r>
    </w:p>
    <w:p w14:paraId="3DC599CB">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w:t>
      </w:r>
      <w:r>
        <w:rPr>
          <w:rFonts w:hint="eastAsia" w:ascii="Times New Roman" w:hAnsi="Times New Roman" w:eastAsia="宋体" w:cs="Times New Roman"/>
          <w:b/>
          <w:bCs/>
          <w:color w:val="auto"/>
          <w:kern w:val="2"/>
          <w:sz w:val="24"/>
          <w:szCs w:val="22"/>
          <w:lang w:val="en-US" w:eastAsia="zh-CN" w:bidi="ar-SA"/>
        </w:rPr>
        <w:t>定义</w:t>
      </w:r>
    </w:p>
    <w:p w14:paraId="4DB2FE4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本合同中的下列词语应按以下内容进行解释：</w:t>
      </w:r>
    </w:p>
    <w:p w14:paraId="1795DFC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w:t>
      </w:r>
      <w:r>
        <w:rPr>
          <w:rFonts w:hint="eastAsia" w:ascii="Times New Roman" w:hAnsi="Times New Roman" w:eastAsia="宋体" w:cs="Times New Roman"/>
          <w:color w:val="auto"/>
          <w:kern w:val="2"/>
          <w:sz w:val="24"/>
          <w:szCs w:val="22"/>
          <w:lang w:val="en-US" w:eastAsia="zh-CN" w:bidi="ar-SA"/>
        </w:rPr>
        <w:t>“合同”系指采购人和成交供应商签订的载明双方当事人所达成的协议，并包括所有的附件、附录和构成合同的其他文件。</w:t>
      </w:r>
    </w:p>
    <w:p w14:paraId="5ED1BA4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2.1.2</w:t>
      </w:r>
      <w:r>
        <w:rPr>
          <w:rFonts w:hint="eastAsia" w:ascii="Times New Roman" w:hAnsi="Times New Roman" w:eastAsia="宋体" w:cs="Times New Roman"/>
          <w:color w:val="auto"/>
          <w:kern w:val="2"/>
          <w:sz w:val="24"/>
          <w:szCs w:val="22"/>
          <w:lang w:val="en-US" w:eastAsia="zh-CN" w:bidi="ar-SA"/>
        </w:rPr>
        <w:t>“合同价”系指根据合同约定，成交供应商在完全履行合同义务后，</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采购人应支付给成交供应商的价格。</w:t>
      </w:r>
    </w:p>
    <w:p w14:paraId="135DD75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w:t>
      </w:r>
      <w:r>
        <w:rPr>
          <w:rFonts w:hint="eastAsia" w:ascii="Times New Roman" w:hAnsi="Times New Roman" w:eastAsia="宋体" w:cs="Times New Roman"/>
          <w:color w:val="auto"/>
          <w:kern w:val="2"/>
          <w:sz w:val="24"/>
          <w:szCs w:val="22"/>
          <w:lang w:val="en-US" w:eastAsia="zh-CN" w:bidi="ar-SA"/>
        </w:rPr>
        <w:t>“货物”系指中标人根据合同约定应向采购人交付的一切各种形态和种类的物品，包括原材料、燃料、设备、机械、仪表、备件、计算机软件、产品等，并包括工具、手册等其他相关资料。</w:t>
      </w:r>
    </w:p>
    <w:p w14:paraId="0E39CFB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2.1.4</w:t>
      </w:r>
      <w:r>
        <w:rPr>
          <w:rFonts w:hint="eastAsia" w:ascii="Times New Roman" w:hAnsi="Times New Roman" w:eastAsia="宋体" w:cs="Times New Roman"/>
          <w:color w:val="auto"/>
          <w:kern w:val="2"/>
          <w:sz w:val="24"/>
          <w:szCs w:val="22"/>
          <w:lang w:val="en-US" w:eastAsia="zh-CN" w:bidi="ar-SA"/>
        </w:rPr>
        <w:t>“甲方”系指与成交供应商签署合同的采购人；采购人委托采购代理机构代表其与乙方签订合同的，采购人的授权委托书作为合同附件。</w:t>
      </w:r>
    </w:p>
    <w:p w14:paraId="05AE84C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2.1.5</w:t>
      </w:r>
      <w:r>
        <w:rPr>
          <w:rFonts w:hint="eastAsia" w:ascii="Times New Roman" w:hAnsi="Times New Roman" w:eastAsia="宋体" w:cs="Times New Roman"/>
          <w:color w:val="auto"/>
          <w:kern w:val="2"/>
          <w:sz w:val="24"/>
          <w:szCs w:val="22"/>
          <w:lang w:val="en-US" w:eastAsia="zh-CN" w:bidi="ar-SA"/>
        </w:rPr>
        <w:t>“乙方”系指根据合同约定提供服务的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2C09CC3">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w:t>
      </w:r>
      <w:r>
        <w:rPr>
          <w:rFonts w:hint="eastAsia" w:ascii="Times New Roman" w:hAnsi="Times New Roman" w:eastAsia="宋体" w:cs="Times New Roman"/>
          <w:color w:val="auto"/>
          <w:kern w:val="2"/>
          <w:sz w:val="24"/>
          <w:szCs w:val="22"/>
          <w:lang w:val="en-US" w:eastAsia="zh-CN" w:bidi="ar-SA"/>
        </w:rPr>
        <w:t>“现场”系指合同约定提供服务的地点。</w:t>
      </w:r>
    </w:p>
    <w:p w14:paraId="2BF5F03A">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2.2</w:t>
      </w:r>
      <w:r>
        <w:rPr>
          <w:rFonts w:hint="eastAsia" w:ascii="Times New Roman" w:hAnsi="Times New Roman" w:eastAsia="宋体" w:cs="Times New Roman"/>
          <w:b/>
          <w:bCs/>
          <w:color w:val="auto"/>
          <w:kern w:val="2"/>
          <w:sz w:val="24"/>
          <w:szCs w:val="22"/>
          <w:lang w:val="en-US" w:eastAsia="zh-CN" w:bidi="ar-SA"/>
        </w:rPr>
        <w:t>技术规范</w:t>
      </w:r>
    </w:p>
    <w:p w14:paraId="052853B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CEB5F24">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2.3</w:t>
      </w:r>
      <w:r>
        <w:rPr>
          <w:rFonts w:hint="eastAsia" w:ascii="Times New Roman" w:hAnsi="Times New Roman" w:eastAsia="宋体" w:cs="Times New Roman"/>
          <w:b/>
          <w:bCs/>
          <w:color w:val="auto"/>
          <w:kern w:val="2"/>
          <w:sz w:val="24"/>
          <w:szCs w:val="22"/>
          <w:lang w:val="en-US" w:eastAsia="zh-CN" w:bidi="ar-SA"/>
        </w:rPr>
        <w:t>知识产权</w:t>
      </w:r>
    </w:p>
    <w:p w14:paraId="49C62E6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2.3.1</w:t>
      </w:r>
      <w:r>
        <w:rPr>
          <w:rFonts w:hint="eastAsia" w:ascii="Times New Roman" w:hAnsi="Times New Roman" w:eastAsia="宋体" w:cs="Times New Roman"/>
          <w:color w:val="auto"/>
          <w:kern w:val="2"/>
          <w:sz w:val="24"/>
          <w:szCs w:val="22"/>
          <w:lang w:val="en-US" w:eastAsia="zh-CN" w:bidi="ar-SA"/>
        </w:rPr>
        <w:t>乙方应保证其提供的服务不受任何第三方提出的侵犯其著作权、商标权、专利权等知识产权方面的起诉；如果任何第三方提出侵权指控，那么乙方须与该第三方交涉并承担由此发生的一切责任、费用和赔偿；</w:t>
      </w:r>
    </w:p>
    <w:p w14:paraId="1056E5DF">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2.3.2</w:t>
      </w:r>
      <w:r>
        <w:rPr>
          <w:rFonts w:hint="eastAsia" w:ascii="Times New Roman" w:hAnsi="Times New Roman" w:eastAsia="宋体" w:cs="Times New Roman"/>
          <w:color w:val="auto"/>
          <w:kern w:val="2"/>
          <w:sz w:val="24"/>
          <w:szCs w:val="22"/>
          <w:lang w:val="en-US" w:eastAsia="zh-CN" w:bidi="ar-SA"/>
        </w:rPr>
        <w:t>具有知识产权的计算机软件等货物的知识产权归属，详见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2126CE9E">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2.4</w:t>
      </w:r>
      <w:r>
        <w:rPr>
          <w:rFonts w:hint="eastAsia" w:ascii="Times New Roman" w:hAnsi="Times New Roman" w:eastAsia="宋体" w:cs="Times New Roman"/>
          <w:b/>
          <w:bCs/>
          <w:color w:val="auto"/>
          <w:kern w:val="2"/>
          <w:sz w:val="24"/>
          <w:szCs w:val="22"/>
          <w:lang w:val="en-US" w:eastAsia="zh-CN" w:bidi="ar-SA"/>
        </w:rPr>
        <w:t>包装和装运</w:t>
      </w:r>
    </w:p>
    <w:p w14:paraId="2B52E57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2.4.1</w:t>
      </w:r>
      <w:r>
        <w:rPr>
          <w:rFonts w:hint="eastAsia" w:ascii="Times New Roman" w:hAnsi="Times New Roman" w:eastAsia="宋体" w:cs="Times New Roman"/>
          <w:color w:val="auto"/>
          <w:kern w:val="2"/>
          <w:sz w:val="24"/>
          <w:szCs w:val="22"/>
          <w:lang w:val="en-US" w:eastAsia="zh-CN" w:bidi="ar-SA"/>
        </w:rPr>
        <w:t>除</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另有约定外，乙方交付的全部货物，均应采用本行业通</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2D9DC50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2.4.2</w:t>
      </w:r>
      <w:r>
        <w:rPr>
          <w:rFonts w:hint="eastAsia" w:ascii="Times New Roman" w:hAnsi="Times New Roman" w:eastAsia="宋体" w:cs="Times New Roman"/>
          <w:color w:val="auto"/>
          <w:kern w:val="2"/>
          <w:sz w:val="24"/>
          <w:szCs w:val="22"/>
          <w:lang w:val="en-US" w:eastAsia="zh-CN" w:bidi="ar-SA"/>
        </w:rPr>
        <w:t>装运货物的要求和通知，详见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2D8B1394">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2.5</w:t>
      </w:r>
      <w:r>
        <w:rPr>
          <w:rFonts w:hint="eastAsia" w:ascii="Times New Roman" w:hAnsi="Times New Roman" w:eastAsia="宋体" w:cs="Times New Roman"/>
          <w:b/>
          <w:bCs/>
          <w:color w:val="auto"/>
          <w:kern w:val="2"/>
          <w:sz w:val="24"/>
          <w:szCs w:val="22"/>
          <w:lang w:val="en-US" w:eastAsia="zh-CN" w:bidi="ar-SA"/>
        </w:rPr>
        <w:t>履约检查和问题反馈</w:t>
      </w:r>
    </w:p>
    <w:p w14:paraId="66A73F1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2.5.1</w:t>
      </w:r>
      <w:r>
        <w:rPr>
          <w:rFonts w:hint="eastAsia" w:ascii="Times New Roman" w:hAnsi="Times New Roman" w:eastAsia="宋体" w:cs="Times New Roman"/>
          <w:color w:val="auto"/>
          <w:kern w:val="2"/>
          <w:sz w:val="24"/>
          <w:szCs w:val="22"/>
          <w:lang w:val="en-US" w:eastAsia="zh-CN" w:bidi="ar-SA"/>
        </w:rPr>
        <w:t>甲方有权在其认为必要时，对乙方是否能够按照合同约定交付货物进行履约检查，以确保乙方所交付的货物能够依约满足甲方项目需求，但不得因履约检查妨碍乙方的正常工作，乙方应予积极配合；</w:t>
      </w:r>
    </w:p>
    <w:p w14:paraId="7279D6C3">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2.5.2</w:t>
      </w:r>
      <w:r>
        <w:rPr>
          <w:rFonts w:hint="eastAsia" w:ascii="Times New Roman" w:hAnsi="Times New Roman" w:eastAsia="宋体" w:cs="Times New Roman"/>
          <w:color w:val="auto"/>
          <w:kern w:val="2"/>
          <w:sz w:val="24"/>
          <w:szCs w:val="22"/>
          <w:lang w:val="en-US" w:eastAsia="zh-CN" w:bidi="ar-SA"/>
        </w:rPr>
        <w:t>合同履行期间，甲方有权将履行过程中出现的问题反馈给乙方，双方当事人应以书面形式约定需要完善和改进的内容。</w:t>
      </w:r>
    </w:p>
    <w:p w14:paraId="0B0ADA18">
      <w:pPr>
        <w:widowControl w:val="0"/>
        <w:adjustRightInd w:val="0"/>
        <w:snapToGrid w:val="0"/>
        <w:spacing w:before="156" w:beforeLines="50" w:line="440" w:lineRule="exact"/>
        <w:ind w:firstLine="482" w:firstLineChars="200"/>
        <w:jc w:val="both"/>
        <w:rPr>
          <w:rFonts w:hint="eastAsia"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2.6</w:t>
      </w:r>
      <w:r>
        <w:rPr>
          <w:rFonts w:hint="eastAsia" w:ascii="Times New Roman" w:hAnsi="Times New Roman" w:eastAsia="宋体" w:cs="Times New Roman"/>
          <w:b/>
          <w:bCs/>
          <w:color w:val="auto"/>
          <w:kern w:val="2"/>
          <w:sz w:val="24"/>
          <w:szCs w:val="22"/>
          <w:lang w:val="en-US" w:eastAsia="zh-CN" w:bidi="ar-SA"/>
        </w:rPr>
        <w:t>结算方式和付款条件详见合同专用条款。</w:t>
      </w:r>
    </w:p>
    <w:p w14:paraId="5B1A0CFD">
      <w:pPr>
        <w:widowControl w:val="0"/>
        <w:autoSpaceDE w:val="0"/>
        <w:autoSpaceDN w:val="0"/>
        <w:adjustRightInd w:val="0"/>
        <w:rPr>
          <w:rFonts w:hint="default" w:ascii="黑体" w:hAnsi="Times New Roman" w:eastAsia="黑体" w:cs="Times New Roman"/>
          <w:color w:val="auto"/>
          <w:lang w:val="en-US" w:eastAsia="zh-CN" w:bidi="ar-SA"/>
        </w:rPr>
      </w:pPr>
      <w:r>
        <w:rPr>
          <w:rFonts w:hint="eastAsia" w:ascii="Times New Roman" w:hAnsi="Times New Roman" w:eastAsia="宋体" w:cs="Times New Roman"/>
          <w:b/>
          <w:bCs/>
          <w:color w:val="auto"/>
          <w:kern w:val="2"/>
          <w:sz w:val="24"/>
          <w:szCs w:val="22"/>
          <w:lang w:val="en-US" w:eastAsia="zh-CN" w:bidi="ar-SA"/>
        </w:rPr>
        <w:t xml:space="preserve">     乙方应在甲方付款前，向甲方开具相应金额的发票，若乙方未按约定开具合规发票，甲方有权顺延付款，顺延期间不计付逾期付款违约金。</w:t>
      </w:r>
    </w:p>
    <w:p w14:paraId="08396EB5">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2.7</w:t>
      </w:r>
      <w:r>
        <w:rPr>
          <w:rFonts w:hint="eastAsia" w:ascii="Times New Roman" w:hAnsi="Times New Roman" w:eastAsia="宋体" w:cs="Times New Roman"/>
          <w:b/>
          <w:bCs/>
          <w:color w:val="auto"/>
          <w:kern w:val="2"/>
          <w:sz w:val="24"/>
          <w:szCs w:val="22"/>
          <w:lang w:val="en-US" w:eastAsia="zh-CN" w:bidi="ar-SA"/>
        </w:rPr>
        <w:t>技术资料和保密义务</w:t>
      </w:r>
    </w:p>
    <w:p w14:paraId="7D5F0E2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2.7.1</w:t>
      </w:r>
      <w:r>
        <w:rPr>
          <w:rFonts w:hint="eastAsia" w:ascii="Times New Roman" w:hAnsi="Times New Roman" w:eastAsia="宋体" w:cs="Times New Roman"/>
          <w:color w:val="auto"/>
          <w:kern w:val="2"/>
          <w:sz w:val="24"/>
          <w:szCs w:val="22"/>
          <w:lang w:val="en-US" w:eastAsia="zh-CN" w:bidi="ar-SA"/>
        </w:rPr>
        <w:t>乙方有权依据合同约定和项目需要，向甲方了解有关情况，调阅有关资料等，甲方应予积极配合；</w:t>
      </w:r>
    </w:p>
    <w:p w14:paraId="74B8CAA0">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2.7.2</w:t>
      </w:r>
      <w:r>
        <w:rPr>
          <w:rFonts w:hint="eastAsia" w:ascii="Times New Roman" w:hAnsi="Times New Roman" w:eastAsia="宋体" w:cs="Times New Roman"/>
          <w:color w:val="auto"/>
          <w:kern w:val="2"/>
          <w:sz w:val="24"/>
          <w:szCs w:val="22"/>
          <w:lang w:val="en-US" w:eastAsia="zh-CN" w:bidi="ar-SA"/>
        </w:rPr>
        <w:t>乙方有义务妥善保管和保护由甲方提供的前款信息和资料等；</w:t>
      </w:r>
    </w:p>
    <w:p w14:paraId="31FFBBA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2.7.3</w:t>
      </w:r>
      <w:r>
        <w:rPr>
          <w:rFonts w:hint="eastAsia" w:ascii="Times New Roman" w:hAnsi="Times New Roman" w:eastAsia="宋体" w:cs="Times New Roman"/>
          <w:color w:val="auto"/>
          <w:kern w:val="2"/>
          <w:sz w:val="24"/>
          <w:szCs w:val="22"/>
          <w:lang w:val="en-US" w:eastAsia="zh-CN" w:bidi="ar-SA"/>
        </w:rPr>
        <w:t>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0B319478">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2.8</w:t>
      </w:r>
      <w:r>
        <w:rPr>
          <w:rFonts w:hint="eastAsia" w:ascii="Times New Roman" w:hAnsi="Times New Roman" w:eastAsia="宋体" w:cs="Times New Roman"/>
          <w:b/>
          <w:bCs/>
          <w:color w:val="auto"/>
          <w:kern w:val="2"/>
          <w:sz w:val="24"/>
          <w:szCs w:val="22"/>
          <w:lang w:val="en-US" w:eastAsia="zh-CN" w:bidi="ar-SA"/>
        </w:rPr>
        <w:t>质量保证</w:t>
      </w:r>
    </w:p>
    <w:p w14:paraId="53AEC61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2.8.1</w:t>
      </w:r>
      <w:r>
        <w:rPr>
          <w:rFonts w:hint="eastAsia" w:ascii="Times New Roman" w:hAnsi="Times New Roman" w:eastAsia="宋体" w:cs="Times New Roman"/>
          <w:color w:val="auto"/>
          <w:kern w:val="2"/>
          <w:sz w:val="24"/>
          <w:szCs w:val="22"/>
          <w:lang w:val="en-US" w:eastAsia="zh-CN" w:bidi="ar-SA"/>
        </w:rPr>
        <w:t>乙方应建立和完善履行合同的内部质量保证体系，并提供相关内部规章制度给甲方，以便甲方进行监督检查；</w:t>
      </w:r>
    </w:p>
    <w:p w14:paraId="09BFFF9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2.8.2</w:t>
      </w:r>
      <w:r>
        <w:rPr>
          <w:rFonts w:hint="eastAsia" w:ascii="Times New Roman" w:hAnsi="Times New Roman" w:eastAsia="宋体" w:cs="Times New Roman"/>
          <w:color w:val="auto"/>
          <w:kern w:val="2"/>
          <w:sz w:val="24"/>
          <w:szCs w:val="22"/>
          <w:lang w:val="en-US" w:eastAsia="zh-CN" w:bidi="ar-SA"/>
        </w:rPr>
        <w:t>乙方应保证履行合同的人员数量和素质、软件和硬件设备的配置、场地、环境和设施等满足全面履行合同的要求，并应接受甲方的监督检查。</w:t>
      </w:r>
    </w:p>
    <w:p w14:paraId="0A2EBB02">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2.9</w:t>
      </w:r>
      <w:r>
        <w:rPr>
          <w:rFonts w:hint="eastAsia" w:ascii="Times New Roman" w:hAnsi="Times New Roman" w:eastAsia="宋体" w:cs="Times New Roman"/>
          <w:b/>
          <w:bCs/>
          <w:color w:val="auto"/>
          <w:kern w:val="2"/>
          <w:sz w:val="24"/>
          <w:szCs w:val="22"/>
          <w:lang w:val="en-US" w:eastAsia="zh-CN" w:bidi="ar-SA"/>
        </w:rPr>
        <w:t>货物的风险负担</w:t>
      </w:r>
    </w:p>
    <w:p w14:paraId="63CD2FF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货物或者在途货物或者交付给第一承运人后的货物毁损、灭失的风险负担详见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1585BCF6">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2.10</w:t>
      </w:r>
      <w:r>
        <w:rPr>
          <w:rFonts w:hint="eastAsia" w:ascii="Times New Roman" w:hAnsi="Times New Roman" w:eastAsia="宋体" w:cs="Times New Roman"/>
          <w:b/>
          <w:bCs/>
          <w:color w:val="auto"/>
          <w:kern w:val="2"/>
          <w:sz w:val="24"/>
          <w:szCs w:val="22"/>
          <w:lang w:val="en-US" w:eastAsia="zh-CN" w:bidi="ar-SA"/>
        </w:rPr>
        <w:t>延迟交货</w:t>
      </w:r>
    </w:p>
    <w:p w14:paraId="64F2695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在合同履行过程中，如果乙方遇到不能按时交付货物的情况，应及时以书面形式将不能按时交付货物的理由、预期延误时间通知甲方；甲方收到乙方通知后，</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认为其理由正当的，可以书面形式酌情同意乙方可以延长交货的具体时间。</w:t>
      </w:r>
    </w:p>
    <w:p w14:paraId="46B41F47">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2.11</w:t>
      </w:r>
      <w:r>
        <w:rPr>
          <w:rFonts w:hint="eastAsia" w:ascii="Times New Roman" w:hAnsi="Times New Roman" w:eastAsia="宋体" w:cs="Times New Roman"/>
          <w:b/>
          <w:bCs/>
          <w:color w:val="auto"/>
          <w:kern w:val="2"/>
          <w:sz w:val="24"/>
          <w:szCs w:val="22"/>
          <w:lang w:val="en-US" w:eastAsia="zh-CN" w:bidi="ar-SA"/>
        </w:rPr>
        <w:t>合同变更</w:t>
      </w:r>
    </w:p>
    <w:p w14:paraId="4C2B559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2.11.1</w:t>
      </w:r>
      <w:r>
        <w:rPr>
          <w:rFonts w:hint="eastAsia" w:ascii="Times New Roman" w:hAnsi="Times New Roman" w:eastAsia="宋体" w:cs="Times New Roman"/>
          <w:color w:val="auto"/>
          <w:kern w:val="2"/>
          <w:sz w:val="24"/>
          <w:szCs w:val="22"/>
          <w:lang w:val="en-US" w:eastAsia="zh-CN" w:bidi="ar-SA"/>
        </w:rPr>
        <w:t>双方当事人协商一致，可以签订书面补充合同的形式变更合同，但不得违背采购文件确定的事项；</w:t>
      </w:r>
    </w:p>
    <w:p w14:paraId="505C4E7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2.11.2</w:t>
      </w:r>
      <w:r>
        <w:rPr>
          <w:rFonts w:hint="eastAsia" w:ascii="Times New Roman" w:hAnsi="Times New Roman" w:eastAsia="宋体" w:cs="Times New Roman"/>
          <w:color w:val="auto"/>
          <w:kern w:val="2"/>
          <w:sz w:val="24"/>
          <w:szCs w:val="22"/>
          <w:lang w:val="en-US" w:eastAsia="zh-CN" w:bidi="ar-SA"/>
        </w:rPr>
        <w:t>合同继续履行将损害国家利益和社会公共利益的，双方当事人应当以书面形式变更合同。有过错的一方应当承担赔偿责任，双方当事人都有过错的，各自承担相应的责任。</w:t>
      </w:r>
    </w:p>
    <w:p w14:paraId="55485663">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2.12</w:t>
      </w:r>
      <w:r>
        <w:rPr>
          <w:rFonts w:hint="eastAsia" w:ascii="Times New Roman" w:hAnsi="Times New Roman" w:eastAsia="宋体" w:cs="Times New Roman"/>
          <w:b/>
          <w:bCs/>
          <w:color w:val="auto"/>
          <w:kern w:val="2"/>
          <w:sz w:val="24"/>
          <w:szCs w:val="22"/>
          <w:lang w:val="en-US" w:eastAsia="zh-CN" w:bidi="ar-SA"/>
        </w:rPr>
        <w:t>合同转让和分包</w:t>
      </w:r>
    </w:p>
    <w:p w14:paraId="7D014DE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F697978">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2.13</w:t>
      </w:r>
      <w:r>
        <w:rPr>
          <w:rFonts w:hint="eastAsia" w:ascii="Times New Roman" w:hAnsi="Times New Roman" w:eastAsia="宋体" w:cs="Times New Roman"/>
          <w:b/>
          <w:bCs/>
          <w:color w:val="auto"/>
          <w:kern w:val="2"/>
          <w:sz w:val="24"/>
          <w:szCs w:val="22"/>
          <w:lang w:val="en-US" w:eastAsia="zh-CN" w:bidi="ar-SA"/>
        </w:rPr>
        <w:t>不可抗力</w:t>
      </w:r>
    </w:p>
    <w:p w14:paraId="6FE827D2">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2.13.1</w:t>
      </w:r>
      <w:r>
        <w:rPr>
          <w:rFonts w:hint="eastAsia" w:ascii="Times New Roman" w:hAnsi="Times New Roman" w:eastAsia="宋体" w:cs="Times New Roman"/>
          <w:color w:val="auto"/>
          <w:kern w:val="2"/>
          <w:sz w:val="24"/>
          <w:szCs w:val="22"/>
          <w:lang w:val="en-US" w:eastAsia="zh-CN" w:bidi="ar-SA"/>
        </w:rPr>
        <w:t>如果任何一方遭遇法律规定的不可抗力，致使合同履行受阻时，履行合同的期限应予延长，延长的期限应相当于不可抗力所影响的时间；</w:t>
      </w:r>
    </w:p>
    <w:p w14:paraId="335A157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2.13.2</w:t>
      </w:r>
      <w:r>
        <w:rPr>
          <w:rFonts w:hint="eastAsia" w:ascii="Times New Roman" w:hAnsi="Times New Roman" w:eastAsia="宋体" w:cs="Times New Roman"/>
          <w:color w:val="auto"/>
          <w:kern w:val="2"/>
          <w:sz w:val="24"/>
          <w:szCs w:val="22"/>
          <w:lang w:val="en-US" w:eastAsia="zh-CN" w:bidi="ar-SA"/>
        </w:rPr>
        <w:t>因不可抗力致使不能实现合同目的的，当事人可以解除合同；</w:t>
      </w:r>
    </w:p>
    <w:p w14:paraId="3BCC277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2.13.3</w:t>
      </w:r>
      <w:r>
        <w:rPr>
          <w:rFonts w:hint="eastAsia" w:ascii="Times New Roman" w:hAnsi="Times New Roman" w:eastAsia="宋体" w:cs="Times New Roman"/>
          <w:color w:val="auto"/>
          <w:kern w:val="2"/>
          <w:sz w:val="24"/>
          <w:szCs w:val="22"/>
          <w:lang w:val="en-US" w:eastAsia="zh-CN" w:bidi="ar-SA"/>
        </w:rPr>
        <w:t>因不可抗力致使合同有变更必要的，双方当事人应在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定时间内以书面形式变更合同；</w:t>
      </w:r>
    </w:p>
    <w:p w14:paraId="7456A4D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2.13.4</w:t>
      </w:r>
      <w:r>
        <w:rPr>
          <w:rFonts w:hint="eastAsia" w:ascii="Times New Roman" w:hAnsi="Times New Roman" w:eastAsia="宋体" w:cs="Times New Roman"/>
          <w:color w:val="auto"/>
          <w:kern w:val="2"/>
          <w:sz w:val="24"/>
          <w:szCs w:val="22"/>
          <w:lang w:val="en-US" w:eastAsia="zh-CN" w:bidi="ar-SA"/>
        </w:rPr>
        <w:t>受不可抗力影响的一方在不可抗力发生后，应在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w:t>
      </w:r>
      <w:r>
        <w:rPr>
          <w:rFonts w:ascii="Times New Roman" w:hAnsi="Times New Roman" w:eastAsia="宋体" w:cs="Times New Roman"/>
          <w:color w:val="auto"/>
          <w:kern w:val="2"/>
          <w:sz w:val="24"/>
          <w:szCs w:val="22"/>
          <w:lang w:val="en-US" w:eastAsia="zh-CN" w:bidi="ar-SA"/>
        </w:rPr>
        <w:t xml:space="preserve"> </w:t>
      </w:r>
      <w:r>
        <w:rPr>
          <w:rFonts w:hint="eastAsia" w:ascii="Times New Roman" w:hAnsi="Times New Roman" w:eastAsia="宋体" w:cs="Times New Roman"/>
          <w:color w:val="auto"/>
          <w:kern w:val="2"/>
          <w:sz w:val="24"/>
          <w:szCs w:val="22"/>
          <w:lang w:val="en-US" w:eastAsia="zh-CN" w:bidi="ar-SA"/>
        </w:rPr>
        <w:t>间内以书面形式通知对方当事人，并在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约定时间内，将有关部门出具的证明文件送达对方当事人。</w:t>
      </w:r>
    </w:p>
    <w:p w14:paraId="78FCD4CC">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2.14</w:t>
      </w:r>
      <w:r>
        <w:rPr>
          <w:rFonts w:hint="eastAsia" w:ascii="Times New Roman" w:hAnsi="Times New Roman" w:eastAsia="宋体" w:cs="Times New Roman"/>
          <w:b/>
          <w:bCs/>
          <w:color w:val="auto"/>
          <w:kern w:val="2"/>
          <w:sz w:val="24"/>
          <w:szCs w:val="22"/>
          <w:lang w:val="en-US" w:eastAsia="zh-CN" w:bidi="ar-SA"/>
        </w:rPr>
        <w:t>税费</w:t>
      </w:r>
    </w:p>
    <w:p w14:paraId="56623E05">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与合同有关的一切税费，均按照中华人民共和国法律的相关规定缴纳。</w:t>
      </w:r>
    </w:p>
    <w:p w14:paraId="35B4D999">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2.15</w:t>
      </w:r>
      <w:r>
        <w:rPr>
          <w:rFonts w:hint="eastAsia" w:ascii="Times New Roman" w:hAnsi="Times New Roman" w:eastAsia="宋体" w:cs="Times New Roman"/>
          <w:b/>
          <w:bCs/>
          <w:color w:val="auto"/>
          <w:kern w:val="2"/>
          <w:sz w:val="24"/>
          <w:szCs w:val="22"/>
          <w:lang w:val="en-US" w:eastAsia="zh-CN" w:bidi="ar-SA"/>
        </w:rPr>
        <w:t>乙方破产</w:t>
      </w:r>
    </w:p>
    <w:p w14:paraId="2E490FD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4BF4D651">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w:t>
      </w:r>
      <w:r>
        <w:rPr>
          <w:rFonts w:hint="eastAsia" w:ascii="Times New Roman" w:hAnsi="Times New Roman" w:eastAsia="宋体" w:cs="Times New Roman"/>
          <w:color w:val="auto"/>
          <w:kern w:val="2"/>
          <w:sz w:val="24"/>
          <w:szCs w:val="22"/>
          <w:lang w:val="en-US" w:eastAsia="zh-CN" w:bidi="ar-SA"/>
        </w:rPr>
        <w:t>合同中止、终止</w:t>
      </w:r>
    </w:p>
    <w:p w14:paraId="2A8038F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2.16.1</w:t>
      </w:r>
      <w:r>
        <w:rPr>
          <w:rFonts w:hint="eastAsia" w:ascii="Times New Roman" w:hAnsi="Times New Roman" w:eastAsia="宋体" w:cs="Times New Roman"/>
          <w:color w:val="auto"/>
          <w:kern w:val="2"/>
          <w:sz w:val="24"/>
          <w:szCs w:val="22"/>
          <w:lang w:val="en-US" w:eastAsia="zh-CN" w:bidi="ar-SA"/>
        </w:rPr>
        <w:t>双方当事人不得擅自中止或者终止合同；</w:t>
      </w:r>
    </w:p>
    <w:p w14:paraId="0F529FD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2.16.2</w:t>
      </w:r>
      <w:r>
        <w:rPr>
          <w:rFonts w:hint="eastAsia" w:ascii="Times New Roman" w:hAnsi="Times New Roman" w:eastAsia="宋体" w:cs="Times New Roman"/>
          <w:color w:val="auto"/>
          <w:kern w:val="2"/>
          <w:sz w:val="24"/>
          <w:szCs w:val="22"/>
          <w:lang w:val="en-US" w:eastAsia="zh-CN" w:bidi="ar-SA"/>
        </w:rPr>
        <w:t>合同继续履行将损害国家利益和社会公共利益的，双方当事人应当中止或者终止合同。有过错的一方应当承担赔偿责任，双方当事人都有过错的，各自承担相应的责任。</w:t>
      </w:r>
    </w:p>
    <w:p w14:paraId="1AB0D78D">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2.17</w:t>
      </w:r>
      <w:r>
        <w:rPr>
          <w:rFonts w:hint="eastAsia" w:ascii="Times New Roman" w:hAnsi="Times New Roman" w:eastAsia="宋体" w:cs="Times New Roman"/>
          <w:b/>
          <w:bCs/>
          <w:color w:val="auto"/>
          <w:kern w:val="2"/>
          <w:sz w:val="24"/>
          <w:szCs w:val="22"/>
          <w:lang w:val="en-US" w:eastAsia="zh-CN" w:bidi="ar-SA"/>
        </w:rPr>
        <w:t>检验和验收</w:t>
      </w:r>
    </w:p>
    <w:p w14:paraId="37EE71C7">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2.17.1</w:t>
      </w:r>
      <w:r>
        <w:rPr>
          <w:rFonts w:hint="eastAsia" w:ascii="Times New Roman" w:hAnsi="Times New Roman" w:eastAsia="宋体" w:cs="Times New Roman"/>
          <w:color w:val="auto"/>
          <w:kern w:val="2"/>
          <w:sz w:val="24"/>
          <w:szCs w:val="22"/>
          <w:lang w:val="en-US" w:eastAsia="zh-CN" w:bidi="ar-SA"/>
        </w:rPr>
        <w:t>货物交付前，乙方应对货物的质量、数量等方面进行详细、全面的检验，并向甲方出具证明货物符合合同约定的文件；货物交付时，乙方在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约定时间内组织验收，并可依法邀请相关方参加，验收应出具验收书。</w:t>
      </w:r>
    </w:p>
    <w:p w14:paraId="0CD4821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2.17.2</w:t>
      </w:r>
      <w:r>
        <w:rPr>
          <w:rFonts w:hint="eastAsia" w:ascii="Times New Roman" w:hAnsi="Times New Roman" w:eastAsia="宋体" w:cs="Times New Roman"/>
          <w:color w:val="auto"/>
          <w:kern w:val="2"/>
          <w:sz w:val="24"/>
          <w:szCs w:val="22"/>
          <w:lang w:val="en-US" w:eastAsia="zh-CN" w:bidi="ar-SA"/>
        </w:rPr>
        <w:t>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00F8B5D">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2.17.3</w:t>
      </w:r>
      <w:r>
        <w:rPr>
          <w:rFonts w:hint="eastAsia" w:ascii="Times New Roman" w:hAnsi="Times New Roman" w:eastAsia="宋体" w:cs="Times New Roman"/>
          <w:color w:val="auto"/>
          <w:kern w:val="2"/>
          <w:sz w:val="24"/>
          <w:szCs w:val="22"/>
          <w:lang w:val="en-US" w:eastAsia="zh-CN" w:bidi="ar-SA"/>
        </w:rPr>
        <w:t>检验和验收标准、程序等具体内容以及前述验收书的效力详见</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w:t>
      </w:r>
    </w:p>
    <w:p w14:paraId="4B001133">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2.18</w:t>
      </w:r>
      <w:r>
        <w:rPr>
          <w:rFonts w:hint="eastAsia" w:ascii="Times New Roman" w:hAnsi="Times New Roman" w:eastAsia="宋体" w:cs="Times New Roman"/>
          <w:b/>
          <w:bCs/>
          <w:color w:val="auto"/>
          <w:kern w:val="2"/>
          <w:sz w:val="24"/>
          <w:szCs w:val="22"/>
          <w:lang w:val="en-US" w:eastAsia="zh-CN" w:bidi="ar-SA"/>
        </w:rPr>
        <w:t>计量单位</w:t>
      </w:r>
    </w:p>
    <w:p w14:paraId="4BF2C59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除技术规范中另有规定外，合同的计量单位均使用国家法定计量单位。</w:t>
      </w:r>
    </w:p>
    <w:p w14:paraId="59B3D812">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2.19</w:t>
      </w:r>
      <w:r>
        <w:rPr>
          <w:rFonts w:hint="eastAsia" w:ascii="Times New Roman" w:hAnsi="Times New Roman" w:eastAsia="宋体" w:cs="Times New Roman"/>
          <w:b/>
          <w:bCs/>
          <w:color w:val="auto"/>
          <w:kern w:val="2"/>
          <w:sz w:val="24"/>
          <w:szCs w:val="22"/>
          <w:lang w:val="en-US" w:eastAsia="zh-CN" w:bidi="ar-SA"/>
        </w:rPr>
        <w:t>合同使用的文字和适用的法律</w:t>
      </w:r>
    </w:p>
    <w:p w14:paraId="043BC76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2.19.1</w:t>
      </w:r>
      <w:r>
        <w:rPr>
          <w:rFonts w:hint="eastAsia" w:ascii="Times New Roman" w:hAnsi="Times New Roman" w:eastAsia="宋体" w:cs="Times New Roman"/>
          <w:color w:val="auto"/>
          <w:kern w:val="2"/>
          <w:sz w:val="24"/>
          <w:szCs w:val="22"/>
          <w:lang w:val="en-US" w:eastAsia="zh-CN" w:bidi="ar-SA"/>
        </w:rPr>
        <w:t>合同使用汉语书就、变更和解释；</w:t>
      </w:r>
    </w:p>
    <w:p w14:paraId="006F31E8">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2.19.2</w:t>
      </w:r>
      <w:r>
        <w:rPr>
          <w:rFonts w:hint="eastAsia" w:ascii="Times New Roman" w:hAnsi="Times New Roman" w:eastAsia="宋体" w:cs="Times New Roman"/>
          <w:color w:val="auto"/>
          <w:kern w:val="2"/>
          <w:sz w:val="24"/>
          <w:szCs w:val="22"/>
          <w:lang w:val="en-US" w:eastAsia="zh-CN" w:bidi="ar-SA"/>
        </w:rPr>
        <w:t>合同适用中华人民共和国法律。</w:t>
      </w:r>
    </w:p>
    <w:p w14:paraId="3C1E7EDA">
      <w:pPr>
        <w:widowControl w:val="0"/>
        <w:adjustRightInd w:val="0"/>
        <w:snapToGrid w:val="0"/>
        <w:spacing w:before="156" w:beforeLines="50" w:line="440" w:lineRule="exact"/>
        <w:ind w:firstLine="482" w:firstLineChars="200"/>
        <w:jc w:val="both"/>
        <w:rPr>
          <w:rFonts w:ascii="Times New Roman" w:hAnsi="Times New Roman" w:eastAsia="宋体" w:cs="Times New Roman"/>
          <w:b/>
          <w:bCs/>
          <w:color w:val="auto"/>
          <w:kern w:val="2"/>
          <w:sz w:val="24"/>
          <w:szCs w:val="22"/>
          <w:lang w:val="en-US" w:eastAsia="zh-CN" w:bidi="ar-SA"/>
        </w:rPr>
      </w:pPr>
      <w:r>
        <w:rPr>
          <w:rFonts w:ascii="Times New Roman" w:hAnsi="Times New Roman" w:eastAsia="宋体" w:cs="Times New Roman"/>
          <w:b/>
          <w:bCs/>
          <w:color w:val="auto"/>
          <w:kern w:val="2"/>
          <w:sz w:val="24"/>
          <w:szCs w:val="22"/>
          <w:lang w:val="en-US" w:eastAsia="zh-CN" w:bidi="ar-SA"/>
        </w:rPr>
        <w:t>2.20</w:t>
      </w:r>
      <w:r>
        <w:rPr>
          <w:rFonts w:hint="eastAsia" w:ascii="Times New Roman" w:hAnsi="Times New Roman" w:eastAsia="宋体" w:cs="Times New Roman"/>
          <w:b/>
          <w:bCs/>
          <w:color w:val="auto"/>
          <w:kern w:val="2"/>
          <w:sz w:val="24"/>
          <w:szCs w:val="22"/>
          <w:lang w:val="en-US" w:eastAsia="zh-CN" w:bidi="ar-SA"/>
        </w:rPr>
        <w:t>履约保证金</w:t>
      </w:r>
    </w:p>
    <w:p w14:paraId="37B388DE">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2.20.1</w:t>
      </w:r>
      <w:r>
        <w:rPr>
          <w:rFonts w:hint="eastAsia" w:ascii="Times New Roman" w:hAnsi="Times New Roman" w:eastAsia="宋体" w:cs="Times New Roman"/>
          <w:color w:val="auto"/>
          <w:kern w:val="2"/>
          <w:sz w:val="24"/>
          <w:szCs w:val="22"/>
          <w:lang w:val="en-US" w:eastAsia="zh-CN" w:bidi="ar-SA"/>
        </w:rPr>
        <w:t>采购文件要求乙方提交履约保证金的，乙方应按</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约定的方式，以支票、汇票、本票或者金融机构、担保机构出具的保函等非现金形式，提交不超过合同价</w:t>
      </w:r>
      <w:r>
        <w:rPr>
          <w:rFonts w:ascii="Times New Roman" w:hAnsi="Times New Roman" w:eastAsia="宋体" w:cs="Times New Roman"/>
          <w:color w:val="auto"/>
          <w:kern w:val="2"/>
          <w:sz w:val="24"/>
          <w:szCs w:val="22"/>
          <w:lang w:val="en-US" w:eastAsia="zh-CN" w:bidi="ar-SA"/>
        </w:rPr>
        <w:t>10%</w:t>
      </w:r>
      <w:r>
        <w:rPr>
          <w:rFonts w:hint="eastAsia" w:ascii="Times New Roman" w:hAnsi="Times New Roman" w:eastAsia="宋体" w:cs="Times New Roman"/>
          <w:color w:val="auto"/>
          <w:kern w:val="2"/>
          <w:sz w:val="24"/>
          <w:szCs w:val="22"/>
          <w:lang w:val="en-US" w:eastAsia="zh-CN" w:bidi="ar-SA"/>
        </w:rPr>
        <w:t>的履约保证金；</w:t>
      </w:r>
    </w:p>
    <w:p w14:paraId="6B1B820C">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2.20.2</w:t>
      </w:r>
      <w:r>
        <w:rPr>
          <w:rFonts w:hint="eastAsia" w:ascii="Times New Roman" w:hAnsi="Times New Roman" w:eastAsia="宋体" w:cs="Times New Roman"/>
          <w:color w:val="auto"/>
          <w:kern w:val="2"/>
          <w:sz w:val="24"/>
          <w:szCs w:val="22"/>
          <w:lang w:val="en-US" w:eastAsia="zh-CN" w:bidi="ar-SA"/>
        </w:rPr>
        <w:t>履约保证金在</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约定期间内或者货物质量保证期内不予退还或者应完全有效，前述约定期间届满或者货物质量保证期届满之日起</w:t>
      </w:r>
      <w:r>
        <w:rPr>
          <w:rFonts w:ascii="Times New Roman" w:hAnsi="Times New Roman" w:eastAsia="宋体" w:cs="Times New Roman"/>
          <w:color w:val="auto"/>
          <w:kern w:val="2"/>
          <w:sz w:val="24"/>
          <w:szCs w:val="22"/>
          <w:u w:val="single"/>
          <w:lang w:val="en-US" w:eastAsia="zh-CN" w:bidi="ar-SA"/>
        </w:rPr>
        <w:t xml:space="preserve"> / </w:t>
      </w:r>
      <w:r>
        <w:rPr>
          <w:rFonts w:hint="eastAsia" w:ascii="Times New Roman" w:hAnsi="Times New Roman" w:eastAsia="宋体" w:cs="Times New Roman"/>
          <w:color w:val="auto"/>
          <w:kern w:val="2"/>
          <w:sz w:val="24"/>
          <w:szCs w:val="22"/>
          <w:lang w:val="en-US" w:eastAsia="zh-CN" w:bidi="ar-SA"/>
        </w:rPr>
        <w:t>个工作日内，甲方应将履约保证金退还乙方；</w:t>
      </w:r>
    </w:p>
    <w:p w14:paraId="0D4553F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2.20.3</w:t>
      </w:r>
      <w:r>
        <w:rPr>
          <w:rFonts w:hint="eastAsia" w:ascii="Times New Roman" w:hAnsi="Times New Roman" w:eastAsia="宋体" w:cs="Times New Roman"/>
          <w:color w:val="auto"/>
          <w:kern w:val="2"/>
          <w:sz w:val="24"/>
          <w:szCs w:val="22"/>
          <w:lang w:val="en-US" w:eastAsia="zh-CN" w:bidi="ar-SA"/>
        </w:rPr>
        <w:t>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83C4C09">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ascii="Times New Roman" w:hAnsi="Times New Roman" w:eastAsia="宋体" w:cs="Times New Roman"/>
          <w:color w:val="auto"/>
          <w:kern w:val="2"/>
          <w:sz w:val="24"/>
          <w:szCs w:val="22"/>
          <w:lang w:val="en-US" w:eastAsia="zh-CN" w:bidi="ar-SA"/>
        </w:rPr>
        <w:t>2.21</w:t>
      </w:r>
      <w:r>
        <w:rPr>
          <w:rFonts w:hint="eastAsia" w:ascii="Times New Roman" w:hAnsi="Times New Roman" w:eastAsia="宋体" w:cs="Times New Roman"/>
          <w:color w:val="auto"/>
          <w:kern w:val="2"/>
          <w:sz w:val="24"/>
          <w:szCs w:val="22"/>
          <w:lang w:val="en-US" w:eastAsia="zh-CN" w:bidi="ar-SA"/>
        </w:rPr>
        <w:t>合同份数</w:t>
      </w:r>
    </w:p>
    <w:p w14:paraId="4B0D0D7A">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合同份数按</w:t>
      </w:r>
      <w:r>
        <w:rPr>
          <w:rFonts w:hint="eastAsia" w:ascii="Times New Roman" w:hAnsi="Times New Roman" w:eastAsia="宋体" w:cs="Times New Roman"/>
          <w:b/>
          <w:color w:val="auto"/>
          <w:kern w:val="2"/>
          <w:sz w:val="24"/>
          <w:szCs w:val="22"/>
          <w:lang w:val="en-US" w:eastAsia="zh-CN" w:bidi="ar-SA"/>
        </w:rPr>
        <w:t>合同专用条款</w:t>
      </w:r>
      <w:r>
        <w:rPr>
          <w:rFonts w:hint="eastAsia" w:ascii="Times New Roman" w:hAnsi="Times New Roman" w:eastAsia="宋体" w:cs="Times New Roman"/>
          <w:color w:val="auto"/>
          <w:kern w:val="2"/>
          <w:sz w:val="24"/>
          <w:szCs w:val="22"/>
          <w:lang w:val="en-US" w:eastAsia="zh-CN" w:bidi="ar-SA"/>
        </w:rPr>
        <w:t>规定，每份均具有同等法律效力。</w:t>
      </w:r>
    </w:p>
    <w:p w14:paraId="1784B1AB">
      <w:pPr>
        <w:spacing w:line="440" w:lineRule="exact"/>
        <w:rPr>
          <w:rFonts w:ascii="Calibri" w:hAnsi="Calibri" w:eastAsia="宋体"/>
          <w:color w:val="auto"/>
          <w:sz w:val="24"/>
          <w:szCs w:val="24"/>
        </w:rPr>
      </w:pPr>
      <w:r>
        <w:rPr>
          <w:rFonts w:hint="eastAsia" w:ascii="Calibri" w:hAnsi="Calibri" w:eastAsia="宋体"/>
          <w:color w:val="auto"/>
          <w:sz w:val="24"/>
          <w:szCs w:val="24"/>
        </w:rPr>
        <w:br w:type="page"/>
      </w:r>
    </w:p>
    <w:p w14:paraId="3F2519D3">
      <w:pPr>
        <w:keepNext/>
        <w:keepLines/>
        <w:widowControl w:val="0"/>
        <w:tabs>
          <w:tab w:val="left" w:pos="0"/>
        </w:tabs>
        <w:spacing w:before="50" w:beforeLines="50" w:after="10" w:line="560" w:lineRule="exact"/>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第三部分</w:t>
      </w:r>
      <w:r>
        <w:rPr>
          <w:rFonts w:ascii="Arial" w:hAnsi="Arial" w:eastAsia="黑体" w:cs="Times New Roman"/>
          <w:color w:val="auto"/>
          <w:kern w:val="2"/>
          <w:sz w:val="30"/>
          <w:szCs w:val="24"/>
          <w:lang w:val="en-US" w:eastAsia="zh-CN" w:bidi="ar-SA"/>
        </w:rPr>
        <w:t xml:space="preserve"> </w:t>
      </w:r>
      <w:r>
        <w:rPr>
          <w:rFonts w:hint="eastAsia" w:ascii="Arial" w:hAnsi="Arial" w:eastAsia="黑体" w:cs="Times New Roman"/>
          <w:color w:val="auto"/>
          <w:kern w:val="2"/>
          <w:sz w:val="30"/>
          <w:szCs w:val="24"/>
          <w:lang w:val="en-US" w:eastAsia="zh-CN" w:bidi="ar-SA"/>
        </w:rPr>
        <w:t>政府采购合同专用条款</w:t>
      </w:r>
    </w:p>
    <w:p w14:paraId="27EEB284">
      <w:pPr>
        <w:widowControl w:val="0"/>
        <w:adjustRightInd w:val="0"/>
        <w:snapToGrid w:val="0"/>
        <w:spacing w:before="156" w:beforeLines="50" w:line="440" w:lineRule="exact"/>
        <w:ind w:firstLine="480" w:firstLineChars="20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34"/>
        <w:tblW w:w="0" w:type="auto"/>
        <w:tblInd w:w="0" w:type="dxa"/>
        <w:tblLayout w:type="autofit"/>
        <w:tblCellMar>
          <w:top w:w="0" w:type="dxa"/>
          <w:left w:w="108" w:type="dxa"/>
          <w:bottom w:w="0" w:type="dxa"/>
          <w:right w:w="108" w:type="dxa"/>
        </w:tblCellMar>
      </w:tblPr>
      <w:tblGrid>
        <w:gridCol w:w="1434"/>
        <w:gridCol w:w="2231"/>
        <w:gridCol w:w="6451"/>
      </w:tblGrid>
      <w:tr w14:paraId="56BFBCD9">
        <w:tblPrEx>
          <w:tblCellMar>
            <w:top w:w="0" w:type="dxa"/>
            <w:left w:w="108" w:type="dxa"/>
            <w:bottom w:w="0" w:type="dxa"/>
            <w:right w:w="108" w:type="dxa"/>
          </w:tblCellMar>
        </w:tblPrEx>
        <w:trPr>
          <w:trHeight w:val="587" w:hRule="atLeast"/>
        </w:trPr>
        <w:tc>
          <w:tcPr>
            <w:tcW w:w="1454" w:type="dxa"/>
            <w:tcBorders>
              <w:top w:val="double" w:color="auto" w:sz="4" w:space="0"/>
              <w:left w:val="double" w:color="auto" w:sz="4" w:space="0"/>
              <w:bottom w:val="single" w:color="auto" w:sz="4" w:space="0"/>
              <w:right w:val="single" w:color="auto" w:sz="4" w:space="0"/>
            </w:tcBorders>
            <w:noWrap w:val="0"/>
            <w:vAlign w:val="center"/>
          </w:tcPr>
          <w:p w14:paraId="17610C85">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条款号</w:t>
            </w:r>
          </w:p>
        </w:tc>
        <w:tc>
          <w:tcPr>
            <w:tcW w:w="2269" w:type="dxa"/>
            <w:tcBorders>
              <w:top w:val="double" w:color="auto" w:sz="4" w:space="0"/>
              <w:left w:val="single" w:color="auto" w:sz="4" w:space="0"/>
              <w:bottom w:val="single" w:color="auto" w:sz="4" w:space="0"/>
              <w:right w:val="single" w:color="000000" w:sz="4" w:space="0"/>
            </w:tcBorders>
            <w:noWrap w:val="0"/>
            <w:vAlign w:val="center"/>
          </w:tcPr>
          <w:p w14:paraId="39BF8781">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条款名称</w:t>
            </w:r>
          </w:p>
        </w:tc>
        <w:tc>
          <w:tcPr>
            <w:tcW w:w="6585" w:type="dxa"/>
            <w:tcBorders>
              <w:top w:val="double" w:color="auto" w:sz="4" w:space="0"/>
              <w:left w:val="single" w:color="000000" w:sz="4" w:space="0"/>
              <w:bottom w:val="single" w:color="auto" w:sz="4" w:space="0"/>
              <w:right w:val="double" w:color="auto" w:sz="4" w:space="0"/>
            </w:tcBorders>
            <w:noWrap w:val="0"/>
            <w:vAlign w:val="center"/>
          </w:tcPr>
          <w:p w14:paraId="63458162">
            <w:pPr>
              <w:widowControl w:val="0"/>
              <w:tabs>
                <w:tab w:val="left" w:pos="0"/>
              </w:tabs>
              <w:spacing w:line="300" w:lineRule="exact"/>
              <w:jc w:val="center"/>
              <w:rPr>
                <w:rFonts w:ascii="Times New Roman" w:hAnsi="Times New Roman" w:eastAsia="微软雅黑" w:cs="Times New Roman"/>
                <w:b/>
                <w:color w:val="auto"/>
                <w:kern w:val="2"/>
                <w:sz w:val="22"/>
                <w:szCs w:val="20"/>
                <w:lang w:val="en-US" w:eastAsia="zh-CN" w:bidi="ar-SA"/>
              </w:rPr>
            </w:pPr>
            <w:r>
              <w:rPr>
                <w:rFonts w:hint="eastAsia" w:ascii="Times New Roman" w:hAnsi="Times New Roman" w:eastAsia="微软雅黑" w:cs="Times New Roman"/>
                <w:b/>
                <w:color w:val="auto"/>
                <w:kern w:val="2"/>
                <w:sz w:val="22"/>
                <w:szCs w:val="20"/>
                <w:lang w:val="en-US" w:eastAsia="zh-CN" w:bidi="ar-SA"/>
              </w:rPr>
              <w:t>约定内容</w:t>
            </w:r>
          </w:p>
        </w:tc>
      </w:tr>
      <w:tr w14:paraId="42BE4234">
        <w:tblPrEx>
          <w:tblCellMar>
            <w:top w:w="0" w:type="dxa"/>
            <w:left w:w="108" w:type="dxa"/>
            <w:bottom w:w="0" w:type="dxa"/>
            <w:right w:w="108" w:type="dxa"/>
          </w:tblCellMar>
        </w:tblPrEx>
        <w:trPr>
          <w:trHeight w:val="68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0AE29A02">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2. 3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3BB52745">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知识产权</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61F1566A">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必须保证，采购人在中华人民共和国境内使用投标货物、资料、技术、服务或其任何一部分时，享有不受限制的无偿使用权，如有第三方向采购人提出侵犯其专利权、商标权或其他知识产权的主张，该责任应由供应商承担。</w:t>
            </w:r>
          </w:p>
          <w:p w14:paraId="6B2674F7">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投标报价应包含所有应向所有权人支付的专利权、商标权或其他知识产权的一切相关费用。</w:t>
            </w:r>
          </w:p>
          <w:p w14:paraId="05209B24">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系统软件、通用软件必须是具有在中国境内的合法使用权或版权的正版软件，涉及到第三方提出侵权或知识产权的起诉及支付版税等费用由供应商承担所有责任及费用。</w:t>
            </w:r>
          </w:p>
          <w:p w14:paraId="112C9468">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中标人需对所有成果、产品的知识产权负有瑕疵担保责任，因使用未被授权使用的技术、组件、系统软件、通用软件等知识产权问题引起的纠纷所产生的所有责任及费用由中标人自行承担。</w:t>
            </w:r>
          </w:p>
          <w:p w14:paraId="5D6D07F6">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 xml:space="preserve">本项目研究成果及其技术文档等所有权由采购人享有，技术文档资料包括完备的系统设计文档、功能模块说明、程序源代码、执行代码、使用手册等，采购人对本项目的所有成果具有所有权。项目所交付的应用系统软件环境包括生产环境（正式环境）、测试环境、开发环境，所有环境均要求能正常使用，未经采购人许可，中标人不得将相关采购人资料提供给第三方。 </w:t>
            </w:r>
          </w:p>
        </w:tc>
      </w:tr>
      <w:tr w14:paraId="716D9B5A">
        <w:tblPrEx>
          <w:tblCellMar>
            <w:top w:w="0" w:type="dxa"/>
            <w:left w:w="108" w:type="dxa"/>
            <w:bottom w:w="0" w:type="dxa"/>
            <w:right w:w="108" w:type="dxa"/>
          </w:tblCellMar>
        </w:tblPrEx>
        <w:tc>
          <w:tcPr>
            <w:tcW w:w="1454" w:type="dxa"/>
            <w:tcBorders>
              <w:top w:val="single" w:color="auto" w:sz="4" w:space="0"/>
              <w:left w:val="double" w:color="auto" w:sz="4" w:space="0"/>
              <w:bottom w:val="single" w:color="auto" w:sz="4" w:space="0"/>
              <w:right w:val="single" w:color="auto" w:sz="4" w:space="0"/>
            </w:tcBorders>
            <w:noWrap w:val="0"/>
            <w:vAlign w:val="center"/>
          </w:tcPr>
          <w:p w14:paraId="5153A591">
            <w:pPr>
              <w:widowControl w:val="0"/>
              <w:spacing w:line="300" w:lineRule="exact"/>
              <w:jc w:val="center"/>
              <w:rPr>
                <w:rFonts w:hint="eastAsia"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w:t>
            </w:r>
            <w:r>
              <w:rPr>
                <w:rFonts w:hint="eastAsia" w:ascii="Times New Roman" w:hAnsi="Times New Roman" w:eastAsia="微软雅黑" w:cs="Times New Roman"/>
                <w:b/>
                <w:color w:val="auto"/>
                <w:kern w:val="2"/>
                <w:sz w:val="22"/>
                <w:szCs w:val="24"/>
                <w:lang w:val="en-US" w:eastAsia="zh-CN" w:bidi="ar-SA"/>
              </w:rPr>
              <w:t>6</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32B7DF01">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结算方式和付款条件</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6FF9873B">
            <w:pPr>
              <w:widowControl w:val="0"/>
              <w:bidi w:val="0"/>
              <w:spacing w:before="10" w:beforeLines="10" w:line="240" w:lineRule="exact"/>
              <w:ind w:left="0" w:leftChars="0" w:firstLine="0" w:firstLineChars="0"/>
              <w:jc w:val="left"/>
              <w:rPr>
                <w:rFonts w:hint="default" w:ascii="微软雅黑" w:hAnsi="微软雅黑" w:eastAsia="微软雅黑" w:cs="微软雅黑"/>
                <w:b w:val="0"/>
                <w:bCs/>
                <w:color w:val="auto"/>
                <w:kern w:val="2"/>
                <w:sz w:val="22"/>
                <w:szCs w:val="24"/>
                <w:lang w:val="en-US" w:eastAsia="zh-CN" w:bidi="ar-SA"/>
              </w:rPr>
            </w:pPr>
            <w:r>
              <w:rPr>
                <w:rFonts w:hint="eastAsia" w:eastAsia="微软雅黑" w:cs="宋体"/>
                <w:color w:val="auto"/>
                <w:kern w:val="2"/>
                <w:sz w:val="20"/>
                <w:szCs w:val="24"/>
                <w:u w:val="none"/>
                <w:lang w:val="en-US" w:eastAsia="zh-CN" w:bidi="ar-SA"/>
              </w:rPr>
              <w:t>合同签订时约定</w:t>
            </w:r>
          </w:p>
        </w:tc>
      </w:tr>
      <w:tr w14:paraId="05AB3EAA">
        <w:tblPrEx>
          <w:tblCellMar>
            <w:top w:w="0" w:type="dxa"/>
            <w:left w:w="108" w:type="dxa"/>
            <w:bottom w:w="0" w:type="dxa"/>
            <w:right w:w="108" w:type="dxa"/>
          </w:tblCellMar>
        </w:tblPrEx>
        <w:trPr>
          <w:trHeight w:val="650"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2022984B">
            <w:pPr>
              <w:widowControl w:val="0"/>
              <w:spacing w:line="300" w:lineRule="exact"/>
              <w:jc w:val="center"/>
              <w:rPr>
                <w:rFonts w:hint="eastAsia"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w:t>
            </w:r>
            <w:r>
              <w:rPr>
                <w:rFonts w:hint="eastAsia" w:ascii="Times New Roman" w:hAnsi="Times New Roman" w:eastAsia="微软雅黑" w:cs="Times New Roman"/>
                <w:b/>
                <w:color w:val="auto"/>
                <w:kern w:val="2"/>
                <w:sz w:val="22"/>
                <w:szCs w:val="24"/>
                <w:lang w:val="en-US" w:eastAsia="zh-CN" w:bidi="ar-SA"/>
              </w:rPr>
              <w:t>7</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2C291C59">
            <w:pPr>
              <w:widowControl w:val="0"/>
              <w:spacing w:line="300" w:lineRule="exact"/>
              <w:jc w:val="center"/>
              <w:rPr>
                <w:rFonts w:ascii="Times New Roman" w:hAnsi="Times New Roman" w:eastAsia="微软雅黑" w:cs="Times New Roman"/>
                <w:b/>
                <w:color w:val="auto"/>
                <w:kern w:val="2"/>
                <w:sz w:val="21"/>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技术资料和保密义务</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317CB2C3">
            <w:pPr>
              <w:widowControl w:val="0"/>
              <w:spacing w:line="30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含项目组所有成员）必须对项目技术文件以及由采购人提供的所有内部资料、技术文档、数据和信息予以保密。中标人必须与采购人签订保密协议并严格遵守，中标人应承诺未经中标人书面许可，不得以任何形式向第三方透露本项目标书以及本项目的任何内容。</w:t>
            </w:r>
          </w:p>
          <w:p w14:paraId="3100F5BF">
            <w:pPr>
              <w:widowControl w:val="0"/>
              <w:spacing w:line="300" w:lineRule="exact"/>
              <w:ind w:firstLine="440" w:firstLineChars="200"/>
              <w:jc w:val="left"/>
              <w:rPr>
                <w:rFonts w:hint="eastAsia" w:ascii="微软雅黑" w:hAnsi="微软雅黑" w:eastAsia="微软雅黑" w:cs="微软雅黑"/>
                <w:b/>
                <w:color w:val="auto"/>
                <w:kern w:val="2"/>
                <w:sz w:val="21"/>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中标人在数据采集过程中所接触到的有关的信息均为保密内容。中标人须建立规范的保密制度，采取一切必要的技术手段和措施，确保保密内容安全。由于中标人及其工作人员泄露、冒用、误用或违法使用数据而造成的相关责任和损失，均由中标人承担。</w:t>
            </w:r>
          </w:p>
        </w:tc>
      </w:tr>
      <w:tr w14:paraId="2DF53158">
        <w:tblPrEx>
          <w:tblCellMar>
            <w:top w:w="0" w:type="dxa"/>
            <w:left w:w="108" w:type="dxa"/>
            <w:bottom w:w="0" w:type="dxa"/>
            <w:right w:w="108" w:type="dxa"/>
          </w:tblCellMar>
        </w:tblPrEx>
        <w:trPr>
          <w:trHeight w:val="575"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32E10488">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 xml:space="preserve">2. </w:t>
            </w:r>
            <w:r>
              <w:rPr>
                <w:rFonts w:ascii="Times New Roman" w:hAnsi="Times New Roman" w:eastAsia="微软雅黑" w:cs="Times New Roman"/>
                <w:b/>
                <w:color w:val="auto"/>
                <w:kern w:val="2"/>
                <w:sz w:val="22"/>
                <w:szCs w:val="24"/>
                <w:lang w:val="en-US" w:eastAsia="zh-CN" w:bidi="ar-SA"/>
              </w:rPr>
              <w:t>13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648CDD07">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不可抗力</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2DC465AF">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甲乙双方协商解决。</w:t>
            </w:r>
          </w:p>
        </w:tc>
      </w:tr>
      <w:tr w14:paraId="0D3B0AA7">
        <w:tblPrEx>
          <w:tblCellMar>
            <w:top w:w="0" w:type="dxa"/>
            <w:left w:w="108" w:type="dxa"/>
            <w:bottom w:w="0" w:type="dxa"/>
            <w:right w:w="108" w:type="dxa"/>
          </w:tblCellMar>
        </w:tblPrEx>
        <w:trPr>
          <w:trHeight w:val="635" w:hRule="atLeast"/>
        </w:trPr>
        <w:tc>
          <w:tcPr>
            <w:tcW w:w="1454" w:type="dxa"/>
            <w:tcBorders>
              <w:top w:val="single" w:color="auto" w:sz="4" w:space="0"/>
              <w:left w:val="double" w:color="auto" w:sz="4" w:space="0"/>
              <w:bottom w:val="single" w:color="auto" w:sz="4" w:space="0"/>
              <w:right w:val="single" w:color="auto" w:sz="4" w:space="0"/>
            </w:tcBorders>
            <w:noWrap w:val="0"/>
            <w:vAlign w:val="center"/>
          </w:tcPr>
          <w:p w14:paraId="02911280">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2. 17.3</w:t>
            </w:r>
          </w:p>
        </w:tc>
        <w:tc>
          <w:tcPr>
            <w:tcW w:w="2269" w:type="dxa"/>
            <w:tcBorders>
              <w:top w:val="single" w:color="auto" w:sz="4" w:space="0"/>
              <w:left w:val="single" w:color="auto" w:sz="4" w:space="0"/>
              <w:bottom w:val="single" w:color="auto" w:sz="4" w:space="0"/>
              <w:right w:val="single" w:color="000000" w:sz="4" w:space="0"/>
            </w:tcBorders>
            <w:noWrap w:val="0"/>
            <w:vAlign w:val="center"/>
          </w:tcPr>
          <w:p w14:paraId="15DE4D9B">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检验和验收标准、程序</w:t>
            </w:r>
          </w:p>
        </w:tc>
        <w:tc>
          <w:tcPr>
            <w:tcW w:w="6585" w:type="dxa"/>
            <w:tcBorders>
              <w:top w:val="single" w:color="auto" w:sz="4" w:space="0"/>
              <w:left w:val="single" w:color="000000" w:sz="4" w:space="0"/>
              <w:bottom w:val="single" w:color="auto" w:sz="4" w:space="0"/>
              <w:right w:val="double" w:color="auto" w:sz="4" w:space="0"/>
            </w:tcBorders>
            <w:noWrap w:val="0"/>
            <w:vAlign w:val="center"/>
          </w:tcPr>
          <w:p w14:paraId="2DB78678">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1.质量技术标准:乙方必须保证提供的货物是全新的，并符合国家质量监督检验检疫总局及相关部门核定的该产品技术标准。</w:t>
            </w:r>
          </w:p>
          <w:p w14:paraId="6F92BCD3">
            <w:pPr>
              <w:widowControl w:val="0"/>
              <w:bidi w:val="0"/>
              <w:spacing w:before="10" w:beforeLines="10" w:line="240" w:lineRule="exact"/>
              <w:ind w:firstLine="440" w:firstLineChars="200"/>
              <w:jc w:val="left"/>
              <w:rPr>
                <w:rFonts w:hint="eastAsia" w:ascii="微软雅黑" w:hAnsi="微软雅黑" w:eastAsia="微软雅黑" w:cs="微软雅黑"/>
                <w:b w:val="0"/>
                <w:bCs/>
                <w:color w:val="auto"/>
                <w:kern w:val="2"/>
                <w:sz w:val="22"/>
                <w:szCs w:val="24"/>
                <w:lang w:val="en-US" w:eastAsia="zh-CN" w:bidi="ar-SA"/>
              </w:rPr>
            </w:pPr>
            <w:r>
              <w:rPr>
                <w:rFonts w:hint="eastAsia" w:ascii="微软雅黑" w:hAnsi="微软雅黑" w:eastAsia="微软雅黑" w:cs="微软雅黑"/>
                <w:b w:val="0"/>
                <w:bCs/>
                <w:color w:val="auto"/>
                <w:kern w:val="2"/>
                <w:sz w:val="22"/>
                <w:szCs w:val="24"/>
                <w:lang w:val="en-US" w:eastAsia="zh-CN" w:bidi="ar-SA"/>
              </w:rPr>
              <w:t>2.资质证件:乙方必须提供产品的有效证件资料和国家质量监督检验检疫总局的相关证件，凡因证件不齐，失效、失真等引起的纠纷由乙方承担一切责任。3.权利保证:乙方应保证甲方在使用该套设备或其任何一部分时不受第三方提出侵犯其专利权、版权、商标权或其他权利的起诉。一旦出现侵权，乙方应承担全部责任。4.货物的验收按谈判文件要求及国家的有关标准进行验收。货物运抵甲方指定地点后，由甲方、乙方共同对到货设备的数量、重量、外观质量、备件、技术资料等进行检查，确认后开始验收。对未达到技术要求的不合格产品，一律拒收，终止合同执行，且乙方必须向买方赔偿工作延误费。</w:t>
            </w:r>
          </w:p>
        </w:tc>
      </w:tr>
      <w:tr w14:paraId="3AB26659">
        <w:tblPrEx>
          <w:tblCellMar>
            <w:top w:w="0" w:type="dxa"/>
            <w:left w:w="108" w:type="dxa"/>
            <w:bottom w:w="0" w:type="dxa"/>
            <w:right w:w="108" w:type="dxa"/>
          </w:tblCellMar>
        </w:tblPrEx>
        <w:tc>
          <w:tcPr>
            <w:tcW w:w="1454" w:type="dxa"/>
            <w:tcBorders>
              <w:top w:val="single" w:color="auto" w:sz="4" w:space="0"/>
              <w:left w:val="double" w:color="auto" w:sz="4" w:space="0"/>
              <w:bottom w:val="double" w:color="auto" w:sz="4" w:space="0"/>
              <w:right w:val="single" w:color="auto" w:sz="4" w:space="0"/>
            </w:tcBorders>
            <w:noWrap w:val="0"/>
            <w:vAlign w:val="center"/>
          </w:tcPr>
          <w:p w14:paraId="0CBBB05D">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ascii="Times New Roman" w:hAnsi="Times New Roman" w:eastAsia="微软雅黑" w:cs="Times New Roman"/>
                <w:b/>
                <w:color w:val="auto"/>
                <w:kern w:val="2"/>
                <w:sz w:val="22"/>
                <w:szCs w:val="24"/>
                <w:lang w:val="en-US" w:eastAsia="en-US" w:bidi="ar-SA"/>
              </w:rPr>
              <w:t>2.21</w:t>
            </w:r>
          </w:p>
        </w:tc>
        <w:tc>
          <w:tcPr>
            <w:tcW w:w="2269" w:type="dxa"/>
            <w:tcBorders>
              <w:top w:val="single" w:color="auto" w:sz="4" w:space="0"/>
              <w:left w:val="single" w:color="auto" w:sz="4" w:space="0"/>
              <w:bottom w:val="double" w:color="auto" w:sz="4" w:space="0"/>
              <w:right w:val="single" w:color="000000" w:sz="4" w:space="0"/>
            </w:tcBorders>
            <w:noWrap w:val="0"/>
            <w:vAlign w:val="center"/>
          </w:tcPr>
          <w:p w14:paraId="56E46728">
            <w:pPr>
              <w:widowControl w:val="0"/>
              <w:spacing w:line="300" w:lineRule="exact"/>
              <w:jc w:val="center"/>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合同份数</w:t>
            </w:r>
          </w:p>
        </w:tc>
        <w:tc>
          <w:tcPr>
            <w:tcW w:w="6585" w:type="dxa"/>
            <w:tcBorders>
              <w:top w:val="single" w:color="auto" w:sz="4" w:space="0"/>
              <w:left w:val="single" w:color="000000" w:sz="4" w:space="0"/>
              <w:bottom w:val="double" w:color="auto" w:sz="4" w:space="0"/>
              <w:right w:val="double" w:color="auto" w:sz="4" w:space="0"/>
            </w:tcBorders>
            <w:noWrap w:val="0"/>
            <w:vAlign w:val="top"/>
          </w:tcPr>
          <w:p w14:paraId="21713345">
            <w:pPr>
              <w:widowControl w:val="0"/>
              <w:spacing w:line="300" w:lineRule="exact"/>
              <w:jc w:val="left"/>
              <w:rPr>
                <w:rFonts w:ascii="Times New Roman" w:hAnsi="Times New Roman" w:eastAsia="微软雅黑" w:cs="Times New Roman"/>
                <w:b/>
                <w:color w:val="auto"/>
                <w:kern w:val="2"/>
                <w:sz w:val="22"/>
                <w:szCs w:val="24"/>
                <w:lang w:val="en-US" w:eastAsia="zh-CN" w:bidi="ar-SA"/>
              </w:rPr>
            </w:pPr>
            <w:r>
              <w:rPr>
                <w:rFonts w:hint="eastAsia" w:ascii="Times New Roman" w:hAnsi="Times New Roman" w:eastAsia="微软雅黑" w:cs="Times New Roman"/>
                <w:b/>
                <w:color w:val="auto"/>
                <w:kern w:val="2"/>
                <w:sz w:val="22"/>
                <w:szCs w:val="24"/>
                <w:lang w:val="en-US" w:eastAsia="zh-CN" w:bidi="ar-SA"/>
              </w:rPr>
              <w:t>本合同一式六份，甲方三份，乙方执两份，张家界市政府釆购中心执</w:t>
            </w:r>
            <w:r>
              <w:rPr>
                <w:rFonts w:hint="eastAsia" w:ascii="Times New Roman" w:hAnsi="Times New Roman" w:eastAsia="微软雅黑" w:cs="Times New Roman"/>
                <w:b/>
                <w:color w:val="auto"/>
                <w:kern w:val="2"/>
                <w:sz w:val="22"/>
                <w:szCs w:val="24"/>
                <w:lang w:val="zh-CN" w:eastAsia="zh-CN" w:bidi="ar-SA"/>
              </w:rPr>
              <w:t>一份</w:t>
            </w:r>
          </w:p>
        </w:tc>
      </w:tr>
    </w:tbl>
    <w:tbl>
      <w:tblPr>
        <w:tblStyle w:val="35"/>
        <w:tblpPr w:leftFromText="180" w:rightFromText="180" w:vertAnchor="text" w:horzAnchor="page" w:tblpX="992" w:tblpY="1073"/>
        <w:tblOverlap w:val="never"/>
        <w:tblW w:w="103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4"/>
        <w:gridCol w:w="2587"/>
        <w:gridCol w:w="2155"/>
        <w:gridCol w:w="3262"/>
      </w:tblGrid>
      <w:tr w14:paraId="2B51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7D77283A">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甲方（单位盖章）：</w:t>
            </w:r>
          </w:p>
        </w:tc>
        <w:tc>
          <w:tcPr>
            <w:tcW w:w="2587" w:type="dxa"/>
            <w:tcBorders>
              <w:top w:val="nil"/>
              <w:left w:val="nil"/>
              <w:bottom w:val="nil"/>
              <w:right w:val="nil"/>
            </w:tcBorders>
            <w:vAlign w:val="center"/>
          </w:tcPr>
          <w:p w14:paraId="0D732402">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68B2D99E">
            <w:pPr>
              <w:widowControl w:val="0"/>
              <w:adjustRightInd w:val="0"/>
              <w:snapToGrid w:val="0"/>
              <w:spacing w:before="156" w:beforeLines="50" w:line="540" w:lineRule="exact"/>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乙方（单位盖章）：</w:t>
            </w:r>
          </w:p>
        </w:tc>
        <w:tc>
          <w:tcPr>
            <w:tcW w:w="3262" w:type="dxa"/>
            <w:tcBorders>
              <w:top w:val="nil"/>
              <w:left w:val="nil"/>
              <w:bottom w:val="nil"/>
              <w:right w:val="nil"/>
            </w:tcBorders>
            <w:vAlign w:val="center"/>
          </w:tcPr>
          <w:p w14:paraId="590E3805">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1A25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2BB677CD">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w:t>
            </w:r>
          </w:p>
        </w:tc>
        <w:tc>
          <w:tcPr>
            <w:tcW w:w="2587" w:type="dxa"/>
            <w:tcBorders>
              <w:top w:val="nil"/>
              <w:left w:val="nil"/>
              <w:bottom w:val="nil"/>
              <w:right w:val="nil"/>
            </w:tcBorders>
            <w:vAlign w:val="center"/>
          </w:tcPr>
          <w:p w14:paraId="30E426C9">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7B2C44F1">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法定代表人</w:t>
            </w:r>
          </w:p>
        </w:tc>
        <w:tc>
          <w:tcPr>
            <w:tcW w:w="3262" w:type="dxa"/>
            <w:tcBorders>
              <w:top w:val="nil"/>
              <w:left w:val="nil"/>
              <w:bottom w:val="nil"/>
              <w:right w:val="nil"/>
            </w:tcBorders>
            <w:vAlign w:val="center"/>
          </w:tcPr>
          <w:p w14:paraId="20CFD595">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621B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2394" w:type="dxa"/>
            <w:tcBorders>
              <w:top w:val="nil"/>
              <w:left w:val="nil"/>
              <w:bottom w:val="nil"/>
              <w:right w:val="nil"/>
            </w:tcBorders>
            <w:vAlign w:val="center"/>
          </w:tcPr>
          <w:p w14:paraId="5060333C">
            <w:pPr>
              <w:widowControl w:val="0"/>
              <w:adjustRightInd w:val="0"/>
              <w:snapToGrid w:val="0"/>
              <w:spacing w:before="156" w:beforeLines="50" w:line="240" w:lineRule="auto"/>
              <w:ind w:firstLine="0" w:firstLineChars="0"/>
              <w:jc w:val="distribute"/>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或授权代表</w:t>
            </w:r>
          </w:p>
          <w:p w14:paraId="2CF0AFB4">
            <w:pPr>
              <w:widowControl w:val="0"/>
              <w:adjustRightInd w:val="0"/>
              <w:snapToGrid w:val="0"/>
              <w:spacing w:before="156" w:beforeLines="50" w:line="240" w:lineRule="auto"/>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（签字或盖章）：</w:t>
            </w:r>
          </w:p>
        </w:tc>
        <w:tc>
          <w:tcPr>
            <w:tcW w:w="2587" w:type="dxa"/>
            <w:tcBorders>
              <w:top w:val="nil"/>
              <w:left w:val="nil"/>
              <w:bottom w:val="nil"/>
              <w:right w:val="nil"/>
            </w:tcBorders>
            <w:vAlign w:val="center"/>
          </w:tcPr>
          <w:p w14:paraId="10A2474C">
            <w:pPr>
              <w:widowControl w:val="0"/>
              <w:adjustRightInd w:val="0"/>
              <w:snapToGrid w:val="0"/>
              <w:spacing w:before="156" w:beforeLines="50" w:line="240" w:lineRule="auto"/>
              <w:ind w:firstLine="480" w:firstLineChars="200"/>
              <w:jc w:val="center"/>
              <w:rPr>
                <w:rFonts w:ascii="Times New Roman" w:hAnsi="Times New Roman" w:eastAsia="宋体" w:cs="Times New Roman"/>
                <w:color w:val="auto"/>
                <w:kern w:val="2"/>
                <w:sz w:val="24"/>
                <w:szCs w:val="22"/>
                <w:lang w:val="en-US" w:eastAsia="zh-CN" w:bidi="ar-SA"/>
              </w:rPr>
            </w:pPr>
          </w:p>
        </w:tc>
        <w:tc>
          <w:tcPr>
            <w:tcW w:w="2155" w:type="dxa"/>
            <w:tcBorders>
              <w:top w:val="nil"/>
              <w:left w:val="nil"/>
              <w:bottom w:val="nil"/>
              <w:right w:val="nil"/>
            </w:tcBorders>
            <w:vAlign w:val="center"/>
          </w:tcPr>
          <w:p w14:paraId="472BCBE0">
            <w:pPr>
              <w:widowControl w:val="0"/>
              <w:adjustRightInd w:val="0"/>
              <w:snapToGrid w:val="0"/>
              <w:spacing w:before="156" w:beforeLines="50" w:line="240" w:lineRule="auto"/>
              <w:ind w:firstLine="0" w:firstLineChars="0"/>
              <w:jc w:val="distribute"/>
              <w:rPr>
                <w:rFonts w:hint="eastAsia"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或授权代表</w:t>
            </w:r>
          </w:p>
          <w:p w14:paraId="5382EB98">
            <w:pPr>
              <w:widowControl w:val="0"/>
              <w:adjustRightInd w:val="0"/>
              <w:snapToGrid w:val="0"/>
              <w:spacing w:before="156" w:beforeLines="50" w:line="240" w:lineRule="auto"/>
              <w:ind w:firstLine="0" w:firstLineChars="0"/>
              <w:jc w:val="distribute"/>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（签字或盖章）：</w:t>
            </w:r>
          </w:p>
        </w:tc>
        <w:tc>
          <w:tcPr>
            <w:tcW w:w="3262" w:type="dxa"/>
            <w:tcBorders>
              <w:top w:val="nil"/>
              <w:left w:val="nil"/>
              <w:bottom w:val="nil"/>
              <w:right w:val="nil"/>
            </w:tcBorders>
            <w:vAlign w:val="center"/>
          </w:tcPr>
          <w:p w14:paraId="75BD56B4">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p>
        </w:tc>
      </w:tr>
      <w:tr w14:paraId="3BB6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394" w:type="dxa"/>
            <w:tcBorders>
              <w:top w:val="nil"/>
              <w:left w:val="nil"/>
              <w:bottom w:val="nil"/>
              <w:right w:val="nil"/>
            </w:tcBorders>
            <w:vAlign w:val="center"/>
          </w:tcPr>
          <w:p w14:paraId="03BEEEFF">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      间：</w:t>
            </w:r>
          </w:p>
        </w:tc>
        <w:tc>
          <w:tcPr>
            <w:tcW w:w="2587" w:type="dxa"/>
            <w:tcBorders>
              <w:top w:val="nil"/>
              <w:left w:val="nil"/>
              <w:bottom w:val="nil"/>
              <w:right w:val="nil"/>
            </w:tcBorders>
            <w:vAlign w:val="center"/>
          </w:tcPr>
          <w:p w14:paraId="4E701119">
            <w:pPr>
              <w:widowControl w:val="0"/>
              <w:adjustRightInd w:val="0"/>
              <w:snapToGrid w:val="0"/>
              <w:spacing w:before="156" w:beforeLines="50" w:line="540" w:lineRule="exact"/>
              <w:ind w:firstLine="0" w:firstLineChars="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 xml:space="preserve">      年   月   日</w:t>
            </w:r>
          </w:p>
        </w:tc>
        <w:tc>
          <w:tcPr>
            <w:tcW w:w="2155" w:type="dxa"/>
            <w:tcBorders>
              <w:top w:val="nil"/>
              <w:left w:val="nil"/>
              <w:bottom w:val="nil"/>
              <w:right w:val="nil"/>
            </w:tcBorders>
            <w:vAlign w:val="center"/>
          </w:tcPr>
          <w:p w14:paraId="5545727B">
            <w:pPr>
              <w:widowControl w:val="0"/>
              <w:adjustRightInd w:val="0"/>
              <w:snapToGrid w:val="0"/>
              <w:spacing w:before="156" w:beforeLines="50" w:line="540" w:lineRule="exact"/>
              <w:ind w:firstLine="0" w:firstLineChars="0"/>
              <w:jc w:val="both"/>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时      间：</w:t>
            </w:r>
          </w:p>
        </w:tc>
        <w:tc>
          <w:tcPr>
            <w:tcW w:w="3262" w:type="dxa"/>
            <w:tcBorders>
              <w:top w:val="nil"/>
              <w:left w:val="nil"/>
              <w:bottom w:val="nil"/>
              <w:right w:val="nil"/>
            </w:tcBorders>
            <w:vAlign w:val="center"/>
          </w:tcPr>
          <w:p w14:paraId="5A88DCF9">
            <w:pPr>
              <w:widowControl w:val="0"/>
              <w:adjustRightInd w:val="0"/>
              <w:snapToGrid w:val="0"/>
              <w:spacing w:before="156" w:beforeLines="50" w:line="540" w:lineRule="exact"/>
              <w:ind w:firstLine="480" w:firstLineChars="200"/>
              <w:jc w:val="center"/>
              <w:rPr>
                <w:rFonts w:ascii="Times New Roman" w:hAnsi="Times New Roman" w:eastAsia="宋体" w:cs="Times New Roman"/>
                <w:color w:val="auto"/>
                <w:kern w:val="2"/>
                <w:sz w:val="24"/>
                <w:szCs w:val="22"/>
                <w:lang w:val="en-US" w:eastAsia="zh-CN" w:bidi="ar-SA"/>
              </w:rPr>
            </w:pPr>
            <w:r>
              <w:rPr>
                <w:rFonts w:hint="eastAsia" w:ascii="Times New Roman" w:hAnsi="Times New Roman" w:eastAsia="宋体" w:cs="Times New Roman"/>
                <w:color w:val="auto"/>
                <w:kern w:val="2"/>
                <w:sz w:val="24"/>
                <w:szCs w:val="22"/>
                <w:lang w:val="en-US" w:eastAsia="zh-CN" w:bidi="ar-SA"/>
              </w:rPr>
              <w:t xml:space="preserve">         年   月   日</w:t>
            </w:r>
          </w:p>
        </w:tc>
      </w:tr>
    </w:tbl>
    <w:p w14:paraId="441A4F61">
      <w:pPr>
        <w:spacing w:line="440" w:lineRule="exact"/>
        <w:rPr>
          <w:rFonts w:ascii="Calibri" w:hAnsi="Calibri" w:eastAsia="宋体"/>
          <w:color w:val="auto"/>
          <w:sz w:val="24"/>
          <w:szCs w:val="24"/>
        </w:rPr>
      </w:pPr>
    </w:p>
    <w:p w14:paraId="63F8C126">
      <w:pPr>
        <w:keepNext/>
        <w:keepLines/>
        <w:widowControl w:val="0"/>
        <w:numPr>
          <w:ilvl w:val="0"/>
          <w:numId w:val="0"/>
        </w:numPr>
        <w:bidi w:val="0"/>
        <w:spacing w:before="200" w:after="220" w:line="240" w:lineRule="auto"/>
        <w:ind w:left="420" w:leftChars="0"/>
        <w:jc w:val="both"/>
        <w:outlineLvl w:val="1"/>
        <w:rPr>
          <w:rFonts w:hint="default" w:ascii="Times New Roman" w:hAnsi="Times New Roman" w:eastAsia="黑体" w:cs="Times New Roman"/>
          <w:color w:val="auto"/>
          <w:kern w:val="2"/>
          <w:sz w:val="24"/>
          <w:szCs w:val="24"/>
          <w:lang w:val="en-US" w:eastAsia="zh-CN" w:bidi="ar-SA"/>
        </w:rPr>
      </w:pPr>
    </w:p>
    <w:p w14:paraId="2C37A646">
      <w:pPr>
        <w:spacing w:line="540" w:lineRule="exact"/>
        <w:rPr>
          <w:rFonts w:ascii="黑体" w:hAnsi="黑体" w:eastAsia="黑体" w:cs="黑体"/>
          <w:color w:val="auto"/>
          <w:sz w:val="30"/>
          <w:szCs w:val="30"/>
        </w:rPr>
      </w:pPr>
      <w:r>
        <w:rPr>
          <w:rFonts w:hint="eastAsia" w:ascii="黑体" w:hAnsi="黑体" w:eastAsia="黑体" w:cs="黑体"/>
          <w:color w:val="auto"/>
          <w:sz w:val="30"/>
          <w:szCs w:val="30"/>
        </w:rPr>
        <w:br w:type="page"/>
      </w:r>
    </w:p>
    <w:p w14:paraId="079E8227">
      <w:pPr>
        <w:pStyle w:val="3"/>
        <w:spacing w:before="156" w:after="156"/>
        <w:rPr>
          <w:rFonts w:hint="default"/>
          <w:color w:val="auto"/>
          <w:highlight w:val="none"/>
        </w:rPr>
      </w:pPr>
      <w:r>
        <w:rPr>
          <w:color w:val="auto"/>
          <w:highlight w:val="none"/>
        </w:rPr>
        <w:t>第六章 响应文件组成</w:t>
      </w:r>
      <w:bookmarkEnd w:id="67"/>
      <w:bookmarkEnd w:id="68"/>
      <w:bookmarkEnd w:id="72"/>
    </w:p>
    <w:p w14:paraId="74C66F04">
      <w:pPr>
        <w:pStyle w:val="45"/>
        <w:spacing w:before="156"/>
        <w:ind w:firstLine="482"/>
        <w:rPr>
          <w:b/>
          <w:bCs/>
          <w:color w:val="auto"/>
          <w:highlight w:val="none"/>
        </w:rPr>
      </w:pPr>
      <w:bookmarkStart w:id="73" w:name="_Toc4620"/>
      <w:bookmarkStart w:id="74" w:name="_Toc31111"/>
      <w:bookmarkStart w:id="75" w:name="_Toc29211"/>
      <w:bookmarkStart w:id="76" w:name="_Toc11034"/>
      <w:r>
        <w:rPr>
          <w:rFonts w:hint="eastAsia"/>
          <w:b/>
          <w:bCs/>
          <w:color w:val="auto"/>
          <w:highlight w:val="none"/>
          <w:lang w:eastAsia="zh-CN"/>
        </w:rPr>
        <w:t>供应商</w:t>
      </w:r>
      <w:r>
        <w:rPr>
          <w:rFonts w:hint="eastAsia"/>
          <w:b/>
          <w:bCs/>
          <w:color w:val="auto"/>
          <w:highlight w:val="none"/>
        </w:rPr>
        <w:t>的响应文件应包含以下部分：</w:t>
      </w:r>
    </w:p>
    <w:tbl>
      <w:tblPr>
        <w:tblStyle w:val="35"/>
        <w:tblW w:w="987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6431"/>
        <w:gridCol w:w="2549"/>
      </w:tblGrid>
      <w:tr w14:paraId="59C80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shd w:val="pct10" w:color="ADB9CA" w:fill="D6DCE5"/>
            <w:vAlign w:val="center"/>
          </w:tcPr>
          <w:p w14:paraId="563A29FC">
            <w:pPr>
              <w:pStyle w:val="44"/>
              <w:rPr>
                <w:color w:val="auto"/>
                <w:highlight w:val="none"/>
              </w:rPr>
            </w:pPr>
            <w:r>
              <w:rPr>
                <w:rFonts w:hint="eastAsia"/>
                <w:color w:val="auto"/>
                <w:highlight w:val="none"/>
              </w:rPr>
              <w:t>序 号</w:t>
            </w:r>
          </w:p>
        </w:tc>
        <w:tc>
          <w:tcPr>
            <w:tcW w:w="6431" w:type="dxa"/>
            <w:tcBorders>
              <w:tl2br w:val="nil"/>
              <w:tr2bl w:val="nil"/>
            </w:tcBorders>
            <w:shd w:val="pct10" w:color="ADB9CA" w:fill="D6DCE5"/>
            <w:vAlign w:val="center"/>
          </w:tcPr>
          <w:p w14:paraId="546E55FE">
            <w:pPr>
              <w:pStyle w:val="44"/>
              <w:rPr>
                <w:color w:val="auto"/>
                <w:highlight w:val="none"/>
              </w:rPr>
            </w:pPr>
            <w:r>
              <w:rPr>
                <w:rFonts w:hint="eastAsia"/>
                <w:color w:val="auto"/>
                <w:highlight w:val="none"/>
              </w:rPr>
              <w:t>内    容</w:t>
            </w:r>
          </w:p>
        </w:tc>
        <w:tc>
          <w:tcPr>
            <w:tcW w:w="2549" w:type="dxa"/>
            <w:tcBorders>
              <w:tl2br w:val="nil"/>
              <w:tr2bl w:val="nil"/>
            </w:tcBorders>
            <w:shd w:val="pct10" w:color="ADB9CA" w:fill="D6DCE5"/>
            <w:vAlign w:val="center"/>
          </w:tcPr>
          <w:p w14:paraId="422A862A">
            <w:pPr>
              <w:pStyle w:val="44"/>
              <w:rPr>
                <w:color w:val="auto"/>
                <w:highlight w:val="none"/>
              </w:rPr>
            </w:pPr>
            <w:r>
              <w:rPr>
                <w:rFonts w:hint="eastAsia"/>
                <w:color w:val="auto"/>
                <w:highlight w:val="none"/>
              </w:rPr>
              <w:t>备   注</w:t>
            </w:r>
          </w:p>
        </w:tc>
      </w:tr>
      <w:tr w14:paraId="79DD5BE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635ACC44">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C270EC6">
            <w:pPr>
              <w:pStyle w:val="48"/>
              <w:ind w:firstLine="440" w:firstLineChars="200"/>
              <w:jc w:val="left"/>
              <w:rPr>
                <w:b w:val="0"/>
                <w:bCs/>
                <w:color w:val="auto"/>
                <w:szCs w:val="28"/>
                <w:highlight w:val="none"/>
              </w:rPr>
            </w:pPr>
            <w:r>
              <w:rPr>
                <w:rFonts w:hint="eastAsia"/>
                <w:b w:val="0"/>
                <w:bCs/>
                <w:color w:val="auto"/>
                <w:szCs w:val="28"/>
                <w:highlight w:val="none"/>
                <w:lang w:val="en-US" w:eastAsia="zh-CN"/>
              </w:rPr>
              <w:t>谈判</w:t>
            </w:r>
            <w:r>
              <w:rPr>
                <w:rFonts w:hint="eastAsia"/>
                <w:b w:val="0"/>
                <w:bCs/>
                <w:color w:val="auto"/>
                <w:szCs w:val="28"/>
                <w:highlight w:val="none"/>
              </w:rPr>
              <w:t>响应声明（格式）</w:t>
            </w:r>
          </w:p>
        </w:tc>
        <w:tc>
          <w:tcPr>
            <w:tcW w:w="2549" w:type="dxa"/>
            <w:tcBorders>
              <w:tl2br w:val="nil"/>
              <w:tr2bl w:val="nil"/>
            </w:tcBorders>
            <w:vAlign w:val="center"/>
          </w:tcPr>
          <w:p w14:paraId="71C96C6C">
            <w:pPr>
              <w:pStyle w:val="48"/>
              <w:rPr>
                <w:color w:val="auto"/>
                <w:szCs w:val="28"/>
                <w:highlight w:val="none"/>
              </w:rPr>
            </w:pPr>
          </w:p>
        </w:tc>
      </w:tr>
      <w:tr w14:paraId="705396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C74CF03">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1A3DDC9D">
            <w:pPr>
              <w:pStyle w:val="48"/>
              <w:ind w:firstLine="440" w:firstLineChars="200"/>
              <w:jc w:val="left"/>
              <w:rPr>
                <w:b w:val="0"/>
                <w:bCs/>
                <w:color w:val="auto"/>
                <w:szCs w:val="28"/>
                <w:highlight w:val="none"/>
              </w:rPr>
            </w:pPr>
            <w:r>
              <w:rPr>
                <w:rFonts w:hint="eastAsia"/>
                <w:b w:val="0"/>
                <w:bCs/>
                <w:color w:val="auto"/>
                <w:szCs w:val="28"/>
                <w:highlight w:val="none"/>
              </w:rPr>
              <w:t>授权委托书（格式）</w:t>
            </w:r>
          </w:p>
        </w:tc>
        <w:tc>
          <w:tcPr>
            <w:tcW w:w="2549" w:type="dxa"/>
            <w:tcBorders>
              <w:tl2br w:val="nil"/>
              <w:tr2bl w:val="nil"/>
            </w:tcBorders>
            <w:vAlign w:val="center"/>
          </w:tcPr>
          <w:p w14:paraId="664CD5BD">
            <w:pPr>
              <w:pStyle w:val="48"/>
              <w:rPr>
                <w:color w:val="auto"/>
                <w:szCs w:val="28"/>
                <w:highlight w:val="none"/>
              </w:rPr>
            </w:pPr>
          </w:p>
        </w:tc>
      </w:tr>
      <w:tr w14:paraId="6D3113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196BEFC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C93009D">
            <w:pPr>
              <w:pStyle w:val="48"/>
              <w:ind w:firstLine="440" w:firstLineChars="200"/>
              <w:jc w:val="left"/>
              <w:rPr>
                <w:b w:val="0"/>
                <w:bCs/>
                <w:color w:val="auto"/>
                <w:szCs w:val="28"/>
                <w:highlight w:val="none"/>
              </w:rPr>
            </w:pPr>
            <w:r>
              <w:rPr>
                <w:rFonts w:hint="eastAsia"/>
                <w:b w:val="0"/>
                <w:bCs/>
                <w:color w:val="auto"/>
                <w:szCs w:val="28"/>
                <w:highlight w:val="none"/>
                <w:lang w:eastAsia="zh-CN"/>
              </w:rPr>
              <w:t>供应商</w:t>
            </w:r>
            <w:r>
              <w:rPr>
                <w:rFonts w:hint="eastAsia"/>
                <w:b w:val="0"/>
                <w:bCs/>
                <w:color w:val="auto"/>
                <w:szCs w:val="28"/>
                <w:highlight w:val="none"/>
              </w:rPr>
              <w:t>的资格证明资料</w:t>
            </w:r>
          </w:p>
        </w:tc>
        <w:tc>
          <w:tcPr>
            <w:tcW w:w="2549" w:type="dxa"/>
            <w:tcBorders>
              <w:tl2br w:val="nil"/>
              <w:tr2bl w:val="nil"/>
            </w:tcBorders>
            <w:vAlign w:val="center"/>
          </w:tcPr>
          <w:p w14:paraId="7F8AA6DD">
            <w:pPr>
              <w:pStyle w:val="48"/>
              <w:rPr>
                <w:color w:val="auto"/>
                <w:szCs w:val="28"/>
                <w:highlight w:val="none"/>
              </w:rPr>
            </w:pPr>
          </w:p>
        </w:tc>
      </w:tr>
      <w:tr w14:paraId="2E7195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EB067B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6AF51CCE">
            <w:pPr>
              <w:pStyle w:val="48"/>
              <w:ind w:firstLine="440" w:firstLineChars="200"/>
              <w:jc w:val="left"/>
              <w:rPr>
                <w:rFonts w:hint="eastAsia" w:eastAsia="微软雅黑"/>
                <w:b w:val="0"/>
                <w:bCs/>
                <w:color w:val="auto"/>
                <w:szCs w:val="28"/>
                <w:highlight w:val="none"/>
                <w:lang w:val="en-US" w:eastAsia="zh-CN"/>
              </w:rPr>
            </w:pPr>
            <w:r>
              <w:rPr>
                <w:rFonts w:hint="eastAsia"/>
                <w:b w:val="0"/>
                <w:bCs/>
                <w:color w:val="auto"/>
                <w:szCs w:val="28"/>
                <w:highlight w:val="none"/>
                <w:lang w:val="en-US" w:eastAsia="zh-CN"/>
              </w:rPr>
              <w:t>谈判</w:t>
            </w:r>
            <w:r>
              <w:rPr>
                <w:rFonts w:hint="eastAsia"/>
                <w:b w:val="0"/>
                <w:bCs/>
                <w:color w:val="auto"/>
                <w:szCs w:val="28"/>
                <w:highlight w:val="none"/>
              </w:rPr>
              <w:t>响应</w:t>
            </w:r>
            <w:r>
              <w:rPr>
                <w:rFonts w:hint="eastAsia"/>
                <w:b w:val="0"/>
                <w:bCs/>
                <w:color w:val="auto"/>
                <w:szCs w:val="28"/>
                <w:highlight w:val="none"/>
                <w:lang w:val="en-US" w:eastAsia="zh-CN"/>
              </w:rPr>
              <w:t>表</w:t>
            </w:r>
          </w:p>
        </w:tc>
        <w:tc>
          <w:tcPr>
            <w:tcW w:w="2549" w:type="dxa"/>
            <w:tcBorders>
              <w:tl2br w:val="nil"/>
              <w:tr2bl w:val="nil"/>
            </w:tcBorders>
            <w:vAlign w:val="center"/>
          </w:tcPr>
          <w:p w14:paraId="64FC4E1E">
            <w:pPr>
              <w:pStyle w:val="48"/>
              <w:rPr>
                <w:color w:val="auto"/>
                <w:szCs w:val="28"/>
                <w:highlight w:val="none"/>
              </w:rPr>
            </w:pPr>
          </w:p>
        </w:tc>
      </w:tr>
      <w:tr w14:paraId="66315D4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2D7F3518">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E0A8DE7">
            <w:pPr>
              <w:pStyle w:val="48"/>
              <w:ind w:firstLine="440" w:firstLineChars="200"/>
              <w:jc w:val="left"/>
              <w:rPr>
                <w:b w:val="0"/>
                <w:bCs/>
                <w:color w:val="auto"/>
                <w:szCs w:val="28"/>
                <w:highlight w:val="none"/>
              </w:rPr>
            </w:pPr>
            <w:r>
              <w:rPr>
                <w:rFonts w:hint="eastAsia"/>
                <w:b w:val="0"/>
                <w:bCs/>
                <w:color w:val="auto"/>
                <w:szCs w:val="28"/>
                <w:highlight w:val="none"/>
                <w:lang w:val="en-US" w:eastAsia="zh-CN"/>
              </w:rPr>
              <w:t>人员配置和管理方案</w:t>
            </w:r>
          </w:p>
        </w:tc>
        <w:tc>
          <w:tcPr>
            <w:tcW w:w="2549" w:type="dxa"/>
            <w:tcBorders>
              <w:tl2br w:val="nil"/>
              <w:tr2bl w:val="nil"/>
            </w:tcBorders>
            <w:vAlign w:val="center"/>
          </w:tcPr>
          <w:p w14:paraId="6B7CF8F5">
            <w:pPr>
              <w:pStyle w:val="48"/>
              <w:rPr>
                <w:color w:val="auto"/>
                <w:szCs w:val="28"/>
                <w:highlight w:val="none"/>
              </w:rPr>
            </w:pPr>
          </w:p>
        </w:tc>
      </w:tr>
      <w:tr w14:paraId="26D3D3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55A77AF0">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61EC4DBF">
            <w:pPr>
              <w:pStyle w:val="48"/>
              <w:ind w:firstLine="440" w:firstLineChars="200"/>
              <w:jc w:val="left"/>
              <w:rPr>
                <w:rFonts w:hint="eastAsia"/>
                <w:b w:val="0"/>
                <w:bCs/>
                <w:color w:val="auto"/>
                <w:szCs w:val="28"/>
                <w:highlight w:val="none"/>
                <w:lang w:val="en-US" w:eastAsia="zh-CN"/>
              </w:rPr>
            </w:pPr>
            <w:r>
              <w:rPr>
                <w:rFonts w:hint="eastAsia"/>
                <w:b w:val="0"/>
                <w:bCs/>
                <w:color w:val="auto"/>
                <w:szCs w:val="28"/>
                <w:highlight w:val="none"/>
                <w:lang w:val="en-US" w:eastAsia="zh-CN"/>
              </w:rPr>
              <w:t>服务承诺及落实措施</w:t>
            </w:r>
          </w:p>
        </w:tc>
        <w:tc>
          <w:tcPr>
            <w:tcW w:w="2549" w:type="dxa"/>
            <w:tcBorders>
              <w:tl2br w:val="nil"/>
              <w:tr2bl w:val="nil"/>
            </w:tcBorders>
            <w:vAlign w:val="center"/>
          </w:tcPr>
          <w:p w14:paraId="1D05D80A">
            <w:pPr>
              <w:pStyle w:val="48"/>
              <w:rPr>
                <w:color w:val="auto"/>
                <w:szCs w:val="28"/>
                <w:highlight w:val="none"/>
              </w:rPr>
            </w:pPr>
          </w:p>
        </w:tc>
      </w:tr>
      <w:tr w14:paraId="10384A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ADFE5F4">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1D250E2C">
            <w:pPr>
              <w:pStyle w:val="48"/>
              <w:ind w:firstLine="440" w:firstLineChars="200"/>
              <w:jc w:val="left"/>
              <w:rPr>
                <w:rFonts w:hint="eastAsia" w:eastAsia="微软雅黑"/>
                <w:b w:val="0"/>
                <w:bCs/>
                <w:color w:val="auto"/>
                <w:szCs w:val="28"/>
                <w:highlight w:val="none"/>
                <w:lang w:eastAsia="zh-CN"/>
              </w:rPr>
            </w:pPr>
            <w:r>
              <w:rPr>
                <w:rFonts w:hint="eastAsia"/>
                <w:b w:val="0"/>
                <w:bCs/>
                <w:color w:val="auto"/>
                <w:szCs w:val="28"/>
                <w:highlight w:val="none"/>
                <w:lang w:val="en-US" w:eastAsia="zh-CN"/>
              </w:rPr>
              <w:t>谈判</w:t>
            </w:r>
            <w:r>
              <w:rPr>
                <w:rFonts w:hint="eastAsia"/>
                <w:b w:val="0"/>
                <w:bCs/>
                <w:color w:val="auto"/>
                <w:szCs w:val="28"/>
                <w:highlight w:val="none"/>
              </w:rPr>
              <w:t>承诺</w:t>
            </w:r>
            <w:r>
              <w:rPr>
                <w:rFonts w:hint="eastAsia"/>
                <w:b w:val="0"/>
                <w:bCs/>
                <w:color w:val="auto"/>
                <w:szCs w:val="28"/>
                <w:highlight w:val="none"/>
                <w:lang w:val="en-US" w:eastAsia="zh-CN"/>
              </w:rPr>
              <w:t>书</w:t>
            </w:r>
          </w:p>
        </w:tc>
        <w:tc>
          <w:tcPr>
            <w:tcW w:w="2549" w:type="dxa"/>
            <w:tcBorders>
              <w:tl2br w:val="nil"/>
              <w:tr2bl w:val="nil"/>
            </w:tcBorders>
            <w:vAlign w:val="center"/>
          </w:tcPr>
          <w:p w14:paraId="2C433A3A">
            <w:pPr>
              <w:pStyle w:val="48"/>
              <w:rPr>
                <w:color w:val="auto"/>
                <w:szCs w:val="28"/>
                <w:highlight w:val="none"/>
              </w:rPr>
            </w:pPr>
          </w:p>
        </w:tc>
      </w:tr>
      <w:tr w14:paraId="745D1D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617824EF">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B9FC49B">
            <w:pPr>
              <w:pStyle w:val="48"/>
              <w:ind w:firstLine="440" w:firstLineChars="200"/>
              <w:jc w:val="left"/>
              <w:rPr>
                <w:rFonts w:hint="default"/>
                <w:b w:val="0"/>
                <w:bCs/>
                <w:color w:val="auto"/>
                <w:szCs w:val="28"/>
                <w:highlight w:val="none"/>
                <w:lang w:val="en-US" w:eastAsia="zh-CN"/>
              </w:rPr>
            </w:pPr>
            <w:r>
              <w:rPr>
                <w:rFonts w:hint="eastAsia"/>
                <w:b w:val="0"/>
                <w:bCs/>
                <w:color w:val="auto"/>
                <w:szCs w:val="28"/>
                <w:highlight w:val="none"/>
                <w:lang w:val="en-US" w:eastAsia="zh-CN"/>
              </w:rPr>
              <w:t>投标保证金</w:t>
            </w:r>
          </w:p>
        </w:tc>
        <w:tc>
          <w:tcPr>
            <w:tcW w:w="2549" w:type="dxa"/>
            <w:tcBorders>
              <w:tl2br w:val="nil"/>
              <w:tr2bl w:val="nil"/>
            </w:tcBorders>
            <w:vAlign w:val="center"/>
          </w:tcPr>
          <w:p w14:paraId="52C42839">
            <w:pPr>
              <w:pStyle w:val="48"/>
              <w:rPr>
                <w:color w:val="auto"/>
                <w:szCs w:val="28"/>
                <w:highlight w:val="none"/>
              </w:rPr>
            </w:pPr>
          </w:p>
        </w:tc>
      </w:tr>
      <w:tr w14:paraId="1359A7C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3C0E2A61">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FDED864">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rPr>
              <w:t>响应标的符合</w:t>
            </w:r>
            <w:r>
              <w:rPr>
                <w:rFonts w:hint="eastAsia"/>
                <w:b w:val="0"/>
                <w:bCs/>
                <w:color w:val="auto"/>
                <w:szCs w:val="28"/>
                <w:highlight w:val="none"/>
                <w:lang w:val="en-US" w:eastAsia="zh-CN"/>
              </w:rPr>
              <w:t>谈判</w:t>
            </w:r>
            <w:r>
              <w:rPr>
                <w:rFonts w:hint="eastAsia"/>
                <w:b w:val="0"/>
                <w:bCs/>
                <w:color w:val="auto"/>
                <w:szCs w:val="28"/>
                <w:highlight w:val="none"/>
              </w:rPr>
              <w:t>文件规定的证明文件</w:t>
            </w:r>
          </w:p>
        </w:tc>
        <w:tc>
          <w:tcPr>
            <w:tcW w:w="2549" w:type="dxa"/>
            <w:tcBorders>
              <w:tl2br w:val="nil"/>
              <w:tr2bl w:val="nil"/>
            </w:tcBorders>
            <w:vAlign w:val="center"/>
          </w:tcPr>
          <w:p w14:paraId="2FE67D8B">
            <w:pPr>
              <w:pStyle w:val="48"/>
              <w:rPr>
                <w:color w:val="auto"/>
                <w:szCs w:val="28"/>
                <w:highlight w:val="none"/>
              </w:rPr>
            </w:pPr>
          </w:p>
        </w:tc>
      </w:tr>
      <w:tr w14:paraId="09C73B7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73CC06AC">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3E117B45">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eastAsia="zh-CN"/>
              </w:rPr>
              <w:t>供应商</w:t>
            </w:r>
            <w:r>
              <w:rPr>
                <w:rFonts w:hint="eastAsia"/>
                <w:b w:val="0"/>
                <w:bCs/>
                <w:color w:val="auto"/>
                <w:szCs w:val="28"/>
                <w:highlight w:val="none"/>
              </w:rPr>
              <w:t>认为需提供的其他资料</w:t>
            </w:r>
          </w:p>
        </w:tc>
        <w:tc>
          <w:tcPr>
            <w:tcW w:w="2549" w:type="dxa"/>
            <w:tcBorders>
              <w:tl2br w:val="nil"/>
              <w:tr2bl w:val="nil"/>
            </w:tcBorders>
            <w:vAlign w:val="center"/>
          </w:tcPr>
          <w:p w14:paraId="3BA20D25">
            <w:pPr>
              <w:pStyle w:val="48"/>
              <w:rPr>
                <w:color w:val="auto"/>
                <w:szCs w:val="28"/>
                <w:highlight w:val="none"/>
              </w:rPr>
            </w:pPr>
          </w:p>
        </w:tc>
      </w:tr>
      <w:tr w14:paraId="386D0C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415E2C6A">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79500F4D">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val="en-US" w:eastAsia="zh-CN"/>
              </w:rPr>
              <w:t>送达方式确认函</w:t>
            </w:r>
          </w:p>
        </w:tc>
        <w:tc>
          <w:tcPr>
            <w:tcW w:w="2549" w:type="dxa"/>
            <w:tcBorders>
              <w:tl2br w:val="nil"/>
              <w:tr2bl w:val="nil"/>
            </w:tcBorders>
            <w:vAlign w:val="center"/>
          </w:tcPr>
          <w:p w14:paraId="5CBEABED">
            <w:pPr>
              <w:pStyle w:val="48"/>
              <w:rPr>
                <w:color w:val="auto"/>
                <w:szCs w:val="28"/>
                <w:highlight w:val="none"/>
              </w:rPr>
            </w:pPr>
          </w:p>
        </w:tc>
      </w:tr>
      <w:tr w14:paraId="1DFF61D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90" w:type="dxa"/>
            <w:tcBorders>
              <w:tl2br w:val="nil"/>
              <w:tr2bl w:val="nil"/>
            </w:tcBorders>
            <w:vAlign w:val="center"/>
          </w:tcPr>
          <w:p w14:paraId="0BE1505B">
            <w:pPr>
              <w:pStyle w:val="48"/>
              <w:numPr>
                <w:ilvl w:val="0"/>
                <w:numId w:val="49"/>
              </w:numPr>
              <w:rPr>
                <w:rFonts w:ascii="微软雅黑" w:hAnsi="微软雅黑" w:cs="微软雅黑"/>
                <w:b w:val="0"/>
                <w:bCs/>
                <w:color w:val="auto"/>
                <w:szCs w:val="28"/>
                <w:highlight w:val="none"/>
              </w:rPr>
            </w:pPr>
          </w:p>
        </w:tc>
        <w:tc>
          <w:tcPr>
            <w:tcW w:w="6431" w:type="dxa"/>
            <w:tcBorders>
              <w:tl2br w:val="nil"/>
              <w:tr2bl w:val="nil"/>
            </w:tcBorders>
            <w:vAlign w:val="center"/>
          </w:tcPr>
          <w:p w14:paraId="43AE21B5">
            <w:pPr>
              <w:pStyle w:val="48"/>
              <w:ind w:firstLine="440" w:firstLineChars="200"/>
              <w:jc w:val="left"/>
              <w:rPr>
                <w:rFonts w:hint="eastAsia"/>
                <w:b w:val="0"/>
                <w:bCs/>
                <w:color w:val="auto"/>
                <w:szCs w:val="28"/>
                <w:highlight w:val="none"/>
                <w:lang w:eastAsia="zh-CN"/>
              </w:rPr>
            </w:pPr>
            <w:r>
              <w:rPr>
                <w:rFonts w:hint="eastAsia"/>
                <w:b w:val="0"/>
                <w:bCs/>
                <w:color w:val="auto"/>
                <w:szCs w:val="28"/>
                <w:highlight w:val="none"/>
                <w:lang w:val="en-US" w:eastAsia="zh-CN"/>
              </w:rPr>
              <w:t>中小企业声明函</w:t>
            </w:r>
          </w:p>
        </w:tc>
        <w:tc>
          <w:tcPr>
            <w:tcW w:w="2549" w:type="dxa"/>
            <w:tcBorders>
              <w:tl2br w:val="nil"/>
              <w:tr2bl w:val="nil"/>
            </w:tcBorders>
            <w:vAlign w:val="center"/>
          </w:tcPr>
          <w:p w14:paraId="3898BE46">
            <w:pPr>
              <w:pStyle w:val="48"/>
              <w:rPr>
                <w:color w:val="auto"/>
                <w:szCs w:val="28"/>
                <w:highlight w:val="none"/>
              </w:rPr>
            </w:pPr>
          </w:p>
        </w:tc>
      </w:tr>
    </w:tbl>
    <w:p w14:paraId="2143890D">
      <w:pPr>
        <w:rPr>
          <w:rFonts w:ascii="仿宋_GB2312" w:eastAsia="仿宋_GB2312" w:cs="Times New Roman"/>
          <w:color w:val="auto"/>
          <w:sz w:val="44"/>
          <w:szCs w:val="28"/>
          <w:highlight w:val="none"/>
        </w:rPr>
      </w:pPr>
      <w:r>
        <w:rPr>
          <w:rFonts w:ascii="仿宋_GB2312" w:eastAsia="仿宋_GB2312" w:cs="Times New Roman"/>
          <w:color w:val="auto"/>
          <w:sz w:val="44"/>
          <w:szCs w:val="28"/>
          <w:highlight w:val="none"/>
        </w:rPr>
        <w:br w:type="page"/>
      </w:r>
    </w:p>
    <w:p w14:paraId="79464D82">
      <w:pPr>
        <w:rPr>
          <w:color w:val="auto"/>
          <w:highlight w:val="none"/>
        </w:rPr>
      </w:pPr>
    </w:p>
    <w:p w14:paraId="2BE1B562">
      <w:pPr>
        <w:pStyle w:val="39"/>
        <w:rPr>
          <w:color w:val="auto"/>
          <w:highlight w:val="none"/>
        </w:rPr>
      </w:pPr>
    </w:p>
    <w:tbl>
      <w:tblPr>
        <w:tblStyle w:val="34"/>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
        <w:gridCol w:w="2626"/>
        <w:gridCol w:w="285"/>
        <w:gridCol w:w="5384"/>
        <w:gridCol w:w="414"/>
      </w:tblGrid>
      <w:tr w14:paraId="52F73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8" w:hRule="atLeast"/>
          <w:jc w:val="center"/>
        </w:trPr>
        <w:tc>
          <w:tcPr>
            <w:tcW w:w="9139" w:type="dxa"/>
            <w:gridSpan w:val="5"/>
            <w:tcBorders>
              <w:top w:val="nil"/>
              <w:left w:val="nil"/>
              <w:bottom w:val="nil"/>
              <w:right w:val="nil"/>
            </w:tcBorders>
            <w:vAlign w:val="bottom"/>
          </w:tcPr>
          <w:p w14:paraId="78843A81">
            <w:pPr>
              <w:pStyle w:val="14"/>
              <w:ind w:left="480"/>
              <w:jc w:val="center"/>
              <w:rPr>
                <w:color w:val="auto"/>
                <w:highlight w:val="none"/>
              </w:rPr>
            </w:pPr>
          </w:p>
          <w:p w14:paraId="6682BEDC">
            <w:pPr>
              <w:spacing w:line="480" w:lineRule="auto"/>
              <w:jc w:val="center"/>
              <w:rPr>
                <w:rFonts w:ascii="仿宋_GB2312" w:eastAsia="仿宋_GB2312" w:cs="Times New Roman"/>
                <w:color w:val="auto"/>
                <w:sz w:val="44"/>
                <w:szCs w:val="28"/>
                <w:highlight w:val="none"/>
              </w:rPr>
            </w:pPr>
          </w:p>
        </w:tc>
      </w:tr>
      <w:tr w14:paraId="3D9F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139" w:type="dxa"/>
            <w:gridSpan w:val="5"/>
            <w:tcBorders>
              <w:top w:val="nil"/>
              <w:left w:val="nil"/>
              <w:bottom w:val="nil"/>
              <w:right w:val="nil"/>
            </w:tcBorders>
          </w:tcPr>
          <w:p w14:paraId="6E578AE2">
            <w:pPr>
              <w:spacing w:line="480" w:lineRule="auto"/>
              <w:jc w:val="center"/>
              <w:rPr>
                <w:rFonts w:ascii="Times New Roman" w:hAnsi="Times New Roman" w:cs="Times New Roman"/>
                <w:b/>
                <w:color w:val="auto"/>
                <w:sz w:val="20"/>
                <w:szCs w:val="21"/>
                <w:highlight w:val="none"/>
              </w:rPr>
            </w:pPr>
            <w:r>
              <w:rPr>
                <w:rFonts w:hint="eastAsia" w:ascii="方正小标宋_GBK" w:eastAsia="方正小标宋_GBK" w:cs="方正小标宋_GBK"/>
                <w:color w:val="auto"/>
                <w:sz w:val="72"/>
                <w:szCs w:val="72"/>
                <w:highlight w:val="none"/>
              </w:rPr>
              <w:t>政</w:t>
            </w:r>
            <w:r>
              <w:rPr>
                <w:rFonts w:hint="eastAsia" w:ascii="方正小标宋_GBK" w:eastAsia="方正小标宋_GBK" w:cs="方正小标宋_GBK"/>
                <w:color w:val="auto"/>
                <w:sz w:val="72"/>
                <w:szCs w:val="72"/>
                <w:highlight w:val="none"/>
                <w:lang w:val="en-US" w:eastAsia="zh-CN"/>
              </w:rPr>
              <w:t>府</w:t>
            </w:r>
            <w:r>
              <w:rPr>
                <w:rFonts w:hint="eastAsia" w:ascii="方正小标宋_GBK" w:eastAsia="方正小标宋_GBK" w:cs="方正小标宋_GBK"/>
                <w:color w:val="auto"/>
                <w:sz w:val="72"/>
                <w:szCs w:val="72"/>
                <w:highlight w:val="none"/>
              </w:rPr>
              <w:t>采购</w:t>
            </w:r>
          </w:p>
        </w:tc>
      </w:tr>
      <w:tr w14:paraId="0B3C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139" w:type="dxa"/>
            <w:gridSpan w:val="5"/>
            <w:tcBorders>
              <w:top w:val="nil"/>
              <w:left w:val="nil"/>
              <w:bottom w:val="nil"/>
              <w:right w:val="nil"/>
            </w:tcBorders>
          </w:tcPr>
          <w:p w14:paraId="41BB9202">
            <w:pPr>
              <w:spacing w:line="480" w:lineRule="auto"/>
              <w:jc w:val="center"/>
              <w:rPr>
                <w:rFonts w:ascii="Times New Roman" w:hAnsi="Times New Roman" w:cs="Times New Roman"/>
                <w:color w:val="auto"/>
                <w:sz w:val="40"/>
                <w:szCs w:val="21"/>
                <w:highlight w:val="none"/>
              </w:rPr>
            </w:pPr>
            <w:r>
              <w:rPr>
                <w:rFonts w:hint="eastAsia" w:ascii="方正小标宋_GBK" w:eastAsia="方正小标宋_GBK" w:cs="方正小标宋_GBK"/>
                <w:color w:val="auto"/>
                <w:sz w:val="72"/>
                <w:szCs w:val="72"/>
                <w:highlight w:val="none"/>
              </w:rPr>
              <w:t>响 应 文 件</w:t>
            </w:r>
          </w:p>
        </w:tc>
      </w:tr>
      <w:tr w14:paraId="1517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9139" w:type="dxa"/>
            <w:gridSpan w:val="5"/>
            <w:tcBorders>
              <w:top w:val="nil"/>
              <w:left w:val="nil"/>
              <w:bottom w:val="nil"/>
              <w:right w:val="nil"/>
            </w:tcBorders>
          </w:tcPr>
          <w:p w14:paraId="68D3492F">
            <w:pPr>
              <w:rPr>
                <w:rFonts w:ascii="Times New Roman" w:hAnsi="Times New Roman" w:eastAsia="楷体_GB2312" w:cs="Times New Roman"/>
                <w:b/>
                <w:color w:val="auto"/>
                <w:kern w:val="36"/>
                <w:sz w:val="52"/>
                <w:szCs w:val="52"/>
                <w:highlight w:val="none"/>
              </w:rPr>
            </w:pPr>
          </w:p>
        </w:tc>
      </w:tr>
      <w:tr w14:paraId="5815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restart"/>
            <w:tcBorders>
              <w:top w:val="nil"/>
              <w:left w:val="nil"/>
              <w:bottom w:val="nil"/>
              <w:right w:val="nil"/>
            </w:tcBorders>
            <w:vAlign w:val="center"/>
          </w:tcPr>
          <w:p w14:paraId="117D740B">
            <w:pPr>
              <w:adjustRightInd w:val="0"/>
              <w:snapToGrid w:val="0"/>
              <w:rPr>
                <w:rFonts w:ascii="Times New Roman" w:hAnsi="Times New Roman" w:eastAsia="楷体_GB2312" w:cs="Times New Roman"/>
                <w:color w:val="auto"/>
                <w:sz w:val="52"/>
                <w:highlight w:val="none"/>
              </w:rPr>
            </w:pPr>
          </w:p>
        </w:tc>
        <w:tc>
          <w:tcPr>
            <w:tcW w:w="2626" w:type="dxa"/>
            <w:tcBorders>
              <w:top w:val="nil"/>
              <w:left w:val="nil"/>
              <w:bottom w:val="nil"/>
              <w:right w:val="nil"/>
            </w:tcBorders>
            <w:vAlign w:val="center"/>
          </w:tcPr>
          <w:p w14:paraId="0C3AD188">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rPr>
              <w:t>项目名称：</w:t>
            </w:r>
          </w:p>
        </w:tc>
        <w:tc>
          <w:tcPr>
            <w:tcW w:w="285" w:type="dxa"/>
            <w:tcBorders>
              <w:top w:val="nil"/>
              <w:left w:val="nil"/>
              <w:bottom w:val="nil"/>
              <w:right w:val="nil"/>
            </w:tcBorders>
            <w:vAlign w:val="bottom"/>
          </w:tcPr>
          <w:p w14:paraId="2F7567C3">
            <w:pPr>
              <w:ind w:firstLine="1960" w:firstLineChars="700"/>
              <w:jc w:val="center"/>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w:t>
            </w:r>
          </w:p>
        </w:tc>
        <w:tc>
          <w:tcPr>
            <w:tcW w:w="5384" w:type="dxa"/>
            <w:tcBorders>
              <w:top w:val="nil"/>
              <w:left w:val="nil"/>
              <w:bottom w:val="nil"/>
              <w:right w:val="nil"/>
            </w:tcBorders>
            <w:vAlign w:val="bottom"/>
          </w:tcPr>
          <w:p w14:paraId="5A6AACA1">
            <w:pPr>
              <w:rPr>
                <w:rFonts w:ascii="Times New Roman" w:hAnsi="Times New Roman" w:cs="Times New Roman"/>
                <w:color w:val="auto"/>
                <w:spacing w:val="20"/>
                <w:sz w:val="28"/>
                <w:szCs w:val="28"/>
                <w:highlight w:val="none"/>
              </w:rPr>
            </w:pPr>
          </w:p>
        </w:tc>
        <w:tc>
          <w:tcPr>
            <w:tcW w:w="414" w:type="dxa"/>
            <w:vMerge w:val="restart"/>
            <w:tcBorders>
              <w:top w:val="nil"/>
              <w:left w:val="nil"/>
              <w:bottom w:val="nil"/>
              <w:right w:val="nil"/>
            </w:tcBorders>
            <w:vAlign w:val="center"/>
          </w:tcPr>
          <w:p w14:paraId="0664CA69">
            <w:pPr>
              <w:adjustRightInd w:val="0"/>
              <w:snapToGrid w:val="0"/>
              <w:rPr>
                <w:rFonts w:ascii="Times New Roman" w:hAnsi="Times New Roman" w:eastAsia="楷体_GB2312" w:cs="Times New Roman"/>
                <w:color w:val="auto"/>
                <w:sz w:val="52"/>
                <w:highlight w:val="none"/>
              </w:rPr>
            </w:pPr>
          </w:p>
        </w:tc>
      </w:tr>
      <w:tr w14:paraId="62E1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31BAD439">
            <w:pPr>
              <w:rPr>
                <w:color w:val="auto"/>
                <w:highlight w:val="none"/>
              </w:rPr>
            </w:pPr>
          </w:p>
        </w:tc>
        <w:tc>
          <w:tcPr>
            <w:tcW w:w="2626" w:type="dxa"/>
            <w:tcBorders>
              <w:top w:val="nil"/>
              <w:left w:val="nil"/>
              <w:bottom w:val="nil"/>
              <w:right w:val="nil"/>
            </w:tcBorders>
            <w:vAlign w:val="center"/>
          </w:tcPr>
          <w:p w14:paraId="34AC52DB">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采购人</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6724B0AB">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14FF1CB1">
            <w:pPr>
              <w:rPr>
                <w:rFonts w:ascii="Times New Roman" w:hAnsi="Times New Roman" w:cs="Times New Roman"/>
                <w:color w:val="auto"/>
                <w:sz w:val="28"/>
                <w:szCs w:val="28"/>
                <w:highlight w:val="none"/>
              </w:rPr>
            </w:pPr>
          </w:p>
        </w:tc>
        <w:tc>
          <w:tcPr>
            <w:tcW w:w="414" w:type="dxa"/>
            <w:vMerge w:val="continue"/>
            <w:tcBorders>
              <w:top w:val="nil"/>
              <w:left w:val="nil"/>
              <w:bottom w:val="nil"/>
              <w:right w:val="nil"/>
            </w:tcBorders>
            <w:vAlign w:val="center"/>
          </w:tcPr>
          <w:p w14:paraId="752ABB83">
            <w:pPr>
              <w:rPr>
                <w:color w:val="auto"/>
                <w:highlight w:val="none"/>
              </w:rPr>
            </w:pPr>
          </w:p>
        </w:tc>
      </w:tr>
      <w:tr w14:paraId="7BE0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111E5EE6">
            <w:pPr>
              <w:rPr>
                <w:color w:val="auto"/>
                <w:highlight w:val="none"/>
              </w:rPr>
            </w:pPr>
          </w:p>
        </w:tc>
        <w:tc>
          <w:tcPr>
            <w:tcW w:w="2626" w:type="dxa"/>
            <w:tcBorders>
              <w:top w:val="nil"/>
              <w:left w:val="nil"/>
              <w:bottom w:val="nil"/>
              <w:right w:val="nil"/>
            </w:tcBorders>
            <w:vAlign w:val="center"/>
          </w:tcPr>
          <w:p w14:paraId="4973E8C7">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采购计划编号</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0FC848C8">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1846430B">
            <w:pPr>
              <w:rPr>
                <w:rFonts w:ascii="Times New Roman" w:hAnsi="Times New Roman" w:cs="Times New Roman"/>
                <w:color w:val="auto"/>
                <w:sz w:val="28"/>
                <w:szCs w:val="28"/>
                <w:highlight w:val="none"/>
              </w:rPr>
            </w:pPr>
          </w:p>
        </w:tc>
        <w:tc>
          <w:tcPr>
            <w:tcW w:w="414" w:type="dxa"/>
            <w:vMerge w:val="continue"/>
            <w:tcBorders>
              <w:top w:val="nil"/>
              <w:left w:val="nil"/>
              <w:bottom w:val="nil"/>
              <w:right w:val="nil"/>
            </w:tcBorders>
            <w:vAlign w:val="center"/>
          </w:tcPr>
          <w:p w14:paraId="2D57C784">
            <w:pPr>
              <w:rPr>
                <w:color w:val="auto"/>
                <w:highlight w:val="none"/>
              </w:rPr>
            </w:pPr>
          </w:p>
        </w:tc>
      </w:tr>
      <w:tr w14:paraId="41B7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30" w:type="dxa"/>
            <w:vMerge w:val="continue"/>
            <w:tcBorders>
              <w:top w:val="nil"/>
              <w:left w:val="nil"/>
              <w:bottom w:val="nil"/>
              <w:right w:val="nil"/>
            </w:tcBorders>
            <w:vAlign w:val="center"/>
          </w:tcPr>
          <w:p w14:paraId="531B2C4C">
            <w:pPr>
              <w:rPr>
                <w:color w:val="auto"/>
                <w:highlight w:val="none"/>
              </w:rPr>
            </w:pPr>
          </w:p>
        </w:tc>
        <w:tc>
          <w:tcPr>
            <w:tcW w:w="2626" w:type="dxa"/>
            <w:tcBorders>
              <w:top w:val="nil"/>
              <w:left w:val="nil"/>
              <w:bottom w:val="nil"/>
              <w:right w:val="nil"/>
            </w:tcBorders>
            <w:vAlign w:val="center"/>
          </w:tcPr>
          <w:p w14:paraId="167EA088">
            <w:pPr>
              <w:adjustRightInd w:val="0"/>
              <w:snapToGrid w:val="0"/>
              <w:jc w:val="distribute"/>
              <w:rPr>
                <w:rFonts w:ascii="Times New Roman" w:hAnsi="Times New Roman" w:cs="Times New Roman"/>
                <w:color w:val="auto"/>
                <w:highlight w:val="none"/>
              </w:rPr>
            </w:pPr>
            <w:r>
              <w:rPr>
                <w:rFonts w:hint="eastAsia" w:ascii="黑体" w:eastAsia="黑体" w:cs="黑体"/>
                <w:color w:val="auto"/>
                <w:sz w:val="32"/>
                <w:szCs w:val="32"/>
                <w:highlight w:val="none"/>
                <w:lang w:eastAsia="zh-CN"/>
              </w:rPr>
              <w:t>采购代理机构</w:t>
            </w:r>
            <w:r>
              <w:rPr>
                <w:rFonts w:hint="eastAsia" w:ascii="黑体" w:eastAsia="黑体" w:cs="黑体"/>
                <w:color w:val="auto"/>
                <w:sz w:val="32"/>
                <w:szCs w:val="32"/>
                <w:highlight w:val="none"/>
              </w:rPr>
              <w:t>：</w:t>
            </w:r>
          </w:p>
        </w:tc>
        <w:tc>
          <w:tcPr>
            <w:tcW w:w="285" w:type="dxa"/>
            <w:tcBorders>
              <w:top w:val="nil"/>
              <w:left w:val="nil"/>
              <w:bottom w:val="nil"/>
              <w:right w:val="nil"/>
            </w:tcBorders>
            <w:vAlign w:val="bottom"/>
          </w:tcPr>
          <w:p w14:paraId="16DB8FDF">
            <w:pPr>
              <w:ind w:firstLine="1960" w:firstLineChars="700"/>
              <w:jc w:val="center"/>
              <w:rPr>
                <w:rFonts w:ascii="Times New Roman" w:hAnsi="Times New Roman" w:cs="Times New Roman"/>
                <w:color w:val="auto"/>
                <w:sz w:val="28"/>
                <w:szCs w:val="28"/>
                <w:highlight w:val="none"/>
              </w:rPr>
            </w:pPr>
          </w:p>
        </w:tc>
        <w:tc>
          <w:tcPr>
            <w:tcW w:w="5384" w:type="dxa"/>
            <w:tcBorders>
              <w:top w:val="nil"/>
              <w:left w:val="nil"/>
              <w:bottom w:val="nil"/>
              <w:right w:val="nil"/>
            </w:tcBorders>
            <w:vAlign w:val="bottom"/>
          </w:tcPr>
          <w:p w14:paraId="29C78D81">
            <w:pPr>
              <w:rPr>
                <w:rFonts w:ascii="Times New Roman" w:hAnsi="Times New Roman" w:cs="Times New Roman"/>
                <w:color w:val="auto"/>
                <w:sz w:val="28"/>
                <w:szCs w:val="28"/>
                <w:highlight w:val="none"/>
                <w:u w:val="single"/>
              </w:rPr>
            </w:pPr>
          </w:p>
        </w:tc>
        <w:tc>
          <w:tcPr>
            <w:tcW w:w="414" w:type="dxa"/>
            <w:vMerge w:val="continue"/>
            <w:tcBorders>
              <w:top w:val="nil"/>
              <w:left w:val="nil"/>
              <w:bottom w:val="nil"/>
              <w:right w:val="nil"/>
            </w:tcBorders>
            <w:vAlign w:val="center"/>
          </w:tcPr>
          <w:p w14:paraId="541B0D4B">
            <w:pPr>
              <w:rPr>
                <w:color w:val="auto"/>
                <w:highlight w:val="none"/>
              </w:rPr>
            </w:pPr>
          </w:p>
        </w:tc>
      </w:tr>
      <w:tr w14:paraId="3B9E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430" w:type="dxa"/>
            <w:tcBorders>
              <w:top w:val="nil"/>
              <w:left w:val="nil"/>
              <w:bottom w:val="nil"/>
              <w:right w:val="nil"/>
            </w:tcBorders>
            <w:vAlign w:val="bottom"/>
          </w:tcPr>
          <w:p w14:paraId="3E114874">
            <w:pPr>
              <w:rPr>
                <w:rFonts w:ascii="黑体" w:eastAsia="黑体" w:cs="Times New Roman"/>
                <w:color w:val="auto"/>
                <w:sz w:val="32"/>
                <w:szCs w:val="32"/>
                <w:highlight w:val="none"/>
              </w:rPr>
            </w:pPr>
          </w:p>
          <w:p w14:paraId="4AB85849">
            <w:pPr>
              <w:rPr>
                <w:rFonts w:ascii="黑体" w:eastAsia="黑体" w:cs="Times New Roman"/>
                <w:color w:val="auto"/>
                <w:sz w:val="32"/>
                <w:szCs w:val="32"/>
                <w:highlight w:val="none"/>
              </w:rPr>
            </w:pPr>
          </w:p>
          <w:p w14:paraId="7F5DC6F8">
            <w:pPr>
              <w:pStyle w:val="45"/>
              <w:spacing w:before="156"/>
              <w:ind w:firstLine="1600" w:firstLineChars="500"/>
              <w:rPr>
                <w:rFonts w:ascii="黑体" w:eastAsia="黑体"/>
                <w:color w:val="auto"/>
                <w:sz w:val="32"/>
                <w:szCs w:val="32"/>
                <w:highlight w:val="none"/>
              </w:rPr>
            </w:pPr>
          </w:p>
        </w:tc>
        <w:tc>
          <w:tcPr>
            <w:tcW w:w="2626" w:type="dxa"/>
            <w:tcBorders>
              <w:top w:val="nil"/>
              <w:left w:val="nil"/>
              <w:bottom w:val="nil"/>
              <w:right w:val="nil"/>
            </w:tcBorders>
            <w:vAlign w:val="bottom"/>
          </w:tcPr>
          <w:p w14:paraId="6E91F2CC">
            <w:pPr>
              <w:pStyle w:val="45"/>
              <w:spacing w:before="156"/>
              <w:ind w:firstLine="0" w:firstLineChars="0"/>
              <w:jc w:val="distribute"/>
              <w:rPr>
                <w:rFonts w:ascii="黑体" w:eastAsia="黑体"/>
                <w:color w:val="auto"/>
                <w:sz w:val="32"/>
                <w:szCs w:val="32"/>
                <w:highlight w:val="none"/>
              </w:rPr>
            </w:pPr>
            <w:r>
              <w:rPr>
                <w:rFonts w:hint="eastAsia" w:ascii="黑体" w:eastAsia="黑体"/>
                <w:color w:val="auto"/>
                <w:sz w:val="32"/>
                <w:szCs w:val="32"/>
                <w:highlight w:val="none"/>
                <w:lang w:eastAsia="zh-CN"/>
              </w:rPr>
              <w:t>供应商</w:t>
            </w:r>
            <w:r>
              <w:rPr>
                <w:rFonts w:hint="eastAsia" w:ascii="黑体" w:eastAsia="黑体"/>
                <w:color w:val="auto"/>
                <w:sz w:val="32"/>
                <w:szCs w:val="32"/>
                <w:highlight w:val="none"/>
              </w:rPr>
              <w:t>：</w:t>
            </w:r>
          </w:p>
        </w:tc>
        <w:tc>
          <w:tcPr>
            <w:tcW w:w="285" w:type="dxa"/>
            <w:tcBorders>
              <w:top w:val="nil"/>
              <w:left w:val="nil"/>
              <w:bottom w:val="nil"/>
              <w:right w:val="nil"/>
            </w:tcBorders>
            <w:vAlign w:val="bottom"/>
          </w:tcPr>
          <w:p w14:paraId="5C2B1D0C">
            <w:pPr>
              <w:pStyle w:val="45"/>
              <w:spacing w:before="156"/>
              <w:ind w:firstLine="1600" w:firstLineChars="500"/>
              <w:jc w:val="center"/>
              <w:rPr>
                <w:rFonts w:ascii="黑体" w:eastAsia="黑体" w:cs="黑体"/>
                <w:color w:val="auto"/>
                <w:sz w:val="32"/>
                <w:szCs w:val="28"/>
                <w:highlight w:val="none"/>
              </w:rPr>
            </w:pPr>
          </w:p>
        </w:tc>
        <w:tc>
          <w:tcPr>
            <w:tcW w:w="5384" w:type="dxa"/>
            <w:tcBorders>
              <w:top w:val="nil"/>
              <w:left w:val="nil"/>
              <w:bottom w:val="nil"/>
              <w:right w:val="nil"/>
            </w:tcBorders>
            <w:vAlign w:val="bottom"/>
          </w:tcPr>
          <w:p w14:paraId="27D4092F">
            <w:pPr>
              <w:pStyle w:val="45"/>
              <w:spacing w:before="156"/>
              <w:ind w:firstLine="1600" w:firstLineChars="500"/>
              <w:rPr>
                <w:rFonts w:ascii="黑体" w:eastAsia="黑体" w:cs="黑体"/>
                <w:color w:val="auto"/>
                <w:sz w:val="32"/>
                <w:szCs w:val="28"/>
                <w:highlight w:val="none"/>
              </w:rPr>
            </w:pPr>
          </w:p>
        </w:tc>
        <w:tc>
          <w:tcPr>
            <w:tcW w:w="414" w:type="dxa"/>
            <w:tcBorders>
              <w:top w:val="nil"/>
              <w:left w:val="nil"/>
              <w:bottom w:val="nil"/>
              <w:right w:val="nil"/>
            </w:tcBorders>
            <w:vAlign w:val="bottom"/>
          </w:tcPr>
          <w:p w14:paraId="6C88166F">
            <w:pPr>
              <w:pStyle w:val="45"/>
              <w:spacing w:before="156"/>
              <w:ind w:firstLine="1600" w:firstLineChars="500"/>
              <w:rPr>
                <w:rFonts w:ascii="黑体" w:eastAsia="黑体" w:cs="黑体"/>
                <w:color w:val="auto"/>
                <w:sz w:val="32"/>
                <w:szCs w:val="28"/>
                <w:highlight w:val="none"/>
              </w:rPr>
            </w:pPr>
          </w:p>
        </w:tc>
      </w:tr>
      <w:tr w14:paraId="71B09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1" w:hRule="atLeast"/>
          <w:jc w:val="center"/>
        </w:trPr>
        <w:tc>
          <w:tcPr>
            <w:tcW w:w="9139" w:type="dxa"/>
            <w:gridSpan w:val="5"/>
            <w:tcBorders>
              <w:top w:val="nil"/>
              <w:left w:val="nil"/>
              <w:bottom w:val="nil"/>
              <w:right w:val="nil"/>
            </w:tcBorders>
            <w:vAlign w:val="bottom"/>
          </w:tcPr>
          <w:p w14:paraId="6112523B">
            <w:pPr>
              <w:jc w:val="center"/>
              <w:rPr>
                <w:rFonts w:ascii="黑体" w:eastAsia="黑体" w:cs="Times New Roman"/>
                <w:color w:val="auto"/>
                <w:sz w:val="32"/>
                <w:szCs w:val="32"/>
                <w:highlight w:val="none"/>
              </w:rPr>
            </w:pPr>
            <w:r>
              <w:rPr>
                <w:rFonts w:hint="eastAsia" w:ascii="黑体" w:eastAsia="黑体" w:cs="Times New Roman"/>
                <w:color w:val="auto"/>
                <w:sz w:val="32"/>
                <w:szCs w:val="32"/>
                <w:highlight w:val="none"/>
              </w:rPr>
              <w:t>二〇XX年 月</w:t>
            </w:r>
          </w:p>
        </w:tc>
      </w:tr>
    </w:tbl>
    <w:p w14:paraId="74161346">
      <w:pPr>
        <w:pStyle w:val="4"/>
        <w:numPr>
          <w:ilvl w:val="0"/>
          <w:numId w:val="0"/>
        </w:numPr>
        <w:spacing w:before="156"/>
        <w:ind w:left="0" w:leftChars="0" w:firstLine="420" w:firstLineChars="0"/>
        <w:jc w:val="center"/>
        <w:rPr>
          <w:color w:val="auto"/>
          <w:highlight w:val="none"/>
        </w:rPr>
      </w:pPr>
      <w:bookmarkStart w:id="77" w:name="_Toc14306"/>
      <w:bookmarkStart w:id="78" w:name="_Toc11864"/>
      <w:bookmarkStart w:id="79" w:name="_Toc7343"/>
      <w:bookmarkStart w:id="80" w:name="_Toc22147"/>
      <w:bookmarkStart w:id="81" w:name="_Toc19862"/>
      <w:r>
        <w:rPr>
          <w:rFonts w:hint="eastAsia" w:ascii="Arial" w:hAnsi="Arial" w:eastAsia="黑体" w:cs="Times New Roman"/>
          <w:color w:val="auto"/>
          <w:kern w:val="2"/>
          <w:sz w:val="30"/>
          <w:szCs w:val="24"/>
          <w:highlight w:val="none"/>
          <w:lang w:val="en-US" w:eastAsia="zh-CN" w:bidi="ar-SA"/>
        </w:rPr>
        <w:t>一、</w:t>
      </w:r>
      <w:r>
        <w:rPr>
          <w:rFonts w:hint="eastAsia"/>
          <w:color w:val="auto"/>
          <w:highlight w:val="none"/>
          <w:lang w:val="en-US" w:eastAsia="zh-CN"/>
        </w:rPr>
        <w:t>谈判</w:t>
      </w:r>
      <w:r>
        <w:rPr>
          <w:rFonts w:hint="eastAsia"/>
          <w:color w:val="auto"/>
          <w:highlight w:val="none"/>
        </w:rPr>
        <w:t>响应声明（格式）</w:t>
      </w:r>
      <w:bookmarkEnd w:id="77"/>
      <w:bookmarkEnd w:id="78"/>
      <w:bookmarkEnd w:id="79"/>
      <w:bookmarkEnd w:id="80"/>
      <w:bookmarkEnd w:id="81"/>
    </w:p>
    <w:p w14:paraId="03CBAF1C">
      <w:pPr>
        <w:pStyle w:val="45"/>
        <w:spacing w:before="156"/>
        <w:ind w:firstLine="0" w:firstLineChars="0"/>
        <w:rPr>
          <w:color w:val="auto"/>
          <w:highlight w:val="none"/>
        </w:rPr>
      </w:pPr>
      <w:r>
        <w:rPr>
          <w:rFonts w:hint="eastAsia"/>
          <w:color w:val="auto"/>
          <w:highlight w:val="none"/>
        </w:rPr>
        <w:t>致</w:t>
      </w:r>
      <w:r>
        <w:rPr>
          <w:rFonts w:hint="eastAsia"/>
          <w:color w:val="auto"/>
          <w:highlight w:val="none"/>
          <w:u w:val="single"/>
        </w:rPr>
        <w:t xml:space="preserve">                     </w:t>
      </w:r>
      <w:r>
        <w:rPr>
          <w:rFonts w:hint="eastAsia"/>
          <w:color w:val="auto"/>
          <w:highlight w:val="none"/>
        </w:rPr>
        <w:t>（</w:t>
      </w:r>
      <w:r>
        <w:rPr>
          <w:rFonts w:hint="eastAsia"/>
          <w:color w:val="auto"/>
          <w:highlight w:val="none"/>
          <w:lang w:eastAsia="zh-CN"/>
        </w:rPr>
        <w:t>采购人</w:t>
      </w:r>
      <w:r>
        <w:rPr>
          <w:rFonts w:hint="eastAsia"/>
          <w:color w:val="auto"/>
          <w:highlight w:val="none"/>
        </w:rPr>
        <w:t>、</w:t>
      </w:r>
      <w:r>
        <w:rPr>
          <w:rFonts w:hint="eastAsia"/>
          <w:color w:val="auto"/>
          <w:highlight w:val="none"/>
          <w:lang w:eastAsia="zh-CN"/>
        </w:rPr>
        <w:t>采购代理机构</w:t>
      </w:r>
      <w:r>
        <w:rPr>
          <w:rFonts w:hint="eastAsia"/>
          <w:color w:val="auto"/>
          <w:highlight w:val="none"/>
        </w:rPr>
        <w:t>）：</w:t>
      </w:r>
    </w:p>
    <w:p w14:paraId="2745BFCB">
      <w:pPr>
        <w:pStyle w:val="45"/>
        <w:spacing w:before="240"/>
        <w:ind w:firstLine="480"/>
        <w:rPr>
          <w:color w:val="auto"/>
          <w:highlight w:val="none"/>
        </w:rPr>
      </w:pPr>
      <w:r>
        <w:rPr>
          <w:rFonts w:hint="eastAsia"/>
          <w:color w:val="auto"/>
          <w:highlight w:val="none"/>
        </w:rPr>
        <w:t>根据贵方为</w:t>
      </w:r>
      <w:r>
        <w:rPr>
          <w:rFonts w:hint="eastAsia"/>
          <w:color w:val="auto"/>
          <w:highlight w:val="none"/>
          <w:u w:val="single"/>
          <w:lang w:val="en-US" w:eastAsia="zh-CN"/>
        </w:rPr>
        <w:t xml:space="preserve">                     </w:t>
      </w:r>
      <w:r>
        <w:rPr>
          <w:rFonts w:hint="eastAsia"/>
          <w:color w:val="auto"/>
          <w:highlight w:val="none"/>
        </w:rPr>
        <w:t>（项目名称）的谈判邀请（</w:t>
      </w:r>
      <w:r>
        <w:rPr>
          <w:rFonts w:hint="eastAsia"/>
          <w:color w:val="auto"/>
          <w:highlight w:val="none"/>
          <w:lang w:val="en-US" w:eastAsia="zh-CN"/>
        </w:rPr>
        <w:t>采购计划</w:t>
      </w:r>
      <w:r>
        <w:rPr>
          <w:rFonts w:hint="eastAsia"/>
          <w:color w:val="auto"/>
          <w:highlight w:val="none"/>
        </w:rPr>
        <w:t>编号：</w:t>
      </w:r>
      <w:r>
        <w:rPr>
          <w:rFonts w:hint="eastAsia"/>
          <w:color w:val="auto"/>
          <w:highlight w:val="none"/>
          <w:u w:val="single"/>
          <w:lang w:val="en-US" w:eastAsia="zh-CN"/>
        </w:rPr>
        <w:t xml:space="preserve">        </w:t>
      </w:r>
      <w:r>
        <w:rPr>
          <w:rFonts w:hint="eastAsia"/>
          <w:color w:val="auto"/>
          <w:highlight w:val="none"/>
        </w:rPr>
        <w:t>），签字代表</w:t>
      </w:r>
      <w:r>
        <w:rPr>
          <w:rFonts w:hint="eastAsia"/>
          <w:color w:val="auto"/>
          <w:highlight w:val="none"/>
          <w:u w:val="single"/>
        </w:rPr>
        <w:t xml:space="preserve">         </w:t>
      </w:r>
      <w:r>
        <w:rPr>
          <w:rFonts w:hint="eastAsia"/>
          <w:color w:val="auto"/>
          <w:highlight w:val="none"/>
        </w:rPr>
        <w:t>（姓名、职务）经正式授权并代表供应商</w:t>
      </w:r>
      <w:r>
        <w:rPr>
          <w:rFonts w:hint="eastAsia"/>
          <w:color w:val="auto"/>
          <w:highlight w:val="none"/>
          <w:u w:val="single"/>
        </w:rPr>
        <w:t xml:space="preserve">           </w:t>
      </w:r>
      <w:r>
        <w:rPr>
          <w:rFonts w:hint="eastAsia"/>
          <w:color w:val="auto"/>
          <w:highlight w:val="none"/>
        </w:rPr>
        <w:t>（供应商名称）提交响应文件电子文档：一份，参加采购项目第</w:t>
      </w:r>
      <w:r>
        <w:rPr>
          <w:rFonts w:hint="eastAsia"/>
          <w:color w:val="auto"/>
          <w:highlight w:val="none"/>
          <w:u w:val="single"/>
        </w:rPr>
        <w:t xml:space="preserve">   </w:t>
      </w:r>
      <w:r>
        <w:rPr>
          <w:rFonts w:hint="eastAsia"/>
          <w:color w:val="auto"/>
          <w:highlight w:val="none"/>
        </w:rPr>
        <w:t>包谈判，并在此声明，所递交的响应文件内容完整、真实。</w:t>
      </w:r>
    </w:p>
    <w:p w14:paraId="74E15BA9">
      <w:pPr>
        <w:pStyle w:val="45"/>
        <w:spacing w:before="240"/>
        <w:ind w:firstLine="480"/>
        <w:rPr>
          <w:color w:val="auto"/>
          <w:highlight w:val="none"/>
        </w:rPr>
      </w:pPr>
      <w:r>
        <w:rPr>
          <w:rFonts w:hint="eastAsia"/>
          <w:color w:val="auto"/>
          <w:highlight w:val="none"/>
        </w:rPr>
        <w:t>一、我方已详细审查谈判文件。我们完全理解并同意放弃对这方面有不明及误解的权力。</w:t>
      </w:r>
    </w:p>
    <w:p w14:paraId="096C4929">
      <w:pPr>
        <w:pStyle w:val="45"/>
        <w:spacing w:before="240"/>
        <w:ind w:firstLine="480"/>
        <w:rPr>
          <w:color w:val="auto"/>
          <w:highlight w:val="none"/>
        </w:rPr>
      </w:pPr>
      <w:r>
        <w:rPr>
          <w:rFonts w:hint="eastAsia"/>
          <w:color w:val="auto"/>
          <w:highlight w:val="none"/>
        </w:rPr>
        <w:t>二、我方愿意向贵方提供任何与本项采购有关的数据、情况和技术资料。若贵方需要，我方愿意提供我方作出的一切承诺的证明材料。</w:t>
      </w:r>
    </w:p>
    <w:p w14:paraId="4BD916AA">
      <w:pPr>
        <w:pStyle w:val="45"/>
        <w:spacing w:before="240"/>
        <w:ind w:firstLine="480"/>
        <w:outlineLvl w:val="9"/>
        <w:rPr>
          <w:color w:val="auto"/>
          <w:highlight w:val="none"/>
        </w:rPr>
      </w:pPr>
      <w:r>
        <w:rPr>
          <w:rFonts w:hint="eastAsia"/>
          <w:color w:val="auto"/>
          <w:highlight w:val="none"/>
        </w:rPr>
        <w:t>三、我方愿意按谈判文件规定和谈判小组要求重新提交响应文件。</w:t>
      </w:r>
    </w:p>
    <w:p w14:paraId="20748953">
      <w:pPr>
        <w:pStyle w:val="45"/>
        <w:spacing w:before="240"/>
        <w:ind w:firstLine="480"/>
        <w:rPr>
          <w:color w:val="auto"/>
          <w:highlight w:val="none"/>
        </w:rPr>
      </w:pPr>
      <w:r>
        <w:rPr>
          <w:rFonts w:hint="eastAsia"/>
          <w:color w:val="auto"/>
          <w:highlight w:val="none"/>
        </w:rPr>
        <w:t>四、我方同意在谈判文件中规定的提交首次响应文件截止时间起</w:t>
      </w:r>
      <w:r>
        <w:rPr>
          <w:rFonts w:hint="eastAsia"/>
          <w:color w:val="auto"/>
          <w:highlight w:val="none"/>
          <w:u w:val="single"/>
        </w:rPr>
        <w:t xml:space="preserve">    </w:t>
      </w:r>
      <w:r>
        <w:rPr>
          <w:rFonts w:hint="eastAsia"/>
          <w:color w:val="auto"/>
          <w:highlight w:val="none"/>
        </w:rPr>
        <w:t>日内（响应文件有效期）遵守本响应文件中的承诺且在此期限期满之前均具有法律约束力。</w:t>
      </w:r>
    </w:p>
    <w:p w14:paraId="175BA393">
      <w:pPr>
        <w:pStyle w:val="45"/>
        <w:spacing w:before="240"/>
        <w:ind w:firstLine="480"/>
        <w:rPr>
          <w:color w:val="auto"/>
          <w:highlight w:val="none"/>
        </w:rPr>
      </w:pPr>
      <w:r>
        <w:rPr>
          <w:rFonts w:hint="eastAsia"/>
          <w:color w:val="auto"/>
          <w:highlight w:val="none"/>
        </w:rPr>
        <w:t>五、我方承诺遵守《政府采购法》及实施条例、《政府采购竞争性谈判采购方式管理暂行办法》（财库</w:t>
      </w:r>
      <w:r>
        <w:rPr>
          <w:rFonts w:hint="eastAsia"/>
          <w:color w:val="auto"/>
          <w:highlight w:val="none"/>
          <w:lang w:eastAsia="zh-CN"/>
        </w:rPr>
        <w:t>〔2014〕214号</w:t>
      </w:r>
      <w:r>
        <w:rPr>
          <w:rFonts w:hint="eastAsia"/>
          <w:color w:val="auto"/>
          <w:highlight w:val="none"/>
        </w:rPr>
        <w:t>）</w:t>
      </w:r>
      <w:r>
        <w:rPr>
          <w:rFonts w:hint="eastAsia"/>
          <w:color w:val="auto"/>
          <w:highlight w:val="none"/>
          <w:lang w:eastAsia="zh-CN"/>
        </w:rPr>
        <w:t>、《张家界市人民政府办公室关于进一步加强政府采购管理工作的通知》（张政办发〔2024〕21号）</w:t>
      </w:r>
      <w:r>
        <w:rPr>
          <w:rFonts w:hint="eastAsia"/>
          <w:color w:val="auto"/>
          <w:highlight w:val="none"/>
        </w:rPr>
        <w:t>的有关规定，保证在获得成交资格后，按照谈判文件确定的事项签订政府采购合同，履行双方所签订的合同，并承担合同规定的责任和义务。</w:t>
      </w:r>
    </w:p>
    <w:p w14:paraId="2B3346F2">
      <w:pPr>
        <w:pStyle w:val="45"/>
        <w:numPr>
          <w:ilvl w:val="0"/>
          <w:numId w:val="0"/>
        </w:numPr>
        <w:spacing w:before="156" w:line="400" w:lineRule="exact"/>
        <w:ind w:firstLine="480" w:firstLineChars="200"/>
        <w:rPr>
          <w:color w:val="auto"/>
          <w:highlight w:val="none"/>
        </w:rPr>
      </w:pPr>
      <w:r>
        <w:rPr>
          <w:rFonts w:hint="eastAsia"/>
          <w:color w:val="auto"/>
          <w:highlight w:val="none"/>
        </w:rPr>
        <w:t>六、我方承诺在参与竞争性谈判过程中，若出现《政府采购法》第七十七条、《政府采购法实施条例》第七十二条规定之情形，我方同意接受条款规定作出的处罚。</w:t>
      </w:r>
    </w:p>
    <w:p w14:paraId="4C4DCEE7">
      <w:pPr>
        <w:pStyle w:val="45"/>
        <w:numPr>
          <w:ilvl w:val="0"/>
          <w:numId w:val="0"/>
        </w:numPr>
        <w:spacing w:before="156" w:line="400" w:lineRule="exact"/>
        <w:ind w:left="420" w:leftChars="0"/>
        <w:rPr>
          <w:color w:val="auto"/>
          <w:highlight w:val="none"/>
        </w:rPr>
      </w:pPr>
      <w:r>
        <w:rPr>
          <w:rFonts w:hint="eastAsia"/>
          <w:color w:val="auto"/>
          <w:highlight w:val="none"/>
        </w:rPr>
        <w:t>我方的联系方式：</w:t>
      </w:r>
    </w:p>
    <w:p w14:paraId="396E6050">
      <w:pPr>
        <w:pStyle w:val="45"/>
        <w:spacing w:before="156" w:line="400" w:lineRule="exact"/>
        <w:ind w:firstLine="480"/>
        <w:rPr>
          <w:color w:val="auto"/>
          <w:highlight w:val="none"/>
        </w:rPr>
      </w:pPr>
      <w:r>
        <w:rPr>
          <w:rFonts w:hint="eastAsia"/>
          <w:color w:val="auto"/>
          <w:highlight w:val="none"/>
        </w:rPr>
        <w:t xml:space="preserve">地址：        邮编：        电话：        电子邮箱：         </w:t>
      </w:r>
    </w:p>
    <w:tbl>
      <w:tblPr>
        <w:tblStyle w:val="35"/>
        <w:tblpPr w:leftFromText="180" w:rightFromText="180" w:vertAnchor="text" w:horzAnchor="page" w:tblpX="1249" w:tblpY="195"/>
        <w:tblOverlap w:val="never"/>
        <w:tblW w:w="97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3"/>
        <w:gridCol w:w="1730"/>
        <w:gridCol w:w="1345"/>
        <w:gridCol w:w="2851"/>
      </w:tblGrid>
      <w:tr w14:paraId="0564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0E436BF">
            <w:pPr>
              <w:pStyle w:val="45"/>
              <w:spacing w:before="156" w:line="240" w:lineRule="auto"/>
              <w:ind w:firstLine="0" w:firstLineChars="0"/>
              <w:jc w:val="distribute"/>
              <w:rPr>
                <w:color w:val="auto"/>
                <w:highlight w:val="none"/>
              </w:rPr>
            </w:pPr>
            <w:r>
              <w:rPr>
                <w:rFonts w:hint="eastAsia"/>
                <w:bCs/>
                <w:color w:val="auto"/>
                <w:highlight w:val="none"/>
                <w:lang w:eastAsia="zh-CN"/>
              </w:rPr>
              <w:t>供应商</w:t>
            </w:r>
            <w:r>
              <w:rPr>
                <w:rFonts w:hint="eastAsia"/>
                <w:bCs/>
                <w:color w:val="auto"/>
                <w:highlight w:val="none"/>
              </w:rPr>
              <w:t>名称（加盖公章）：</w:t>
            </w:r>
          </w:p>
        </w:tc>
        <w:tc>
          <w:tcPr>
            <w:tcW w:w="5926" w:type="dxa"/>
            <w:gridSpan w:val="3"/>
            <w:tcBorders>
              <w:top w:val="nil"/>
              <w:left w:val="nil"/>
              <w:bottom w:val="nil"/>
              <w:right w:val="nil"/>
            </w:tcBorders>
            <w:vAlign w:val="center"/>
          </w:tcPr>
          <w:p w14:paraId="5C405CEB">
            <w:pPr>
              <w:pStyle w:val="45"/>
              <w:spacing w:before="156" w:line="540" w:lineRule="exact"/>
              <w:ind w:firstLine="480"/>
              <w:jc w:val="center"/>
              <w:rPr>
                <w:color w:val="auto"/>
                <w:highlight w:val="none"/>
              </w:rPr>
            </w:pPr>
          </w:p>
        </w:tc>
      </w:tr>
      <w:tr w14:paraId="1768E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4FE1C0AC">
            <w:pPr>
              <w:pStyle w:val="45"/>
              <w:spacing w:before="156" w:line="240" w:lineRule="auto"/>
              <w:ind w:firstLine="0" w:firstLineChars="0"/>
              <w:jc w:val="distribute"/>
              <w:rPr>
                <w:color w:val="auto"/>
                <w:highlight w:val="none"/>
              </w:rPr>
            </w:pPr>
            <w:r>
              <w:rPr>
                <w:rFonts w:hint="eastAsia"/>
                <w:color w:val="auto"/>
                <w:highlight w:val="none"/>
              </w:rPr>
              <w:t>法定代表人（单位负责人）</w:t>
            </w:r>
          </w:p>
        </w:tc>
        <w:tc>
          <w:tcPr>
            <w:tcW w:w="5926" w:type="dxa"/>
            <w:gridSpan w:val="3"/>
            <w:tcBorders>
              <w:top w:val="nil"/>
              <w:left w:val="nil"/>
              <w:bottom w:val="nil"/>
              <w:right w:val="nil"/>
            </w:tcBorders>
            <w:vAlign w:val="center"/>
          </w:tcPr>
          <w:p w14:paraId="736879D8">
            <w:pPr>
              <w:pStyle w:val="45"/>
              <w:spacing w:before="156" w:line="540" w:lineRule="exact"/>
              <w:ind w:firstLine="480"/>
              <w:jc w:val="center"/>
              <w:rPr>
                <w:color w:val="auto"/>
                <w:highlight w:val="none"/>
              </w:rPr>
            </w:pPr>
          </w:p>
        </w:tc>
      </w:tr>
      <w:tr w14:paraId="7508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0A9E4FA">
            <w:pPr>
              <w:pStyle w:val="45"/>
              <w:spacing w:before="156" w:line="240" w:lineRule="auto"/>
              <w:ind w:firstLine="0" w:firstLineChars="0"/>
              <w:jc w:val="distribute"/>
              <w:rPr>
                <w:color w:val="auto"/>
                <w:highlight w:val="none"/>
              </w:rPr>
            </w:pPr>
            <w:r>
              <w:rPr>
                <w:rFonts w:hint="eastAsia"/>
                <w:color w:val="auto"/>
                <w:highlight w:val="none"/>
              </w:rPr>
              <w:t>或其授权的代理人（签字）：</w:t>
            </w:r>
          </w:p>
        </w:tc>
        <w:tc>
          <w:tcPr>
            <w:tcW w:w="5926" w:type="dxa"/>
            <w:gridSpan w:val="3"/>
            <w:tcBorders>
              <w:top w:val="nil"/>
              <w:left w:val="nil"/>
              <w:bottom w:val="nil"/>
              <w:right w:val="nil"/>
            </w:tcBorders>
            <w:vAlign w:val="center"/>
          </w:tcPr>
          <w:p w14:paraId="1D754384">
            <w:pPr>
              <w:pStyle w:val="45"/>
              <w:spacing w:before="156" w:line="540" w:lineRule="exact"/>
              <w:ind w:firstLine="480"/>
              <w:jc w:val="center"/>
              <w:rPr>
                <w:color w:val="auto"/>
                <w:highlight w:val="none"/>
              </w:rPr>
            </w:pPr>
          </w:p>
        </w:tc>
      </w:tr>
      <w:tr w14:paraId="6ACB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3833" w:type="dxa"/>
            <w:tcBorders>
              <w:top w:val="nil"/>
              <w:left w:val="nil"/>
              <w:bottom w:val="nil"/>
              <w:right w:val="nil"/>
            </w:tcBorders>
            <w:vAlign w:val="center"/>
          </w:tcPr>
          <w:p w14:paraId="67D1993F">
            <w:pPr>
              <w:pStyle w:val="45"/>
              <w:spacing w:before="156" w:line="540" w:lineRule="exact"/>
              <w:ind w:firstLine="0" w:firstLineChars="0"/>
              <w:rPr>
                <w:color w:val="auto"/>
                <w:highlight w:val="none"/>
              </w:rPr>
            </w:pPr>
          </w:p>
        </w:tc>
        <w:tc>
          <w:tcPr>
            <w:tcW w:w="1730" w:type="dxa"/>
            <w:tcBorders>
              <w:top w:val="nil"/>
              <w:left w:val="nil"/>
              <w:bottom w:val="nil"/>
              <w:right w:val="nil"/>
            </w:tcBorders>
            <w:vAlign w:val="center"/>
          </w:tcPr>
          <w:p w14:paraId="0DC6470D">
            <w:pPr>
              <w:pStyle w:val="45"/>
              <w:spacing w:before="156" w:line="540" w:lineRule="exact"/>
              <w:ind w:firstLine="0" w:firstLineChars="0"/>
              <w:jc w:val="center"/>
              <w:rPr>
                <w:color w:val="auto"/>
                <w:highlight w:val="none"/>
              </w:rPr>
            </w:pPr>
          </w:p>
        </w:tc>
        <w:tc>
          <w:tcPr>
            <w:tcW w:w="1345" w:type="dxa"/>
            <w:tcBorders>
              <w:top w:val="nil"/>
              <w:left w:val="nil"/>
              <w:bottom w:val="nil"/>
              <w:right w:val="nil"/>
            </w:tcBorders>
            <w:vAlign w:val="center"/>
          </w:tcPr>
          <w:p w14:paraId="3B357640">
            <w:pPr>
              <w:pStyle w:val="45"/>
              <w:spacing w:before="156" w:line="240" w:lineRule="auto"/>
              <w:ind w:firstLine="0" w:firstLineChars="0"/>
              <w:jc w:val="distribute"/>
              <w:rPr>
                <w:color w:val="auto"/>
                <w:highlight w:val="none"/>
              </w:rPr>
            </w:pPr>
            <w:r>
              <w:rPr>
                <w:rFonts w:hint="eastAsia"/>
                <w:color w:val="auto"/>
                <w:highlight w:val="none"/>
              </w:rPr>
              <w:t>日   期：</w:t>
            </w:r>
          </w:p>
        </w:tc>
        <w:tc>
          <w:tcPr>
            <w:tcW w:w="2851" w:type="dxa"/>
            <w:tcBorders>
              <w:top w:val="nil"/>
              <w:left w:val="nil"/>
              <w:bottom w:val="nil"/>
              <w:right w:val="nil"/>
            </w:tcBorders>
            <w:vAlign w:val="center"/>
          </w:tcPr>
          <w:p w14:paraId="09F4103E">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1C116BC9">
      <w:pPr>
        <w:rPr>
          <w:color w:val="auto"/>
          <w:highlight w:val="none"/>
        </w:rPr>
      </w:pPr>
      <w:r>
        <w:rPr>
          <w:color w:val="auto"/>
          <w:highlight w:val="none"/>
        </w:rPr>
        <w:br w:type="page"/>
      </w:r>
    </w:p>
    <w:p w14:paraId="298DD423">
      <w:pPr>
        <w:pStyle w:val="4"/>
        <w:numPr>
          <w:ilvl w:val="0"/>
          <w:numId w:val="0"/>
        </w:numPr>
        <w:spacing w:before="156"/>
        <w:ind w:left="0" w:leftChars="0" w:firstLine="420" w:firstLineChars="0"/>
        <w:jc w:val="center"/>
        <w:rPr>
          <w:color w:val="auto"/>
          <w:highlight w:val="none"/>
        </w:rPr>
      </w:pPr>
      <w:bookmarkStart w:id="82" w:name="_Toc6881"/>
      <w:bookmarkStart w:id="83" w:name="_Toc20918"/>
      <w:bookmarkStart w:id="84" w:name="_Toc10697"/>
      <w:bookmarkStart w:id="85" w:name="_Toc18644"/>
      <w:bookmarkStart w:id="86" w:name="_Toc1553"/>
      <w:r>
        <w:rPr>
          <w:rFonts w:hint="eastAsia" w:ascii="Arial" w:hAnsi="Arial" w:eastAsia="黑体" w:cs="Times New Roman"/>
          <w:color w:val="auto"/>
          <w:kern w:val="2"/>
          <w:sz w:val="30"/>
          <w:szCs w:val="24"/>
          <w:highlight w:val="none"/>
          <w:lang w:val="en-US" w:eastAsia="zh-CN" w:bidi="ar-SA"/>
        </w:rPr>
        <w:t>二、</w:t>
      </w:r>
      <w:r>
        <w:rPr>
          <w:rFonts w:hint="eastAsia"/>
          <w:color w:val="auto"/>
          <w:highlight w:val="none"/>
        </w:rPr>
        <w:t>授权委托书（格式）</w:t>
      </w:r>
      <w:bookmarkEnd w:id="82"/>
      <w:bookmarkEnd w:id="83"/>
      <w:bookmarkEnd w:id="84"/>
      <w:bookmarkEnd w:id="85"/>
      <w:bookmarkEnd w:id="86"/>
    </w:p>
    <w:p w14:paraId="3F8E39EF">
      <w:pPr>
        <w:pStyle w:val="45"/>
        <w:spacing w:before="240"/>
        <w:ind w:firstLine="720" w:firstLineChars="300"/>
        <w:rPr>
          <w:color w:val="auto"/>
          <w:highlight w:val="none"/>
        </w:rPr>
      </w:pPr>
      <w:r>
        <w:rPr>
          <w:rFonts w:hint="eastAsia"/>
          <w:bCs/>
          <w:color w:val="auto"/>
          <w:highlight w:val="none"/>
        </w:rPr>
        <w:t xml:space="preserve">本人 </w:t>
      </w:r>
      <w:r>
        <w:rPr>
          <w:rFonts w:hint="eastAsia"/>
          <w:bCs/>
          <w:color w:val="auto"/>
          <w:highlight w:val="none"/>
          <w:u w:val="single"/>
        </w:rPr>
        <w:t xml:space="preserve">         </w:t>
      </w:r>
      <w:r>
        <w:rPr>
          <w:rFonts w:hint="eastAsia"/>
          <w:bCs/>
          <w:color w:val="auto"/>
          <w:highlight w:val="none"/>
        </w:rPr>
        <w:t xml:space="preserve">（姓名、职务）系 </w:t>
      </w:r>
      <w:r>
        <w:rPr>
          <w:rFonts w:hint="eastAsia"/>
          <w:bCs/>
          <w:color w:val="auto"/>
          <w:highlight w:val="none"/>
          <w:u w:val="single"/>
        </w:rPr>
        <w:t xml:space="preserve">                        </w:t>
      </w:r>
      <w:r>
        <w:rPr>
          <w:rFonts w:hint="eastAsia"/>
          <w:bCs/>
          <w:color w:val="auto"/>
          <w:highlight w:val="none"/>
        </w:rPr>
        <w:t>（</w:t>
      </w:r>
      <w:r>
        <w:rPr>
          <w:rFonts w:hint="eastAsia"/>
          <w:color w:val="auto"/>
          <w:highlight w:val="none"/>
        </w:rPr>
        <w:t>供应商名称）的法定代表人（单位负责人），现授权</w:t>
      </w:r>
      <w:r>
        <w:rPr>
          <w:rFonts w:hint="eastAsia"/>
          <w:color w:val="auto"/>
          <w:highlight w:val="none"/>
          <w:u w:val="single"/>
        </w:rPr>
        <w:t xml:space="preserve">          </w:t>
      </w:r>
      <w:r>
        <w:rPr>
          <w:rFonts w:hint="eastAsia"/>
          <w:color w:val="auto"/>
          <w:highlight w:val="none"/>
        </w:rPr>
        <w:t>（姓名、职务）为我方代理人。代理人根据授权，以我方名义：（1）签署、澄清、补正、修改、撤回、提交</w:t>
      </w:r>
      <w:r>
        <w:rPr>
          <w:rFonts w:hint="eastAsia"/>
          <w:color w:val="auto"/>
          <w:highlight w:val="none"/>
          <w:u w:val="single"/>
          <w:lang w:val="en-US" w:eastAsia="zh-CN"/>
        </w:rPr>
        <w:t xml:space="preserve">              </w:t>
      </w:r>
      <w:r>
        <w:rPr>
          <w:rFonts w:hint="eastAsia"/>
          <w:color w:val="auto"/>
          <w:highlight w:val="none"/>
        </w:rPr>
        <w:t>（</w:t>
      </w:r>
      <w:r>
        <w:rPr>
          <w:rFonts w:hint="eastAsia"/>
          <w:color w:val="auto"/>
          <w:highlight w:val="none"/>
          <w:lang w:val="en-US" w:eastAsia="zh-CN"/>
        </w:rPr>
        <w:t>项目名称、采购计划编号、</w:t>
      </w:r>
      <w:r>
        <w:rPr>
          <w:rFonts w:hint="eastAsia"/>
          <w:color w:val="auto"/>
          <w:highlight w:val="none"/>
        </w:rPr>
        <w:t>委托代理编号）响应文件；（2）签署并重新提交响应文件</w:t>
      </w:r>
      <w:r>
        <w:rPr>
          <w:rFonts w:hint="eastAsia"/>
          <w:color w:val="auto"/>
          <w:highlight w:val="none"/>
          <w:lang w:val="en-US" w:eastAsia="zh-CN"/>
        </w:rPr>
        <w:t>及公开报价</w:t>
      </w:r>
      <w:r>
        <w:rPr>
          <w:rFonts w:hint="eastAsia"/>
          <w:color w:val="auto"/>
          <w:highlight w:val="none"/>
        </w:rPr>
        <w:t>；（3）退出谈判（如可能）；（4）签订合同和处理有关事宜，其法律后果由我方承担。</w:t>
      </w:r>
    </w:p>
    <w:p w14:paraId="3E864403">
      <w:pPr>
        <w:pStyle w:val="45"/>
        <w:spacing w:before="240"/>
        <w:ind w:firstLine="720" w:firstLineChars="300"/>
        <w:rPr>
          <w:color w:val="auto"/>
          <w:highlight w:val="none"/>
        </w:rPr>
      </w:pPr>
      <w:r>
        <w:rPr>
          <w:rFonts w:hint="eastAsia"/>
          <w:color w:val="auto"/>
          <w:highlight w:val="none"/>
        </w:rPr>
        <w:t>委托期限：</w:t>
      </w:r>
      <w:r>
        <w:rPr>
          <w:rFonts w:hint="eastAsia"/>
          <w:color w:val="auto"/>
          <w:highlight w:val="none"/>
          <w:u w:val="single"/>
        </w:rPr>
        <w:t xml:space="preserve">                                      </w:t>
      </w:r>
      <w:r>
        <w:rPr>
          <w:rFonts w:hint="eastAsia"/>
          <w:color w:val="auto"/>
          <w:highlight w:val="none"/>
        </w:rPr>
        <w:t>。</w:t>
      </w:r>
    </w:p>
    <w:p w14:paraId="21EBCFA3">
      <w:pPr>
        <w:pStyle w:val="45"/>
        <w:spacing w:before="240"/>
        <w:ind w:firstLine="720" w:firstLineChars="300"/>
        <w:rPr>
          <w:color w:val="auto"/>
          <w:highlight w:val="none"/>
        </w:rPr>
      </w:pPr>
      <w:r>
        <w:rPr>
          <w:rFonts w:hint="eastAsia"/>
          <w:color w:val="auto"/>
          <w:highlight w:val="none"/>
        </w:rPr>
        <w:t>代理人无转委托权。</w:t>
      </w:r>
    </w:p>
    <w:p w14:paraId="32E1DE71">
      <w:pPr>
        <w:pStyle w:val="45"/>
        <w:spacing w:before="156"/>
        <w:ind w:firstLine="480"/>
        <w:rPr>
          <w:color w:val="auto"/>
          <w:highlight w:val="none"/>
        </w:rPr>
      </w:pPr>
      <w:r>
        <w:rPr>
          <w:rFonts w:hint="eastAsia"/>
          <w:color w:val="auto"/>
          <w:highlight w:val="none"/>
        </w:rPr>
        <w:t>本授权书于</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日签字生效，特此声明。</w:t>
      </w:r>
    </w:p>
    <w:tbl>
      <w:tblPr>
        <w:tblStyle w:val="34"/>
        <w:tblW w:w="983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9"/>
        <w:gridCol w:w="4919"/>
      </w:tblGrid>
      <w:tr w14:paraId="16D62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6DA2841D">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身份证（正面）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c>
          <w:tcPr>
            <w:tcW w:w="4919" w:type="dxa"/>
            <w:tcBorders>
              <w:top w:val="single" w:color="auto" w:sz="4" w:space="0"/>
              <w:left w:val="single" w:color="auto" w:sz="4" w:space="0"/>
              <w:bottom w:val="single" w:color="auto" w:sz="4" w:space="0"/>
              <w:right w:val="single" w:color="auto" w:sz="4" w:space="0"/>
            </w:tcBorders>
            <w:shd w:val="clear" w:color="auto" w:fill="auto"/>
            <w:vAlign w:val="center"/>
          </w:tcPr>
          <w:p w14:paraId="61DFEB04">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身份证（反面）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r>
    </w:tbl>
    <w:p w14:paraId="2E06FA8C">
      <w:pPr>
        <w:adjustRightInd w:val="0"/>
        <w:snapToGrid w:val="0"/>
        <w:spacing w:before="156" w:beforeLines="50" w:line="360" w:lineRule="auto"/>
        <w:rPr>
          <w:rFonts w:ascii="宋体" w:cs="Times New Roman"/>
          <w:color w:val="auto"/>
          <w:szCs w:val="21"/>
          <w:highlight w:val="none"/>
        </w:rPr>
      </w:pPr>
      <w:r>
        <w:rPr>
          <w:rFonts w:hint="eastAsia" w:ascii="宋体" w:cs="Times New Roman"/>
          <w:color w:val="auto"/>
          <w:szCs w:val="21"/>
          <w:highlight w:val="none"/>
        </w:rPr>
        <w:t>注：</w:t>
      </w:r>
      <w:r>
        <w:rPr>
          <w:rFonts w:hint="eastAsia" w:ascii="宋体" w:cs="Times New Roman"/>
          <w:color w:val="auto"/>
          <w:szCs w:val="21"/>
          <w:highlight w:val="none"/>
          <w:lang w:eastAsia="zh-CN"/>
        </w:rPr>
        <w:t>供应商</w:t>
      </w:r>
      <w:r>
        <w:rPr>
          <w:rFonts w:hint="eastAsia" w:ascii="宋体" w:cs="Times New Roman"/>
          <w:color w:val="auto"/>
          <w:szCs w:val="21"/>
          <w:highlight w:val="none"/>
        </w:rPr>
        <w:t>代表不是</w:t>
      </w:r>
      <w:r>
        <w:rPr>
          <w:rFonts w:hint="eastAsia" w:ascii="宋体" w:cs="Times New Roman"/>
          <w:color w:val="auto"/>
          <w:szCs w:val="21"/>
          <w:highlight w:val="none"/>
          <w:lang w:eastAsia="zh-CN"/>
        </w:rPr>
        <w:t>供应商</w:t>
      </w:r>
      <w:r>
        <w:rPr>
          <w:rFonts w:hint="eastAsia" w:ascii="宋体" w:cs="Times New Roman"/>
          <w:color w:val="auto"/>
          <w:szCs w:val="21"/>
          <w:highlight w:val="none"/>
        </w:rPr>
        <w:t>的法定代表人（单位负责人）的提供。</w:t>
      </w:r>
      <w:r>
        <w:rPr>
          <w:rFonts w:hint="eastAsia" w:ascii="宋体" w:cs="Times New Roman"/>
          <w:color w:val="auto"/>
          <w:szCs w:val="21"/>
          <w:highlight w:val="none"/>
          <w:lang w:eastAsia="zh-CN"/>
        </w:rPr>
        <w:t>供应商</w:t>
      </w:r>
      <w:r>
        <w:rPr>
          <w:rFonts w:hint="eastAsia" w:ascii="宋体" w:cs="Times New Roman"/>
          <w:color w:val="auto"/>
          <w:szCs w:val="21"/>
          <w:highlight w:val="none"/>
        </w:rPr>
        <w:t>为自然人的无需提供。</w:t>
      </w:r>
    </w:p>
    <w:tbl>
      <w:tblPr>
        <w:tblStyle w:val="35"/>
        <w:tblpPr w:leftFromText="180" w:rightFromText="180" w:vertAnchor="text" w:horzAnchor="page" w:tblpX="1472" w:tblpY="373"/>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6"/>
        <w:gridCol w:w="1681"/>
        <w:gridCol w:w="1185"/>
        <w:gridCol w:w="2602"/>
      </w:tblGrid>
      <w:tr w14:paraId="2CF1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4056" w:type="dxa"/>
            <w:tcBorders>
              <w:top w:val="nil"/>
              <w:left w:val="nil"/>
              <w:bottom w:val="nil"/>
              <w:right w:val="nil"/>
            </w:tcBorders>
            <w:vAlign w:val="center"/>
          </w:tcPr>
          <w:p w14:paraId="3366E971">
            <w:pPr>
              <w:pStyle w:val="45"/>
              <w:spacing w:before="156" w:line="240" w:lineRule="auto"/>
              <w:ind w:firstLine="0" w:firstLineChars="0"/>
              <w:jc w:val="distribute"/>
              <w:rPr>
                <w:color w:val="auto"/>
                <w:highlight w:val="none"/>
              </w:rPr>
            </w:pPr>
            <w:r>
              <w:rPr>
                <w:rFonts w:hint="eastAsia"/>
                <w:color w:val="auto"/>
                <w:highlight w:val="none"/>
                <w:lang w:eastAsia="zh-CN"/>
              </w:rPr>
              <w:t>供应商</w:t>
            </w:r>
            <w:r>
              <w:rPr>
                <w:rFonts w:hint="eastAsia"/>
                <w:color w:val="auto"/>
                <w:highlight w:val="none"/>
              </w:rPr>
              <w:t>名称（加盖公章）：</w:t>
            </w:r>
          </w:p>
        </w:tc>
        <w:tc>
          <w:tcPr>
            <w:tcW w:w="5468" w:type="dxa"/>
            <w:gridSpan w:val="3"/>
            <w:tcBorders>
              <w:top w:val="nil"/>
              <w:left w:val="nil"/>
              <w:bottom w:val="nil"/>
              <w:right w:val="nil"/>
            </w:tcBorders>
            <w:vAlign w:val="center"/>
          </w:tcPr>
          <w:p w14:paraId="5F4CAAD8">
            <w:pPr>
              <w:pStyle w:val="45"/>
              <w:spacing w:before="156" w:line="540" w:lineRule="exact"/>
              <w:ind w:firstLine="480"/>
              <w:jc w:val="center"/>
              <w:rPr>
                <w:color w:val="auto"/>
                <w:highlight w:val="none"/>
              </w:rPr>
            </w:pPr>
          </w:p>
        </w:tc>
      </w:tr>
      <w:tr w14:paraId="3307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5F364F3F">
            <w:pPr>
              <w:pStyle w:val="45"/>
              <w:spacing w:before="156" w:line="240" w:lineRule="auto"/>
              <w:ind w:firstLine="0" w:firstLineChars="0"/>
              <w:jc w:val="distribute"/>
              <w:rPr>
                <w:color w:val="auto"/>
                <w:highlight w:val="none"/>
              </w:rPr>
            </w:pPr>
            <w:r>
              <w:rPr>
                <w:rFonts w:hint="eastAsia"/>
                <w:color w:val="auto"/>
                <w:highlight w:val="none"/>
              </w:rPr>
              <w:t>法定代表人（单位负责人）（签字）：</w:t>
            </w:r>
          </w:p>
        </w:tc>
        <w:tc>
          <w:tcPr>
            <w:tcW w:w="5468" w:type="dxa"/>
            <w:gridSpan w:val="3"/>
            <w:tcBorders>
              <w:top w:val="nil"/>
              <w:left w:val="nil"/>
              <w:bottom w:val="nil"/>
              <w:right w:val="nil"/>
            </w:tcBorders>
            <w:vAlign w:val="center"/>
          </w:tcPr>
          <w:p w14:paraId="5280EF93">
            <w:pPr>
              <w:pStyle w:val="45"/>
              <w:spacing w:before="156" w:line="540" w:lineRule="exact"/>
              <w:ind w:firstLine="480"/>
              <w:jc w:val="center"/>
              <w:rPr>
                <w:color w:val="auto"/>
                <w:highlight w:val="none"/>
              </w:rPr>
            </w:pPr>
          </w:p>
        </w:tc>
      </w:tr>
      <w:tr w14:paraId="2233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664B6F85">
            <w:pPr>
              <w:pStyle w:val="45"/>
              <w:spacing w:before="156" w:line="240" w:lineRule="auto"/>
              <w:ind w:firstLine="0" w:firstLineChars="0"/>
              <w:jc w:val="distribute"/>
              <w:rPr>
                <w:color w:val="auto"/>
                <w:highlight w:val="none"/>
              </w:rPr>
            </w:pPr>
          </w:p>
        </w:tc>
        <w:tc>
          <w:tcPr>
            <w:tcW w:w="5468" w:type="dxa"/>
            <w:gridSpan w:val="3"/>
            <w:tcBorders>
              <w:top w:val="nil"/>
              <w:left w:val="nil"/>
              <w:bottom w:val="nil"/>
              <w:right w:val="nil"/>
            </w:tcBorders>
            <w:vAlign w:val="center"/>
          </w:tcPr>
          <w:p w14:paraId="752F735D">
            <w:pPr>
              <w:pStyle w:val="45"/>
              <w:spacing w:before="156" w:line="540" w:lineRule="exact"/>
              <w:ind w:firstLine="480"/>
              <w:jc w:val="center"/>
              <w:rPr>
                <w:color w:val="auto"/>
                <w:highlight w:val="none"/>
              </w:rPr>
            </w:pPr>
          </w:p>
        </w:tc>
      </w:tr>
      <w:tr w14:paraId="6957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6" w:type="dxa"/>
            <w:tcBorders>
              <w:top w:val="nil"/>
              <w:left w:val="nil"/>
              <w:bottom w:val="nil"/>
              <w:right w:val="nil"/>
            </w:tcBorders>
            <w:vAlign w:val="center"/>
          </w:tcPr>
          <w:p w14:paraId="3B53D512">
            <w:pPr>
              <w:pStyle w:val="45"/>
              <w:spacing w:before="156" w:line="540" w:lineRule="exact"/>
              <w:ind w:firstLine="0" w:firstLineChars="0"/>
              <w:rPr>
                <w:color w:val="auto"/>
                <w:highlight w:val="none"/>
              </w:rPr>
            </w:pPr>
          </w:p>
        </w:tc>
        <w:tc>
          <w:tcPr>
            <w:tcW w:w="1681" w:type="dxa"/>
            <w:tcBorders>
              <w:top w:val="nil"/>
              <w:left w:val="nil"/>
              <w:bottom w:val="nil"/>
              <w:right w:val="nil"/>
            </w:tcBorders>
            <w:vAlign w:val="center"/>
          </w:tcPr>
          <w:p w14:paraId="48DC2C0F">
            <w:pPr>
              <w:pStyle w:val="45"/>
              <w:spacing w:before="156" w:line="540" w:lineRule="exact"/>
              <w:ind w:firstLine="0" w:firstLineChars="0"/>
              <w:jc w:val="center"/>
              <w:rPr>
                <w:color w:val="auto"/>
                <w:highlight w:val="none"/>
              </w:rPr>
            </w:pPr>
          </w:p>
        </w:tc>
        <w:tc>
          <w:tcPr>
            <w:tcW w:w="1185" w:type="dxa"/>
            <w:tcBorders>
              <w:top w:val="nil"/>
              <w:left w:val="nil"/>
              <w:bottom w:val="nil"/>
              <w:right w:val="nil"/>
            </w:tcBorders>
            <w:vAlign w:val="center"/>
          </w:tcPr>
          <w:p w14:paraId="0D937B7B">
            <w:pPr>
              <w:pStyle w:val="45"/>
              <w:spacing w:before="156" w:line="240" w:lineRule="auto"/>
              <w:ind w:firstLine="0" w:firstLineChars="0"/>
              <w:jc w:val="distribute"/>
              <w:rPr>
                <w:color w:val="auto"/>
                <w:highlight w:val="none"/>
              </w:rPr>
            </w:pPr>
            <w:r>
              <w:rPr>
                <w:rFonts w:hint="eastAsia"/>
                <w:color w:val="auto"/>
                <w:highlight w:val="none"/>
              </w:rPr>
              <w:t>日   期：</w:t>
            </w:r>
          </w:p>
        </w:tc>
        <w:tc>
          <w:tcPr>
            <w:tcW w:w="2602" w:type="dxa"/>
            <w:tcBorders>
              <w:top w:val="nil"/>
              <w:left w:val="nil"/>
              <w:bottom w:val="nil"/>
              <w:right w:val="nil"/>
            </w:tcBorders>
            <w:vAlign w:val="center"/>
          </w:tcPr>
          <w:p w14:paraId="61D387F9">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3097B658">
      <w:pPr>
        <w:pStyle w:val="6"/>
        <w:tabs>
          <w:tab w:val="left" w:pos="0"/>
        </w:tabs>
        <w:spacing w:before="156" w:after="156"/>
        <w:ind w:firstLine="480"/>
        <w:outlineLvl w:val="9"/>
        <w:rPr>
          <w:color w:val="auto"/>
          <w:highlight w:val="none"/>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p>
    <w:p w14:paraId="6A92144B">
      <w:pPr>
        <w:pStyle w:val="6"/>
        <w:tabs>
          <w:tab w:val="left" w:pos="0"/>
        </w:tabs>
        <w:spacing w:before="156" w:after="156"/>
        <w:ind w:firstLine="0" w:firstLineChars="0"/>
        <w:outlineLvl w:val="2"/>
        <w:rPr>
          <w:color w:val="auto"/>
          <w:highlight w:val="none"/>
        </w:rPr>
      </w:pPr>
      <w:r>
        <w:rPr>
          <w:rFonts w:hint="eastAsia"/>
          <w:color w:val="auto"/>
          <w:highlight w:val="none"/>
        </w:rPr>
        <w:t>附件2-1法定代表人（单位负责人）身份证明（格式）</w:t>
      </w:r>
    </w:p>
    <w:p w14:paraId="64F42BD3">
      <w:pPr>
        <w:pStyle w:val="45"/>
        <w:spacing w:before="156"/>
        <w:ind w:firstLine="640"/>
        <w:jc w:val="center"/>
        <w:rPr>
          <w:rFonts w:ascii="方正小标宋_GBK" w:eastAsia="方正小标宋_GBK" w:cs="方正小标宋_GBK"/>
          <w:color w:val="auto"/>
          <w:sz w:val="32"/>
          <w:szCs w:val="28"/>
          <w:highlight w:val="none"/>
        </w:rPr>
      </w:pPr>
      <w:r>
        <w:rPr>
          <w:rFonts w:hint="eastAsia" w:ascii="方正小标宋_GBK" w:eastAsia="方正小标宋_GBK" w:cs="方正小标宋_GBK"/>
          <w:color w:val="auto"/>
          <w:sz w:val="32"/>
          <w:szCs w:val="28"/>
          <w:highlight w:val="none"/>
        </w:rPr>
        <w:t>法定代表人（单位负责人）身份证明（格式）</w:t>
      </w:r>
    </w:p>
    <w:p w14:paraId="18F39043">
      <w:pPr>
        <w:pStyle w:val="45"/>
        <w:spacing w:before="156"/>
        <w:ind w:firstLine="480"/>
        <w:rPr>
          <w:color w:val="auto"/>
          <w:highlight w:val="none"/>
          <w:u w:val="single"/>
        </w:rPr>
      </w:pPr>
      <w:r>
        <w:rPr>
          <w:rFonts w:hint="eastAsia"/>
          <w:color w:val="auto"/>
          <w:highlight w:val="none"/>
          <w:lang w:eastAsia="zh-CN"/>
        </w:rPr>
        <w:t>供应商</w:t>
      </w:r>
      <w:r>
        <w:rPr>
          <w:rFonts w:hint="eastAsia"/>
          <w:color w:val="auto"/>
          <w:highlight w:val="none"/>
        </w:rPr>
        <w:t>名称：</w:t>
      </w:r>
    </w:p>
    <w:p w14:paraId="21AE64C6">
      <w:pPr>
        <w:pStyle w:val="45"/>
        <w:spacing w:before="156"/>
        <w:ind w:firstLine="480"/>
        <w:rPr>
          <w:color w:val="auto"/>
          <w:highlight w:val="none"/>
          <w:u w:val="single"/>
        </w:rPr>
      </w:pPr>
      <w:r>
        <w:rPr>
          <w:rFonts w:hint="eastAsia"/>
          <w:color w:val="auto"/>
          <w:highlight w:val="none"/>
        </w:rPr>
        <w:t>统一社会信用代码：</w:t>
      </w:r>
    </w:p>
    <w:p w14:paraId="0E84C6BE">
      <w:pPr>
        <w:pStyle w:val="45"/>
        <w:spacing w:before="156"/>
        <w:ind w:firstLine="480"/>
        <w:rPr>
          <w:color w:val="auto"/>
          <w:highlight w:val="none"/>
          <w:u w:val="single"/>
        </w:rPr>
      </w:pPr>
      <w:r>
        <w:rPr>
          <w:rFonts w:hint="eastAsia"/>
          <w:color w:val="auto"/>
          <w:highlight w:val="none"/>
        </w:rPr>
        <w:t>注册地址：</w:t>
      </w:r>
    </w:p>
    <w:p w14:paraId="5CDEBC73">
      <w:pPr>
        <w:pStyle w:val="45"/>
        <w:spacing w:before="156"/>
        <w:ind w:firstLine="480"/>
        <w:rPr>
          <w:color w:val="auto"/>
          <w:highlight w:val="none"/>
        </w:rPr>
      </w:pPr>
      <w:r>
        <w:rPr>
          <w:rFonts w:hint="eastAsia"/>
          <w:color w:val="auto"/>
          <w:highlight w:val="none"/>
        </w:rPr>
        <w:t>姓名：性别：年龄</w:t>
      </w:r>
      <w:r>
        <w:rPr>
          <w:rFonts w:hint="eastAsia"/>
          <w:color w:val="auto"/>
          <w:highlight w:val="none"/>
          <w:u w:val="single"/>
        </w:rPr>
        <w:t xml:space="preserve">：         </w:t>
      </w:r>
      <w:r>
        <w:rPr>
          <w:rFonts w:hint="eastAsia"/>
          <w:color w:val="auto"/>
          <w:highlight w:val="none"/>
        </w:rPr>
        <w:t>职务： 系 （</w:t>
      </w:r>
      <w:r>
        <w:rPr>
          <w:rFonts w:hint="eastAsia"/>
          <w:color w:val="auto"/>
          <w:highlight w:val="none"/>
          <w:lang w:eastAsia="zh-CN"/>
        </w:rPr>
        <w:t>供应商</w:t>
      </w:r>
      <w:r>
        <w:rPr>
          <w:rFonts w:hint="eastAsia"/>
          <w:color w:val="auto"/>
          <w:highlight w:val="none"/>
        </w:rPr>
        <w:t>名称）的法定代表人（单位负责人）。</w:t>
      </w:r>
    </w:p>
    <w:p w14:paraId="787680FB">
      <w:pPr>
        <w:pStyle w:val="45"/>
        <w:spacing w:before="156"/>
        <w:ind w:firstLine="480"/>
        <w:rPr>
          <w:color w:val="auto"/>
          <w:highlight w:val="none"/>
        </w:rPr>
      </w:pPr>
      <w:r>
        <w:rPr>
          <w:rFonts w:hint="eastAsia"/>
          <w:color w:val="auto"/>
          <w:highlight w:val="none"/>
        </w:rPr>
        <w:t>特此证明。</w:t>
      </w:r>
    </w:p>
    <w:p w14:paraId="28CAED1E">
      <w:pPr>
        <w:pStyle w:val="45"/>
        <w:spacing w:before="156"/>
        <w:ind w:firstLine="480"/>
        <w:rPr>
          <w:color w:val="auto"/>
          <w:highlight w:val="none"/>
        </w:rPr>
      </w:pPr>
      <w:r>
        <w:rPr>
          <w:rFonts w:hint="eastAsia"/>
          <w:color w:val="auto"/>
          <w:highlight w:val="none"/>
        </w:rPr>
        <w:t>附：法定代表人（单位负责人）身份证复印件。</w:t>
      </w:r>
    </w:p>
    <w:tbl>
      <w:tblPr>
        <w:tblStyle w:val="34"/>
        <w:tblW w:w="9825"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2"/>
        <w:gridCol w:w="4913"/>
      </w:tblGrid>
      <w:tr w14:paraId="483B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3" w:hRule="atLeast"/>
        </w:trPr>
        <w:tc>
          <w:tcPr>
            <w:tcW w:w="4912" w:type="dxa"/>
            <w:tcBorders>
              <w:top w:val="single" w:color="auto" w:sz="4" w:space="0"/>
              <w:left w:val="single" w:color="auto" w:sz="4" w:space="0"/>
              <w:bottom w:val="single" w:color="auto" w:sz="4" w:space="0"/>
              <w:right w:val="single" w:color="auto" w:sz="4" w:space="0"/>
            </w:tcBorders>
            <w:shd w:val="clear" w:color="auto" w:fill="auto"/>
            <w:vAlign w:val="center"/>
          </w:tcPr>
          <w:p w14:paraId="06FFF2F0">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身份证（正面）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c>
          <w:tcPr>
            <w:tcW w:w="4913" w:type="dxa"/>
            <w:tcBorders>
              <w:top w:val="single" w:color="auto" w:sz="4" w:space="0"/>
              <w:left w:val="single" w:color="auto" w:sz="4" w:space="0"/>
              <w:bottom w:val="single" w:color="auto" w:sz="4" w:space="0"/>
              <w:right w:val="single" w:color="auto" w:sz="4" w:space="0"/>
            </w:tcBorders>
            <w:shd w:val="clear" w:color="auto" w:fill="auto"/>
            <w:vAlign w:val="center"/>
          </w:tcPr>
          <w:p w14:paraId="70790D67">
            <w:pPr>
              <w:adjustRightInd w:val="0"/>
              <w:snapToGrid w:val="0"/>
              <w:spacing w:before="156" w:beforeLines="50" w:line="360" w:lineRule="auto"/>
              <w:jc w:val="center"/>
              <w:rPr>
                <w:rFonts w:ascii="宋体" w:cs="Times New Roman"/>
                <w:color w:val="auto"/>
                <w:szCs w:val="21"/>
                <w:highlight w:val="none"/>
              </w:rPr>
            </w:pPr>
            <w:r>
              <w:rPr>
                <w:rFonts w:hint="eastAsia" w:ascii="宋体" w:cs="Times New Roman"/>
                <w:color w:val="auto"/>
                <w:szCs w:val="21"/>
                <w:highlight w:val="none"/>
              </w:rPr>
              <w:t>身份证（反面）</w:t>
            </w:r>
            <w:r>
              <w:rPr>
                <w:rFonts w:hint="eastAsia" w:ascii="宋体" w:cs="微软雅黑"/>
                <w:color w:val="auto"/>
                <w:spacing w:val="-2"/>
                <w:kern w:val="0"/>
                <w:szCs w:val="21"/>
                <w:highlight w:val="none"/>
              </w:rPr>
              <w:t>复</w:t>
            </w:r>
            <w:r>
              <w:rPr>
                <w:rFonts w:hint="eastAsia" w:ascii="宋体" w:cs="微软雅黑"/>
                <w:color w:val="auto"/>
                <w:kern w:val="0"/>
                <w:szCs w:val="21"/>
                <w:highlight w:val="none"/>
              </w:rPr>
              <w:t>印</w:t>
            </w:r>
            <w:r>
              <w:rPr>
                <w:rFonts w:hint="eastAsia" w:ascii="宋体" w:cs="微软雅黑"/>
                <w:color w:val="auto"/>
                <w:spacing w:val="-2"/>
                <w:kern w:val="0"/>
                <w:szCs w:val="21"/>
                <w:highlight w:val="none"/>
              </w:rPr>
              <w:t>件</w:t>
            </w:r>
          </w:p>
        </w:tc>
      </w:tr>
    </w:tbl>
    <w:p w14:paraId="032BDE55">
      <w:pPr>
        <w:adjustRightInd w:val="0"/>
        <w:snapToGrid w:val="0"/>
        <w:spacing w:before="156" w:beforeLines="50" w:line="360" w:lineRule="auto"/>
        <w:rPr>
          <w:rFonts w:ascii="宋体" w:cs="Times New Roman"/>
          <w:color w:val="auto"/>
          <w:szCs w:val="21"/>
          <w:highlight w:val="none"/>
        </w:rPr>
      </w:pPr>
    </w:p>
    <w:p w14:paraId="23CA7B6D">
      <w:pPr>
        <w:adjustRightInd w:val="0"/>
        <w:snapToGrid w:val="0"/>
        <w:spacing w:before="156" w:beforeLines="50" w:line="360" w:lineRule="auto"/>
        <w:rPr>
          <w:rFonts w:ascii="宋体" w:cs="Times New Roman"/>
          <w:color w:val="auto"/>
          <w:szCs w:val="21"/>
          <w:highlight w:val="none"/>
        </w:rPr>
      </w:pPr>
      <w:r>
        <w:rPr>
          <w:rFonts w:hint="eastAsia" w:ascii="宋体" w:cs="Times New Roman"/>
          <w:color w:val="auto"/>
          <w:szCs w:val="21"/>
          <w:highlight w:val="none"/>
        </w:rPr>
        <w:t>注：</w:t>
      </w:r>
      <w:r>
        <w:rPr>
          <w:rFonts w:hint="eastAsia" w:ascii="宋体" w:cs="Times New Roman"/>
          <w:color w:val="auto"/>
          <w:szCs w:val="21"/>
          <w:highlight w:val="none"/>
          <w:lang w:eastAsia="zh-CN"/>
        </w:rPr>
        <w:t>供应商</w:t>
      </w:r>
      <w:r>
        <w:rPr>
          <w:rFonts w:hint="eastAsia" w:ascii="宋体" w:cs="Times New Roman"/>
          <w:color w:val="auto"/>
          <w:szCs w:val="21"/>
          <w:highlight w:val="none"/>
        </w:rPr>
        <w:t>代表为法定代表人（单位负责人）的提供。</w:t>
      </w:r>
      <w:r>
        <w:rPr>
          <w:rFonts w:hint="eastAsia" w:ascii="宋体" w:cs="Times New Roman"/>
          <w:color w:val="auto"/>
          <w:szCs w:val="21"/>
          <w:highlight w:val="none"/>
          <w:lang w:eastAsia="zh-CN"/>
        </w:rPr>
        <w:t>供应商</w:t>
      </w:r>
      <w:r>
        <w:rPr>
          <w:rFonts w:hint="eastAsia" w:ascii="宋体" w:cs="Times New Roman"/>
          <w:color w:val="auto"/>
          <w:szCs w:val="21"/>
          <w:highlight w:val="none"/>
        </w:rPr>
        <w:t>为自然人的无需提供。</w:t>
      </w:r>
    </w:p>
    <w:tbl>
      <w:tblPr>
        <w:tblStyle w:val="35"/>
        <w:tblpPr w:leftFromText="180" w:rightFromText="180" w:vertAnchor="text" w:horzAnchor="page" w:tblpX="1217" w:tblpY="499"/>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441E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45C1145D">
            <w:pPr>
              <w:pStyle w:val="45"/>
              <w:spacing w:before="156" w:line="240" w:lineRule="auto"/>
              <w:ind w:firstLine="0" w:firstLineChars="0"/>
              <w:jc w:val="distribute"/>
              <w:rPr>
                <w:color w:val="auto"/>
                <w:highlight w:val="none"/>
              </w:rPr>
            </w:pPr>
            <w:r>
              <w:rPr>
                <w:rFonts w:hint="eastAsia"/>
                <w:color w:val="auto"/>
                <w:highlight w:val="none"/>
                <w:lang w:eastAsia="zh-CN"/>
              </w:rPr>
              <w:t>供应商</w:t>
            </w:r>
            <w:r>
              <w:rPr>
                <w:rFonts w:hint="eastAsia"/>
                <w:color w:val="auto"/>
                <w:highlight w:val="none"/>
              </w:rPr>
              <w:t>名称（加盖公章）：</w:t>
            </w:r>
          </w:p>
        </w:tc>
        <w:tc>
          <w:tcPr>
            <w:tcW w:w="5826" w:type="dxa"/>
            <w:gridSpan w:val="3"/>
            <w:tcBorders>
              <w:top w:val="nil"/>
              <w:left w:val="nil"/>
              <w:bottom w:val="nil"/>
              <w:right w:val="nil"/>
            </w:tcBorders>
            <w:vAlign w:val="center"/>
          </w:tcPr>
          <w:p w14:paraId="7EE7AAEE">
            <w:pPr>
              <w:pStyle w:val="45"/>
              <w:spacing w:before="156" w:line="540" w:lineRule="exact"/>
              <w:ind w:firstLine="480"/>
              <w:jc w:val="center"/>
              <w:rPr>
                <w:color w:val="auto"/>
                <w:highlight w:val="none"/>
              </w:rPr>
            </w:pPr>
          </w:p>
        </w:tc>
      </w:tr>
      <w:tr w14:paraId="1432B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641C9387">
            <w:pPr>
              <w:pStyle w:val="45"/>
              <w:spacing w:before="156" w:line="540" w:lineRule="exact"/>
              <w:ind w:firstLine="0" w:firstLineChars="0"/>
              <w:rPr>
                <w:color w:val="auto"/>
                <w:highlight w:val="none"/>
              </w:rPr>
            </w:pPr>
          </w:p>
        </w:tc>
        <w:tc>
          <w:tcPr>
            <w:tcW w:w="2039" w:type="dxa"/>
            <w:tcBorders>
              <w:top w:val="nil"/>
              <w:left w:val="nil"/>
              <w:bottom w:val="nil"/>
              <w:right w:val="nil"/>
            </w:tcBorders>
            <w:vAlign w:val="center"/>
          </w:tcPr>
          <w:p w14:paraId="546B8C75">
            <w:pPr>
              <w:pStyle w:val="45"/>
              <w:spacing w:before="156" w:line="540" w:lineRule="exact"/>
              <w:ind w:firstLine="0" w:firstLineChars="0"/>
              <w:jc w:val="center"/>
              <w:rPr>
                <w:color w:val="auto"/>
                <w:highlight w:val="none"/>
              </w:rPr>
            </w:pPr>
          </w:p>
        </w:tc>
        <w:tc>
          <w:tcPr>
            <w:tcW w:w="1185" w:type="dxa"/>
            <w:tcBorders>
              <w:top w:val="nil"/>
              <w:left w:val="nil"/>
              <w:bottom w:val="nil"/>
              <w:right w:val="nil"/>
            </w:tcBorders>
            <w:vAlign w:val="center"/>
          </w:tcPr>
          <w:p w14:paraId="7C8A82AF">
            <w:pPr>
              <w:pStyle w:val="45"/>
              <w:spacing w:before="156" w:line="240" w:lineRule="auto"/>
              <w:ind w:firstLine="0" w:firstLineChars="0"/>
              <w:jc w:val="distribute"/>
              <w:rPr>
                <w:color w:val="auto"/>
                <w:highlight w:val="none"/>
              </w:rPr>
            </w:pPr>
            <w:r>
              <w:rPr>
                <w:rFonts w:hint="eastAsia"/>
                <w:color w:val="auto"/>
                <w:highlight w:val="none"/>
              </w:rPr>
              <w:t>日   期：</w:t>
            </w:r>
          </w:p>
        </w:tc>
        <w:tc>
          <w:tcPr>
            <w:tcW w:w="2602" w:type="dxa"/>
            <w:tcBorders>
              <w:top w:val="nil"/>
              <w:left w:val="nil"/>
              <w:bottom w:val="nil"/>
              <w:right w:val="nil"/>
            </w:tcBorders>
            <w:vAlign w:val="center"/>
          </w:tcPr>
          <w:p w14:paraId="4AFF20C2">
            <w:pPr>
              <w:pStyle w:val="45"/>
              <w:spacing w:before="156" w:line="240" w:lineRule="auto"/>
              <w:ind w:firstLine="0" w:firstLineChars="0"/>
              <w:jc w:val="right"/>
              <w:rPr>
                <w:color w:val="auto"/>
                <w:highlight w:val="none"/>
              </w:rPr>
            </w:pPr>
            <w:r>
              <w:rPr>
                <w:rFonts w:hint="eastAsia"/>
                <w:color w:val="auto"/>
                <w:highlight w:val="none"/>
              </w:rPr>
              <w:t>年   月   日</w:t>
            </w:r>
          </w:p>
        </w:tc>
      </w:tr>
    </w:tbl>
    <w:p w14:paraId="7FB93EE9">
      <w:pPr>
        <w:rPr>
          <w:color w:val="auto"/>
          <w:highlight w:val="none"/>
        </w:rPr>
      </w:pPr>
      <w:r>
        <w:rPr>
          <w:rFonts w:hint="eastAsia"/>
          <w:color w:val="auto"/>
          <w:highlight w:val="none"/>
        </w:rPr>
        <w:br w:type="page"/>
      </w:r>
    </w:p>
    <w:p w14:paraId="4C1D1F14">
      <w:pPr>
        <w:pStyle w:val="4"/>
        <w:numPr>
          <w:ilvl w:val="0"/>
          <w:numId w:val="0"/>
        </w:numPr>
        <w:spacing w:before="156"/>
        <w:ind w:left="0" w:leftChars="0" w:firstLine="420" w:firstLineChars="0"/>
        <w:jc w:val="center"/>
        <w:rPr>
          <w:color w:val="auto"/>
          <w:highlight w:val="none"/>
        </w:rPr>
      </w:pPr>
      <w:bookmarkStart w:id="87" w:name="_Toc5852"/>
      <w:bookmarkStart w:id="88" w:name="_Toc15164"/>
      <w:bookmarkStart w:id="89" w:name="_Toc22863"/>
      <w:bookmarkStart w:id="90" w:name="_Toc30932"/>
      <w:bookmarkStart w:id="91" w:name="_Toc7744"/>
      <w:r>
        <w:rPr>
          <w:rFonts w:hint="eastAsia" w:ascii="Arial" w:hAnsi="Arial" w:eastAsia="黑体" w:cs="Times New Roman"/>
          <w:color w:val="auto"/>
          <w:kern w:val="2"/>
          <w:sz w:val="30"/>
          <w:szCs w:val="24"/>
          <w:highlight w:val="none"/>
          <w:lang w:val="en-US" w:eastAsia="zh-CN" w:bidi="ar-SA"/>
        </w:rPr>
        <w:t>三、</w:t>
      </w:r>
      <w:r>
        <w:rPr>
          <w:rFonts w:hint="eastAsia"/>
          <w:color w:val="auto"/>
          <w:highlight w:val="none"/>
          <w:lang w:eastAsia="zh-CN"/>
        </w:rPr>
        <w:t>供应商</w:t>
      </w:r>
      <w:r>
        <w:rPr>
          <w:rFonts w:hint="eastAsia"/>
          <w:color w:val="auto"/>
          <w:highlight w:val="none"/>
        </w:rPr>
        <w:t>的资格证明资料</w:t>
      </w:r>
      <w:bookmarkEnd w:id="87"/>
      <w:bookmarkEnd w:id="88"/>
      <w:bookmarkEnd w:id="89"/>
      <w:bookmarkEnd w:id="90"/>
      <w:bookmarkEnd w:id="91"/>
    </w:p>
    <w:p w14:paraId="5D4193FE">
      <w:pPr>
        <w:pStyle w:val="7"/>
        <w:numPr>
          <w:ilvl w:val="4"/>
          <w:numId w:val="0"/>
        </w:numPr>
        <w:outlineLvl w:val="2"/>
        <w:rPr>
          <w:color w:val="auto"/>
          <w:highlight w:val="none"/>
        </w:rPr>
      </w:pPr>
      <w:r>
        <w:rPr>
          <w:rFonts w:hint="eastAsia"/>
          <w:color w:val="auto"/>
          <w:highlight w:val="none"/>
        </w:rPr>
        <w:t>附件3-1</w:t>
      </w:r>
      <w:r>
        <w:rPr>
          <w:rFonts w:hint="eastAsia"/>
          <w:color w:val="auto"/>
          <w:highlight w:val="none"/>
          <w:lang w:eastAsia="zh-CN"/>
        </w:rPr>
        <w:t>供应商</w:t>
      </w:r>
      <w:r>
        <w:rPr>
          <w:rFonts w:hint="eastAsia"/>
          <w:color w:val="auto"/>
          <w:highlight w:val="none"/>
        </w:rPr>
        <w:t>基本情况表</w:t>
      </w:r>
    </w:p>
    <w:p w14:paraId="1AA1F68D">
      <w:pPr>
        <w:pStyle w:val="45"/>
        <w:spacing w:before="156"/>
        <w:ind w:firstLine="0" w:firstLineChars="0"/>
        <w:jc w:val="center"/>
        <w:rPr>
          <w:rFonts w:ascii="方正小标宋_GBK" w:eastAsia="方正小标宋_GBK" w:cs="方正小标宋_GBK"/>
          <w:color w:val="auto"/>
          <w:sz w:val="32"/>
          <w:szCs w:val="28"/>
          <w:highlight w:val="none"/>
        </w:rPr>
      </w:pPr>
      <w:r>
        <w:rPr>
          <w:rFonts w:hint="eastAsia" w:ascii="方正小标宋_GBK" w:eastAsia="方正小标宋_GBK" w:cs="方正小标宋_GBK"/>
          <w:color w:val="auto"/>
          <w:sz w:val="32"/>
          <w:szCs w:val="28"/>
          <w:highlight w:val="none"/>
          <w:lang w:eastAsia="zh-CN"/>
        </w:rPr>
        <w:t>供应商</w:t>
      </w:r>
      <w:r>
        <w:rPr>
          <w:rFonts w:hint="eastAsia" w:ascii="方正小标宋_GBK" w:eastAsia="方正小标宋_GBK" w:cs="方正小标宋_GBK"/>
          <w:color w:val="auto"/>
          <w:sz w:val="32"/>
          <w:szCs w:val="28"/>
          <w:highlight w:val="none"/>
        </w:rPr>
        <w:t>基本情况表</w:t>
      </w:r>
    </w:p>
    <w:p w14:paraId="16EBEF81">
      <w:pPr>
        <w:adjustRightInd w:val="0"/>
        <w:snapToGrid w:val="0"/>
        <w:rPr>
          <w:rFonts w:ascii="宋体" w:cs="Times New Roman"/>
          <w:color w:val="auto"/>
          <w:highlight w:val="none"/>
        </w:rPr>
      </w:pPr>
      <w:r>
        <w:rPr>
          <w:rFonts w:hint="eastAsia" w:ascii="宋体" w:cs="Times New Roman"/>
          <w:color w:val="auto"/>
          <w:highlight w:val="none"/>
        </w:rPr>
        <w:t>盖</w:t>
      </w:r>
      <w:r>
        <w:rPr>
          <w:rFonts w:hint="eastAsia" w:ascii="宋体" w:cs="Times New Roman"/>
          <w:color w:val="auto"/>
          <w:highlight w:val="none"/>
          <w:lang w:eastAsia="zh-CN"/>
        </w:rPr>
        <w:t>供应商</w:t>
      </w:r>
      <w:r>
        <w:rPr>
          <w:rFonts w:hint="eastAsia" w:ascii="宋体" w:cs="Times New Roman"/>
          <w:color w:val="auto"/>
          <w:highlight w:val="none"/>
        </w:rPr>
        <w:t>单位章</w:t>
      </w:r>
    </w:p>
    <w:tbl>
      <w:tblPr>
        <w:tblStyle w:val="34"/>
        <w:tblW w:w="10328"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20"/>
        <w:gridCol w:w="292"/>
        <w:gridCol w:w="1673"/>
        <w:gridCol w:w="1313"/>
        <w:gridCol w:w="894"/>
        <w:gridCol w:w="38"/>
        <w:gridCol w:w="886"/>
        <w:gridCol w:w="413"/>
        <w:gridCol w:w="113"/>
        <w:gridCol w:w="3486"/>
      </w:tblGrid>
      <w:tr w14:paraId="251FA4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1512" w:type="dxa"/>
            <w:gridSpan w:val="2"/>
            <w:tcBorders>
              <w:top w:val="double" w:color="auto" w:sz="4" w:space="0"/>
              <w:left w:val="double" w:color="auto" w:sz="4" w:space="0"/>
              <w:bottom w:val="single" w:color="auto" w:sz="6" w:space="0"/>
              <w:right w:val="single" w:color="auto" w:sz="6" w:space="0"/>
            </w:tcBorders>
            <w:vAlign w:val="center"/>
          </w:tcPr>
          <w:p w14:paraId="7B710EAC">
            <w:pPr>
              <w:topLinePunct/>
              <w:jc w:val="center"/>
              <w:rPr>
                <w:rFonts w:ascii="宋体" w:cs="Times New Roman"/>
                <w:color w:val="auto"/>
                <w:highlight w:val="none"/>
              </w:rPr>
            </w:pPr>
            <w:r>
              <w:rPr>
                <w:rFonts w:hint="eastAsia" w:ascii="宋体" w:cs="Times New Roman"/>
                <w:color w:val="auto"/>
                <w:highlight w:val="none"/>
                <w:lang w:eastAsia="zh-CN"/>
              </w:rPr>
              <w:t>供应商</w:t>
            </w:r>
            <w:r>
              <w:rPr>
                <w:rFonts w:ascii="宋体" w:cs="Times New Roman"/>
                <w:color w:val="auto"/>
                <w:highlight w:val="none"/>
              </w:rPr>
              <w:t>名称</w:t>
            </w:r>
          </w:p>
        </w:tc>
        <w:tc>
          <w:tcPr>
            <w:tcW w:w="3918" w:type="dxa"/>
            <w:gridSpan w:val="4"/>
            <w:tcBorders>
              <w:top w:val="double" w:color="auto" w:sz="4" w:space="0"/>
              <w:left w:val="single" w:color="auto" w:sz="6" w:space="0"/>
              <w:bottom w:val="single" w:color="auto" w:sz="6" w:space="0"/>
              <w:right w:val="single" w:color="auto" w:sz="6" w:space="0"/>
            </w:tcBorders>
            <w:vAlign w:val="center"/>
          </w:tcPr>
          <w:p w14:paraId="41377189">
            <w:pPr>
              <w:topLinePunct/>
              <w:jc w:val="center"/>
              <w:rPr>
                <w:rFonts w:ascii="宋体" w:cs="Times New Roman"/>
                <w:color w:val="auto"/>
                <w:highlight w:val="none"/>
              </w:rPr>
            </w:pPr>
          </w:p>
        </w:tc>
        <w:tc>
          <w:tcPr>
            <w:tcW w:w="1299" w:type="dxa"/>
            <w:gridSpan w:val="2"/>
            <w:tcBorders>
              <w:top w:val="double" w:color="auto" w:sz="4" w:space="0"/>
              <w:left w:val="single" w:color="auto" w:sz="6" w:space="0"/>
              <w:bottom w:val="single" w:color="auto" w:sz="6" w:space="0"/>
              <w:right w:val="single" w:color="auto" w:sz="6" w:space="0"/>
            </w:tcBorders>
            <w:vAlign w:val="center"/>
          </w:tcPr>
          <w:p w14:paraId="6AA81998">
            <w:pPr>
              <w:topLinePunct/>
              <w:jc w:val="center"/>
              <w:rPr>
                <w:rFonts w:ascii="宋体" w:cs="Times New Roman"/>
                <w:color w:val="auto"/>
                <w:highlight w:val="none"/>
              </w:rPr>
            </w:pPr>
            <w:r>
              <w:rPr>
                <w:rFonts w:ascii="宋体" w:cs="Times New Roman"/>
                <w:color w:val="auto"/>
                <w:highlight w:val="none"/>
              </w:rPr>
              <w:t>邮政编码</w:t>
            </w:r>
          </w:p>
        </w:tc>
        <w:tc>
          <w:tcPr>
            <w:tcW w:w="3599" w:type="dxa"/>
            <w:gridSpan w:val="2"/>
            <w:tcBorders>
              <w:top w:val="double" w:color="auto" w:sz="4" w:space="0"/>
              <w:left w:val="single" w:color="auto" w:sz="6" w:space="0"/>
              <w:bottom w:val="single" w:color="auto" w:sz="6" w:space="0"/>
              <w:right w:val="double" w:color="auto" w:sz="4" w:space="0"/>
            </w:tcBorders>
            <w:vAlign w:val="center"/>
          </w:tcPr>
          <w:p w14:paraId="74B01F7E">
            <w:pPr>
              <w:topLinePunct/>
              <w:jc w:val="center"/>
              <w:rPr>
                <w:rFonts w:ascii="宋体" w:cs="Times New Roman"/>
                <w:color w:val="auto"/>
                <w:highlight w:val="none"/>
              </w:rPr>
            </w:pPr>
          </w:p>
        </w:tc>
      </w:tr>
      <w:tr w14:paraId="65EF97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28F0DE75">
            <w:pPr>
              <w:topLinePunct/>
              <w:jc w:val="center"/>
              <w:rPr>
                <w:rFonts w:ascii="宋体" w:cs="Times New Roman"/>
                <w:color w:val="auto"/>
                <w:highlight w:val="none"/>
              </w:rPr>
            </w:pPr>
            <w:r>
              <w:rPr>
                <w:rFonts w:hint="eastAsia" w:ascii="宋体" w:cs="Times New Roman"/>
                <w:color w:val="auto"/>
                <w:highlight w:val="none"/>
              </w:rPr>
              <w:t>联系方式</w:t>
            </w:r>
          </w:p>
        </w:tc>
        <w:tc>
          <w:tcPr>
            <w:tcW w:w="1673" w:type="dxa"/>
            <w:tcBorders>
              <w:top w:val="single" w:color="auto" w:sz="6" w:space="0"/>
              <w:left w:val="single" w:color="auto" w:sz="6" w:space="0"/>
              <w:bottom w:val="single" w:color="auto" w:sz="6" w:space="0"/>
              <w:right w:val="single" w:color="auto" w:sz="6" w:space="0"/>
            </w:tcBorders>
            <w:vAlign w:val="center"/>
          </w:tcPr>
          <w:p w14:paraId="14F9D7B3">
            <w:pPr>
              <w:topLinePunct/>
              <w:jc w:val="center"/>
              <w:rPr>
                <w:rFonts w:ascii="宋体" w:cs="Times New Roman"/>
                <w:color w:val="auto"/>
                <w:highlight w:val="none"/>
              </w:rPr>
            </w:pPr>
            <w:r>
              <w:rPr>
                <w:rFonts w:hint="eastAsia" w:ascii="宋体" w:cs="Times New Roman"/>
                <w:color w:val="auto"/>
                <w:highlight w:val="none"/>
              </w:rPr>
              <w:t>联系人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52EBAB47">
            <w:pPr>
              <w:topLinePunct/>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7B681E9">
            <w:pPr>
              <w:topLinePunct/>
              <w:jc w:val="center"/>
              <w:rPr>
                <w:rFonts w:ascii="宋体" w:cs="Times New Roman"/>
                <w:color w:val="auto"/>
                <w:highlight w:val="none"/>
              </w:rPr>
            </w:pPr>
            <w:r>
              <w:rPr>
                <w:rFonts w:hint="eastAsia" w:ascii="宋体" w:cs="Times New Roman"/>
                <w:color w:val="auto"/>
                <w:highlight w:val="none"/>
              </w:rPr>
              <w:t>电    话</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38264A15">
            <w:pPr>
              <w:topLinePunct/>
              <w:jc w:val="center"/>
              <w:rPr>
                <w:rFonts w:ascii="宋体" w:cs="Times New Roman"/>
                <w:color w:val="auto"/>
                <w:highlight w:val="none"/>
              </w:rPr>
            </w:pPr>
          </w:p>
        </w:tc>
      </w:tr>
      <w:tr w14:paraId="23D39F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7F86FAA">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7D989A2D">
            <w:pPr>
              <w:topLinePunct/>
              <w:jc w:val="center"/>
              <w:rPr>
                <w:rFonts w:ascii="宋体" w:cs="Times New Roman"/>
                <w:color w:val="auto"/>
                <w:highlight w:val="none"/>
              </w:rPr>
            </w:pPr>
            <w:r>
              <w:rPr>
                <w:rFonts w:hint="eastAsia" w:ascii="宋体" w:cs="Times New Roman"/>
                <w:color w:val="auto"/>
                <w:highlight w:val="none"/>
              </w:rPr>
              <w:t>传  真</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25BADAC4">
            <w:pPr>
              <w:topLinePunct/>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1AFDDC64">
            <w:pPr>
              <w:topLinePunct/>
              <w:jc w:val="center"/>
              <w:rPr>
                <w:rFonts w:ascii="宋体" w:cs="Times New Roman"/>
                <w:color w:val="auto"/>
                <w:highlight w:val="none"/>
              </w:rPr>
            </w:pPr>
            <w:r>
              <w:rPr>
                <w:rFonts w:hint="eastAsia" w:ascii="宋体" w:cs="Times New Roman"/>
                <w:color w:val="auto"/>
                <w:highlight w:val="none"/>
              </w:rPr>
              <w:t>电子邮箱</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6D4129C3">
            <w:pPr>
              <w:topLinePunct/>
              <w:jc w:val="center"/>
              <w:rPr>
                <w:rFonts w:ascii="宋体" w:cs="Times New Roman"/>
                <w:color w:val="auto"/>
                <w:highlight w:val="none"/>
              </w:rPr>
            </w:pPr>
          </w:p>
        </w:tc>
      </w:tr>
      <w:tr w14:paraId="4BD0E4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restart"/>
            <w:tcBorders>
              <w:top w:val="single" w:color="auto" w:sz="6" w:space="0"/>
              <w:left w:val="double" w:color="auto" w:sz="4" w:space="0"/>
              <w:bottom w:val="single" w:color="auto" w:sz="6" w:space="0"/>
              <w:right w:val="single" w:color="auto" w:sz="6" w:space="0"/>
            </w:tcBorders>
            <w:vAlign w:val="center"/>
          </w:tcPr>
          <w:p w14:paraId="3F095362">
            <w:pPr>
              <w:topLinePunct/>
              <w:jc w:val="center"/>
              <w:rPr>
                <w:rFonts w:ascii="宋体" w:cs="Times New Roman"/>
                <w:color w:val="auto"/>
                <w:highlight w:val="none"/>
              </w:rPr>
            </w:pPr>
            <w:r>
              <w:rPr>
                <w:rFonts w:hint="eastAsia" w:ascii="宋体" w:cs="Times New Roman"/>
                <w:color w:val="auto"/>
                <w:highlight w:val="none"/>
              </w:rPr>
              <w:t>营业执照</w:t>
            </w:r>
          </w:p>
        </w:tc>
        <w:tc>
          <w:tcPr>
            <w:tcW w:w="3918" w:type="dxa"/>
            <w:gridSpan w:val="4"/>
            <w:tcBorders>
              <w:top w:val="single" w:color="auto" w:sz="6" w:space="0"/>
              <w:left w:val="single" w:color="auto" w:sz="6" w:space="0"/>
              <w:bottom w:val="single" w:color="auto" w:sz="6" w:space="0"/>
              <w:right w:val="single" w:color="auto" w:sz="6" w:space="0"/>
            </w:tcBorders>
            <w:vAlign w:val="center"/>
          </w:tcPr>
          <w:p w14:paraId="70A830D6">
            <w:pPr>
              <w:topLinePunct/>
              <w:ind w:firstLine="120" w:firstLineChars="50"/>
              <w:jc w:val="center"/>
              <w:rPr>
                <w:rFonts w:ascii="宋体" w:cs="Times New Roman"/>
                <w:color w:val="auto"/>
                <w:highlight w:val="none"/>
              </w:rPr>
            </w:pPr>
            <w:r>
              <w:rPr>
                <w:rFonts w:hint="eastAsia" w:ascii="宋体" w:cs="Times New Roman"/>
                <w:color w:val="auto"/>
                <w:highlight w:val="none"/>
              </w:rPr>
              <w:t>统一社会信用代码或注册号</w:t>
            </w:r>
          </w:p>
        </w:tc>
        <w:tc>
          <w:tcPr>
            <w:tcW w:w="4898" w:type="dxa"/>
            <w:gridSpan w:val="4"/>
            <w:tcBorders>
              <w:top w:val="single" w:color="auto" w:sz="6" w:space="0"/>
              <w:left w:val="single" w:color="auto" w:sz="6" w:space="0"/>
              <w:bottom w:val="single" w:color="auto" w:sz="6" w:space="0"/>
              <w:right w:val="double" w:color="auto" w:sz="4" w:space="0"/>
            </w:tcBorders>
            <w:vAlign w:val="center"/>
          </w:tcPr>
          <w:p w14:paraId="1864D321">
            <w:pPr>
              <w:topLinePunct/>
              <w:ind w:firstLine="120" w:firstLineChars="50"/>
              <w:jc w:val="center"/>
              <w:rPr>
                <w:rFonts w:ascii="宋体" w:cs="Times New Roman"/>
                <w:color w:val="auto"/>
                <w:highlight w:val="none"/>
              </w:rPr>
            </w:pPr>
          </w:p>
        </w:tc>
      </w:tr>
      <w:tr w14:paraId="34F528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08823AB2">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6CEFA296">
            <w:pPr>
              <w:topLinePunct/>
              <w:jc w:val="center"/>
              <w:rPr>
                <w:rFonts w:ascii="宋体" w:cs="Times New Roman"/>
                <w:color w:val="auto"/>
                <w:highlight w:val="none"/>
              </w:rPr>
            </w:pPr>
            <w:r>
              <w:rPr>
                <w:rFonts w:hint="eastAsia" w:ascii="宋体" w:cs="Times New Roman"/>
                <w:color w:val="auto"/>
                <w:highlight w:val="none"/>
              </w:rPr>
              <w:t>住所</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4A449E90">
            <w:pPr>
              <w:topLinePunct/>
              <w:ind w:firstLine="120" w:firstLineChars="50"/>
              <w:jc w:val="center"/>
              <w:rPr>
                <w:rFonts w:ascii="宋体" w:cs="Times New Roman"/>
                <w:color w:val="auto"/>
                <w:highlight w:val="none"/>
              </w:rPr>
            </w:pPr>
          </w:p>
        </w:tc>
      </w:tr>
      <w:tr w14:paraId="704FF1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0BD9B4A9">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3CCE8224">
            <w:pPr>
              <w:topLinePunct/>
              <w:jc w:val="center"/>
              <w:rPr>
                <w:rFonts w:ascii="宋体" w:cs="Times New Roman"/>
                <w:color w:val="auto"/>
                <w:highlight w:val="none"/>
              </w:rPr>
            </w:pPr>
            <w:r>
              <w:rPr>
                <w:rFonts w:ascii="宋体" w:cs="Times New Roman"/>
                <w:color w:val="auto"/>
                <w:highlight w:val="none"/>
              </w:rPr>
              <w:t>法定代表人</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1899E456">
            <w:pPr>
              <w:topLinePunct/>
              <w:ind w:firstLine="120" w:firstLineChars="50"/>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7EBBB5ED">
            <w:pPr>
              <w:topLinePunct/>
              <w:ind w:firstLine="120" w:firstLineChars="50"/>
              <w:jc w:val="center"/>
              <w:rPr>
                <w:rFonts w:ascii="宋体" w:cs="Times New Roman"/>
                <w:color w:val="auto"/>
                <w:highlight w:val="none"/>
              </w:rPr>
            </w:pPr>
            <w:r>
              <w:rPr>
                <w:rFonts w:hint="eastAsia" w:ascii="宋体" w:cs="Times New Roman"/>
                <w:color w:val="auto"/>
                <w:highlight w:val="none"/>
              </w:rPr>
              <w:t>注册资本</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48E6FADB">
            <w:pPr>
              <w:topLinePunct/>
              <w:ind w:firstLine="120" w:firstLineChars="50"/>
              <w:jc w:val="center"/>
              <w:rPr>
                <w:rFonts w:ascii="宋体" w:cs="Times New Roman"/>
                <w:color w:val="auto"/>
                <w:highlight w:val="none"/>
              </w:rPr>
            </w:pPr>
          </w:p>
        </w:tc>
      </w:tr>
      <w:tr w14:paraId="17AEEF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44079540">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05697765">
            <w:pPr>
              <w:topLinePunct/>
              <w:jc w:val="center"/>
              <w:rPr>
                <w:rFonts w:ascii="宋体" w:cs="Times New Roman"/>
                <w:color w:val="auto"/>
                <w:highlight w:val="none"/>
              </w:rPr>
            </w:pPr>
            <w:r>
              <w:rPr>
                <w:rFonts w:hint="eastAsia" w:ascii="宋体" w:cs="Times New Roman"/>
                <w:color w:val="auto"/>
                <w:highlight w:val="none"/>
              </w:rPr>
              <w:t>发证机关</w:t>
            </w:r>
          </w:p>
        </w:tc>
        <w:tc>
          <w:tcPr>
            <w:tcW w:w="2245" w:type="dxa"/>
            <w:gridSpan w:val="3"/>
            <w:tcBorders>
              <w:top w:val="single" w:color="auto" w:sz="6" w:space="0"/>
              <w:left w:val="single" w:color="auto" w:sz="6" w:space="0"/>
              <w:bottom w:val="single" w:color="auto" w:sz="6" w:space="0"/>
              <w:right w:val="single" w:color="auto" w:sz="6" w:space="0"/>
            </w:tcBorders>
            <w:vAlign w:val="center"/>
          </w:tcPr>
          <w:p w14:paraId="0D29E957">
            <w:pPr>
              <w:topLinePunct/>
              <w:ind w:firstLine="120" w:firstLineChars="50"/>
              <w:jc w:val="center"/>
              <w:rPr>
                <w:rFonts w:ascii="宋体" w:cs="Times New Roman"/>
                <w:color w:val="auto"/>
                <w:highlight w:val="none"/>
              </w:rPr>
            </w:pPr>
          </w:p>
        </w:tc>
        <w:tc>
          <w:tcPr>
            <w:tcW w:w="1299" w:type="dxa"/>
            <w:gridSpan w:val="2"/>
            <w:tcBorders>
              <w:top w:val="single" w:color="auto" w:sz="6" w:space="0"/>
              <w:left w:val="single" w:color="auto" w:sz="6" w:space="0"/>
              <w:bottom w:val="single" w:color="auto" w:sz="6" w:space="0"/>
              <w:right w:val="single" w:color="auto" w:sz="6" w:space="0"/>
            </w:tcBorders>
            <w:vAlign w:val="center"/>
          </w:tcPr>
          <w:p w14:paraId="451976CD">
            <w:pPr>
              <w:topLinePunct/>
              <w:ind w:firstLine="120" w:firstLineChars="50"/>
              <w:jc w:val="center"/>
              <w:rPr>
                <w:rFonts w:ascii="宋体" w:cs="Times New Roman"/>
                <w:color w:val="auto"/>
                <w:highlight w:val="none"/>
              </w:rPr>
            </w:pPr>
            <w:r>
              <w:rPr>
                <w:rFonts w:hint="eastAsia" w:ascii="宋体" w:cs="Times New Roman"/>
                <w:color w:val="auto"/>
                <w:highlight w:val="none"/>
              </w:rPr>
              <w:t>成立时间</w:t>
            </w:r>
          </w:p>
        </w:tc>
        <w:tc>
          <w:tcPr>
            <w:tcW w:w="3599" w:type="dxa"/>
            <w:gridSpan w:val="2"/>
            <w:tcBorders>
              <w:top w:val="single" w:color="auto" w:sz="6" w:space="0"/>
              <w:left w:val="single" w:color="auto" w:sz="6" w:space="0"/>
              <w:bottom w:val="single" w:color="auto" w:sz="6" w:space="0"/>
              <w:right w:val="double" w:color="auto" w:sz="4" w:space="0"/>
            </w:tcBorders>
            <w:vAlign w:val="center"/>
          </w:tcPr>
          <w:p w14:paraId="50DE6D20">
            <w:pPr>
              <w:topLinePunct/>
              <w:ind w:firstLine="120" w:firstLineChars="50"/>
              <w:jc w:val="center"/>
              <w:rPr>
                <w:rFonts w:ascii="宋体" w:cs="Times New Roman"/>
                <w:color w:val="auto"/>
                <w:highlight w:val="none"/>
              </w:rPr>
            </w:pPr>
          </w:p>
        </w:tc>
      </w:tr>
      <w:tr w14:paraId="32320D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1512" w:type="dxa"/>
            <w:gridSpan w:val="2"/>
            <w:vMerge w:val="continue"/>
            <w:tcBorders>
              <w:top w:val="single" w:color="auto" w:sz="6" w:space="0"/>
              <w:left w:val="double" w:color="auto" w:sz="4" w:space="0"/>
              <w:bottom w:val="single" w:color="auto" w:sz="6" w:space="0"/>
              <w:right w:val="single" w:color="auto" w:sz="6" w:space="0"/>
            </w:tcBorders>
            <w:vAlign w:val="center"/>
          </w:tcPr>
          <w:p w14:paraId="592EB49A">
            <w:pPr>
              <w:rPr>
                <w:color w:val="auto"/>
                <w:highlight w:val="none"/>
              </w:rPr>
            </w:pPr>
          </w:p>
        </w:tc>
        <w:tc>
          <w:tcPr>
            <w:tcW w:w="1673" w:type="dxa"/>
            <w:tcBorders>
              <w:top w:val="single" w:color="auto" w:sz="6" w:space="0"/>
              <w:left w:val="single" w:color="auto" w:sz="6" w:space="0"/>
              <w:bottom w:val="single" w:color="auto" w:sz="6" w:space="0"/>
              <w:right w:val="single" w:color="auto" w:sz="6" w:space="0"/>
            </w:tcBorders>
            <w:vAlign w:val="center"/>
          </w:tcPr>
          <w:p w14:paraId="62BAEE7A">
            <w:pPr>
              <w:topLinePunct/>
              <w:jc w:val="center"/>
              <w:rPr>
                <w:rFonts w:ascii="宋体" w:cs="Times New Roman"/>
                <w:color w:val="auto"/>
                <w:highlight w:val="none"/>
              </w:rPr>
            </w:pPr>
            <w:r>
              <w:rPr>
                <w:rFonts w:hint="eastAsia" w:ascii="宋体" w:cs="Times New Roman"/>
                <w:color w:val="auto"/>
                <w:highlight w:val="none"/>
              </w:rPr>
              <w:t>营业范围</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66A1766E">
            <w:pPr>
              <w:topLinePunct/>
              <w:ind w:firstLine="120" w:firstLineChars="50"/>
              <w:jc w:val="center"/>
              <w:rPr>
                <w:rFonts w:ascii="宋体" w:cs="Times New Roman"/>
                <w:color w:val="auto"/>
                <w:highlight w:val="none"/>
              </w:rPr>
            </w:pPr>
          </w:p>
        </w:tc>
      </w:tr>
      <w:tr w14:paraId="629EE2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4056B3CD">
            <w:pPr>
              <w:topLinePunct/>
              <w:jc w:val="center"/>
              <w:rPr>
                <w:rFonts w:ascii="宋体" w:cs="Times New Roman"/>
                <w:color w:val="auto"/>
                <w:highlight w:val="none"/>
              </w:rPr>
            </w:pPr>
            <w:r>
              <w:rPr>
                <w:rFonts w:hint="eastAsia" w:ascii="宋体" w:cs="Times New Roman"/>
                <w:color w:val="auto"/>
                <w:highlight w:val="none"/>
              </w:rPr>
              <w:t>基本账户开户行</w:t>
            </w:r>
          </w:p>
        </w:tc>
        <w:tc>
          <w:tcPr>
            <w:tcW w:w="2207" w:type="dxa"/>
            <w:gridSpan w:val="2"/>
            <w:tcBorders>
              <w:top w:val="single" w:color="auto" w:sz="6" w:space="0"/>
              <w:left w:val="single" w:color="auto" w:sz="6" w:space="0"/>
              <w:bottom w:val="single" w:color="auto" w:sz="6" w:space="0"/>
              <w:right w:val="single" w:color="auto" w:sz="6" w:space="0"/>
            </w:tcBorders>
            <w:vAlign w:val="center"/>
          </w:tcPr>
          <w:p w14:paraId="41E2440A">
            <w:pPr>
              <w:topLinePunct/>
              <w:jc w:val="center"/>
              <w:rPr>
                <w:rFonts w:ascii="宋体" w:cs="Times New Roman"/>
                <w:color w:val="auto"/>
                <w:highlight w:val="none"/>
              </w:rPr>
            </w:pPr>
          </w:p>
        </w:tc>
        <w:tc>
          <w:tcPr>
            <w:tcW w:w="1450" w:type="dxa"/>
            <w:gridSpan w:val="4"/>
            <w:tcBorders>
              <w:top w:val="single" w:color="auto" w:sz="6" w:space="0"/>
              <w:left w:val="single" w:color="auto" w:sz="6" w:space="0"/>
              <w:bottom w:val="single" w:color="auto" w:sz="6" w:space="0"/>
              <w:right w:val="single" w:color="auto" w:sz="6" w:space="0"/>
            </w:tcBorders>
            <w:vAlign w:val="center"/>
          </w:tcPr>
          <w:p w14:paraId="0E149156">
            <w:pPr>
              <w:topLinePunct/>
              <w:jc w:val="center"/>
              <w:rPr>
                <w:rFonts w:ascii="宋体" w:cs="Times New Roman"/>
                <w:color w:val="auto"/>
                <w:highlight w:val="none"/>
              </w:rPr>
            </w:pPr>
            <w:r>
              <w:rPr>
                <w:rFonts w:hint="eastAsia" w:ascii="宋体" w:cs="Times New Roman"/>
                <w:color w:val="auto"/>
                <w:highlight w:val="none"/>
              </w:rPr>
              <w:t>账号</w:t>
            </w:r>
          </w:p>
        </w:tc>
        <w:tc>
          <w:tcPr>
            <w:tcW w:w="3486" w:type="dxa"/>
            <w:tcBorders>
              <w:top w:val="single" w:color="auto" w:sz="6" w:space="0"/>
              <w:left w:val="single" w:color="auto" w:sz="6" w:space="0"/>
              <w:bottom w:val="single" w:color="auto" w:sz="6" w:space="0"/>
              <w:right w:val="double" w:color="auto" w:sz="4" w:space="0"/>
            </w:tcBorders>
            <w:vAlign w:val="center"/>
          </w:tcPr>
          <w:p w14:paraId="74D84E42">
            <w:pPr>
              <w:topLinePunct/>
              <w:jc w:val="center"/>
              <w:rPr>
                <w:rFonts w:ascii="宋体" w:cs="Times New Roman"/>
                <w:color w:val="auto"/>
                <w:highlight w:val="none"/>
              </w:rPr>
            </w:pPr>
          </w:p>
        </w:tc>
      </w:tr>
      <w:tr w14:paraId="788D3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2ACDADDD">
            <w:pPr>
              <w:topLinePunct/>
              <w:jc w:val="center"/>
              <w:rPr>
                <w:rFonts w:ascii="宋体" w:cs="Times New Roman"/>
                <w:color w:val="auto"/>
                <w:highlight w:val="none"/>
              </w:rPr>
            </w:pPr>
            <w:r>
              <w:rPr>
                <w:rFonts w:hint="eastAsia" w:ascii="宋体" w:cs="Times New Roman"/>
                <w:color w:val="auto"/>
                <w:highlight w:val="none"/>
              </w:rPr>
              <w:t>税务登记机关</w:t>
            </w:r>
          </w:p>
        </w:tc>
        <w:tc>
          <w:tcPr>
            <w:tcW w:w="7143" w:type="dxa"/>
            <w:gridSpan w:val="7"/>
            <w:tcBorders>
              <w:top w:val="single" w:color="auto" w:sz="6" w:space="0"/>
              <w:left w:val="single" w:color="auto" w:sz="6" w:space="0"/>
              <w:bottom w:val="single" w:color="auto" w:sz="6" w:space="0"/>
              <w:right w:val="double" w:color="auto" w:sz="4" w:space="0"/>
            </w:tcBorders>
            <w:vAlign w:val="center"/>
          </w:tcPr>
          <w:p w14:paraId="78790485">
            <w:pPr>
              <w:topLinePunct/>
              <w:jc w:val="center"/>
              <w:rPr>
                <w:rFonts w:ascii="宋体" w:cs="Times New Roman"/>
                <w:color w:val="auto"/>
                <w:highlight w:val="none"/>
              </w:rPr>
            </w:pPr>
          </w:p>
        </w:tc>
      </w:tr>
      <w:tr w14:paraId="0C1B19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4" w:space="0"/>
              <w:right w:val="single" w:color="auto" w:sz="6" w:space="0"/>
            </w:tcBorders>
            <w:vAlign w:val="center"/>
          </w:tcPr>
          <w:p w14:paraId="62B40FD5">
            <w:pPr>
              <w:topLinePunct/>
              <w:jc w:val="center"/>
              <w:rPr>
                <w:rFonts w:ascii="宋体" w:cs="Times New Roman"/>
                <w:color w:val="auto"/>
                <w:highlight w:val="none"/>
              </w:rPr>
            </w:pPr>
            <w:r>
              <w:rPr>
                <w:rFonts w:ascii="宋体" w:cs="Times New Roman"/>
                <w:color w:val="auto"/>
                <w:highlight w:val="none"/>
              </w:rPr>
              <w:t>资质</w:t>
            </w:r>
            <w:r>
              <w:rPr>
                <w:rFonts w:hint="eastAsia" w:ascii="宋体" w:cs="Times New Roman"/>
                <w:color w:val="auto"/>
                <w:highlight w:val="none"/>
              </w:rPr>
              <w:t>名称</w:t>
            </w:r>
          </w:p>
        </w:tc>
        <w:tc>
          <w:tcPr>
            <w:tcW w:w="1313" w:type="dxa"/>
            <w:tcBorders>
              <w:top w:val="single" w:color="auto" w:sz="6" w:space="0"/>
              <w:left w:val="single" w:color="auto" w:sz="6" w:space="0"/>
              <w:bottom w:val="single" w:color="auto" w:sz="4" w:space="0"/>
              <w:right w:val="single" w:color="auto" w:sz="4" w:space="0"/>
            </w:tcBorders>
            <w:vAlign w:val="center"/>
          </w:tcPr>
          <w:p w14:paraId="7CF9A05E">
            <w:pPr>
              <w:topLinePunct/>
              <w:jc w:val="center"/>
              <w:rPr>
                <w:rFonts w:ascii="宋体" w:cs="Times New Roman"/>
                <w:color w:val="auto"/>
                <w:highlight w:val="none"/>
              </w:rPr>
            </w:pPr>
            <w:r>
              <w:rPr>
                <w:rFonts w:hint="eastAsia" w:ascii="宋体" w:cs="Times New Roman"/>
                <w:color w:val="auto"/>
                <w:highlight w:val="none"/>
              </w:rPr>
              <w:t>等级</w:t>
            </w: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1B5D6E3F">
            <w:pPr>
              <w:topLinePunct/>
              <w:ind w:left="340"/>
              <w:jc w:val="center"/>
              <w:rPr>
                <w:rFonts w:ascii="宋体" w:cs="Times New Roman"/>
                <w:color w:val="auto"/>
                <w:highlight w:val="none"/>
              </w:rPr>
            </w:pPr>
            <w:r>
              <w:rPr>
                <w:rFonts w:hint="eastAsia" w:ascii="宋体" w:cs="Times New Roman"/>
                <w:color w:val="auto"/>
                <w:highlight w:val="none"/>
              </w:rPr>
              <w:t>证书号</w:t>
            </w: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271FD758">
            <w:pPr>
              <w:topLinePunct/>
              <w:ind w:left="395"/>
              <w:jc w:val="center"/>
              <w:rPr>
                <w:rFonts w:ascii="宋体" w:cs="Times New Roman"/>
                <w:color w:val="auto"/>
                <w:highlight w:val="none"/>
              </w:rPr>
            </w:pPr>
            <w:r>
              <w:rPr>
                <w:rFonts w:hint="eastAsia" w:ascii="宋体" w:cs="Times New Roman"/>
                <w:color w:val="auto"/>
                <w:highlight w:val="none"/>
              </w:rPr>
              <w:t>发证机关</w:t>
            </w:r>
          </w:p>
        </w:tc>
      </w:tr>
      <w:tr w14:paraId="748C0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4" w:space="0"/>
              <w:right w:val="single" w:color="auto" w:sz="6" w:space="0"/>
            </w:tcBorders>
            <w:vAlign w:val="center"/>
          </w:tcPr>
          <w:p w14:paraId="471B0AF5">
            <w:pPr>
              <w:topLinePunct/>
              <w:jc w:val="center"/>
              <w:rPr>
                <w:rFonts w:ascii="宋体" w:cs="Times New Roman"/>
                <w:color w:val="auto"/>
                <w:highlight w:val="none"/>
              </w:rPr>
            </w:pPr>
          </w:p>
        </w:tc>
        <w:tc>
          <w:tcPr>
            <w:tcW w:w="1313" w:type="dxa"/>
            <w:tcBorders>
              <w:top w:val="single" w:color="auto" w:sz="4" w:space="0"/>
              <w:left w:val="single" w:color="auto" w:sz="6" w:space="0"/>
              <w:bottom w:val="single" w:color="auto" w:sz="4" w:space="0"/>
              <w:right w:val="single" w:color="auto" w:sz="4" w:space="0"/>
            </w:tcBorders>
            <w:vAlign w:val="center"/>
          </w:tcPr>
          <w:p w14:paraId="621F3CDE">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6F8F14A7">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1F8003CE">
            <w:pPr>
              <w:topLinePunct/>
              <w:jc w:val="center"/>
              <w:rPr>
                <w:rFonts w:ascii="宋体" w:cs="Times New Roman"/>
                <w:color w:val="auto"/>
                <w:highlight w:val="none"/>
              </w:rPr>
            </w:pPr>
          </w:p>
        </w:tc>
      </w:tr>
      <w:tr w14:paraId="6D7BB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4" w:space="0"/>
              <w:left w:val="double" w:color="auto" w:sz="4" w:space="0"/>
              <w:bottom w:val="single" w:color="auto" w:sz="6" w:space="0"/>
              <w:right w:val="single" w:color="auto" w:sz="6" w:space="0"/>
            </w:tcBorders>
            <w:vAlign w:val="center"/>
          </w:tcPr>
          <w:p w14:paraId="6315DE74">
            <w:pPr>
              <w:topLinePunct/>
              <w:jc w:val="center"/>
              <w:rPr>
                <w:rFonts w:ascii="宋体" w:cs="Times New Roman"/>
                <w:color w:val="auto"/>
                <w:highlight w:val="none"/>
              </w:rPr>
            </w:pPr>
          </w:p>
        </w:tc>
        <w:tc>
          <w:tcPr>
            <w:tcW w:w="1313" w:type="dxa"/>
            <w:tcBorders>
              <w:top w:val="single" w:color="auto" w:sz="4" w:space="0"/>
              <w:left w:val="single" w:color="auto" w:sz="6" w:space="0"/>
              <w:bottom w:val="single" w:color="auto" w:sz="6" w:space="0"/>
              <w:right w:val="single" w:color="auto" w:sz="4" w:space="0"/>
            </w:tcBorders>
            <w:vAlign w:val="center"/>
          </w:tcPr>
          <w:p w14:paraId="12D0D854">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single" w:color="auto" w:sz="6" w:space="0"/>
              <w:right w:val="single" w:color="auto" w:sz="4" w:space="0"/>
            </w:tcBorders>
            <w:vAlign w:val="center"/>
          </w:tcPr>
          <w:p w14:paraId="11A155CE">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single" w:color="auto" w:sz="6" w:space="0"/>
              <w:right w:val="double" w:color="auto" w:sz="4" w:space="0"/>
            </w:tcBorders>
            <w:vAlign w:val="center"/>
          </w:tcPr>
          <w:p w14:paraId="70580C50">
            <w:pPr>
              <w:topLinePunct/>
              <w:jc w:val="center"/>
              <w:rPr>
                <w:rFonts w:ascii="宋体" w:cs="Times New Roman"/>
                <w:color w:val="auto"/>
                <w:highlight w:val="none"/>
              </w:rPr>
            </w:pPr>
          </w:p>
        </w:tc>
      </w:tr>
      <w:tr w14:paraId="6B7093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72C11044">
            <w:pPr>
              <w:topLinePunct/>
              <w:jc w:val="center"/>
              <w:rPr>
                <w:rFonts w:ascii="宋体" w:cs="Times New Roman"/>
                <w:color w:val="auto"/>
                <w:highlight w:val="none"/>
              </w:rPr>
            </w:pPr>
          </w:p>
        </w:tc>
        <w:tc>
          <w:tcPr>
            <w:tcW w:w="1313" w:type="dxa"/>
            <w:tcBorders>
              <w:top w:val="single" w:color="auto" w:sz="6" w:space="0"/>
              <w:left w:val="single" w:color="auto" w:sz="6" w:space="0"/>
              <w:bottom w:val="nil"/>
              <w:right w:val="single" w:color="auto" w:sz="4" w:space="0"/>
            </w:tcBorders>
            <w:vAlign w:val="center"/>
          </w:tcPr>
          <w:p w14:paraId="3BABBAE4">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nil"/>
              <w:right w:val="single" w:color="auto" w:sz="4" w:space="0"/>
            </w:tcBorders>
            <w:vAlign w:val="center"/>
          </w:tcPr>
          <w:p w14:paraId="173DD21C">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nil"/>
              <w:right w:val="double" w:color="auto" w:sz="4" w:space="0"/>
            </w:tcBorders>
            <w:vAlign w:val="center"/>
          </w:tcPr>
          <w:p w14:paraId="24226F7F">
            <w:pPr>
              <w:topLinePunct/>
              <w:jc w:val="center"/>
              <w:rPr>
                <w:rFonts w:ascii="宋体" w:cs="Times New Roman"/>
                <w:color w:val="auto"/>
                <w:highlight w:val="none"/>
              </w:rPr>
            </w:pPr>
          </w:p>
        </w:tc>
      </w:tr>
      <w:tr w14:paraId="1A062C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5" w:hRule="atLeast"/>
        </w:trPr>
        <w:tc>
          <w:tcPr>
            <w:tcW w:w="3185" w:type="dxa"/>
            <w:gridSpan w:val="3"/>
            <w:tcBorders>
              <w:top w:val="single" w:color="auto" w:sz="6" w:space="0"/>
              <w:left w:val="double" w:color="auto" w:sz="4" w:space="0"/>
              <w:bottom w:val="single" w:color="auto" w:sz="6" w:space="0"/>
              <w:right w:val="single" w:color="auto" w:sz="6" w:space="0"/>
            </w:tcBorders>
            <w:vAlign w:val="center"/>
          </w:tcPr>
          <w:p w14:paraId="587C004C">
            <w:pPr>
              <w:topLinePunct/>
              <w:jc w:val="center"/>
              <w:rPr>
                <w:rFonts w:ascii="宋体" w:cs="Times New Roman"/>
                <w:color w:val="auto"/>
                <w:highlight w:val="none"/>
              </w:rPr>
            </w:pPr>
          </w:p>
        </w:tc>
        <w:tc>
          <w:tcPr>
            <w:tcW w:w="1313" w:type="dxa"/>
            <w:tcBorders>
              <w:top w:val="single" w:color="auto" w:sz="6" w:space="0"/>
              <w:left w:val="single" w:color="auto" w:sz="6" w:space="0"/>
              <w:bottom w:val="nil"/>
              <w:right w:val="single" w:color="auto" w:sz="4" w:space="0"/>
            </w:tcBorders>
            <w:vAlign w:val="center"/>
          </w:tcPr>
          <w:p w14:paraId="4CB50D4C">
            <w:pPr>
              <w:topLinePunct/>
              <w:jc w:val="center"/>
              <w:rPr>
                <w:rFonts w:ascii="宋体" w:cs="Times New Roman"/>
                <w:color w:val="auto"/>
                <w:highlight w:val="none"/>
              </w:rPr>
            </w:pPr>
          </w:p>
        </w:tc>
        <w:tc>
          <w:tcPr>
            <w:tcW w:w="1818" w:type="dxa"/>
            <w:gridSpan w:val="3"/>
            <w:tcBorders>
              <w:top w:val="single" w:color="auto" w:sz="6" w:space="0"/>
              <w:left w:val="single" w:color="auto" w:sz="4" w:space="0"/>
              <w:bottom w:val="nil"/>
              <w:right w:val="single" w:color="auto" w:sz="4" w:space="0"/>
            </w:tcBorders>
            <w:vAlign w:val="center"/>
          </w:tcPr>
          <w:p w14:paraId="4AF5AB49">
            <w:pPr>
              <w:topLinePunct/>
              <w:jc w:val="center"/>
              <w:rPr>
                <w:rFonts w:ascii="宋体" w:cs="Times New Roman"/>
                <w:color w:val="auto"/>
                <w:highlight w:val="none"/>
              </w:rPr>
            </w:pPr>
          </w:p>
        </w:tc>
        <w:tc>
          <w:tcPr>
            <w:tcW w:w="4012" w:type="dxa"/>
            <w:gridSpan w:val="3"/>
            <w:tcBorders>
              <w:top w:val="single" w:color="auto" w:sz="6" w:space="0"/>
              <w:left w:val="single" w:color="auto" w:sz="4" w:space="0"/>
              <w:bottom w:val="nil"/>
              <w:right w:val="double" w:color="auto" w:sz="4" w:space="0"/>
            </w:tcBorders>
            <w:vAlign w:val="center"/>
          </w:tcPr>
          <w:p w14:paraId="17EBFB1A">
            <w:pPr>
              <w:topLinePunct/>
              <w:jc w:val="center"/>
              <w:rPr>
                <w:rFonts w:ascii="宋体" w:cs="Times New Roman"/>
                <w:color w:val="auto"/>
                <w:highlight w:val="none"/>
              </w:rPr>
            </w:pPr>
          </w:p>
        </w:tc>
      </w:tr>
      <w:tr w14:paraId="34A54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02" w:hRule="atLeast"/>
        </w:trPr>
        <w:tc>
          <w:tcPr>
            <w:tcW w:w="1220" w:type="dxa"/>
            <w:tcBorders>
              <w:top w:val="single" w:color="auto" w:sz="6" w:space="0"/>
              <w:left w:val="double" w:color="auto" w:sz="4" w:space="0"/>
              <w:bottom w:val="double" w:color="auto" w:sz="4" w:space="0"/>
              <w:right w:val="single" w:color="auto" w:sz="6" w:space="0"/>
            </w:tcBorders>
            <w:vAlign w:val="center"/>
          </w:tcPr>
          <w:p w14:paraId="709044D1">
            <w:pPr>
              <w:topLinePunct/>
              <w:ind w:firstLine="360" w:firstLineChars="150"/>
              <w:rPr>
                <w:rFonts w:ascii="宋体" w:cs="Times New Roman"/>
                <w:color w:val="auto"/>
                <w:highlight w:val="none"/>
              </w:rPr>
            </w:pPr>
            <w:r>
              <w:rPr>
                <w:rFonts w:ascii="宋体" w:cs="Times New Roman"/>
                <w:color w:val="auto"/>
                <w:highlight w:val="none"/>
              </w:rPr>
              <w:t>备注</w:t>
            </w:r>
          </w:p>
        </w:tc>
        <w:tc>
          <w:tcPr>
            <w:tcW w:w="9108" w:type="dxa"/>
            <w:gridSpan w:val="9"/>
            <w:tcBorders>
              <w:top w:val="single" w:color="auto" w:sz="6" w:space="0"/>
              <w:left w:val="single" w:color="auto" w:sz="6" w:space="0"/>
              <w:bottom w:val="double" w:color="auto" w:sz="4" w:space="0"/>
              <w:right w:val="double" w:color="auto" w:sz="4" w:space="0"/>
            </w:tcBorders>
            <w:vAlign w:val="center"/>
          </w:tcPr>
          <w:p w14:paraId="46807EA4">
            <w:pPr>
              <w:topLinePunct/>
              <w:adjustRightInd w:val="0"/>
              <w:snapToGrid w:val="0"/>
              <w:rPr>
                <w:rFonts w:ascii="宋体" w:cs="Times New Roman"/>
                <w:color w:val="auto"/>
                <w:highlight w:val="none"/>
              </w:rPr>
            </w:pPr>
          </w:p>
        </w:tc>
      </w:tr>
    </w:tbl>
    <w:p w14:paraId="1D858426">
      <w:pPr>
        <w:rPr>
          <w:rFonts w:ascii="Times New Roman" w:hAnsi="Times New Roman" w:cs="Times New Roman"/>
          <w:b/>
          <w:color w:val="auto"/>
          <w:sz w:val="28"/>
          <w:highlight w:val="none"/>
        </w:rPr>
      </w:pPr>
      <w:r>
        <w:rPr>
          <w:rFonts w:hint="eastAsia" w:ascii="Times New Roman" w:hAnsi="Times New Roman" w:cs="Times New Roman"/>
          <w:b/>
          <w:color w:val="auto"/>
          <w:sz w:val="28"/>
          <w:highlight w:val="none"/>
        </w:rPr>
        <w:br w:type="page"/>
      </w:r>
    </w:p>
    <w:p w14:paraId="1747A1DE">
      <w:pPr>
        <w:pStyle w:val="7"/>
        <w:numPr>
          <w:ilvl w:val="4"/>
          <w:numId w:val="0"/>
        </w:numPr>
        <w:rPr>
          <w:color w:val="auto"/>
        </w:rPr>
      </w:pPr>
      <w:r>
        <w:rPr>
          <w:rFonts w:hint="eastAsia"/>
          <w:color w:val="auto"/>
        </w:rPr>
        <w:t>附件3-2</w:t>
      </w:r>
      <w:r>
        <w:rPr>
          <w:rFonts w:hint="eastAsia"/>
          <w:color w:val="auto"/>
          <w:lang w:val="en-US" w:eastAsia="zh-CN"/>
        </w:rPr>
        <w:t>谈判</w:t>
      </w:r>
      <w:r>
        <w:rPr>
          <w:rFonts w:hint="eastAsia"/>
          <w:color w:val="auto"/>
        </w:rPr>
        <w:t xml:space="preserve">文件规定的基本资格条件证明资料     </w:t>
      </w:r>
    </w:p>
    <w:p w14:paraId="59DFD10B">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文件规定的基本资格条件证明资料</w:t>
      </w:r>
    </w:p>
    <w:p w14:paraId="49DDA496">
      <w:pPr>
        <w:pStyle w:val="45"/>
        <w:spacing w:before="156"/>
        <w:ind w:firstLine="480"/>
        <w:rPr>
          <w:color w:val="auto"/>
        </w:rPr>
      </w:pPr>
      <w:r>
        <w:rPr>
          <w:rFonts w:hint="eastAsia"/>
          <w:color w:val="auto"/>
        </w:rPr>
        <w:t>备注：</w:t>
      </w:r>
    </w:p>
    <w:p w14:paraId="74E6B497">
      <w:pPr>
        <w:pStyle w:val="45"/>
        <w:spacing w:before="156"/>
        <w:ind w:firstLine="480"/>
        <w:rPr>
          <w:color w:val="auto"/>
        </w:rPr>
      </w:pPr>
      <w:r>
        <w:rPr>
          <w:rFonts w:hint="eastAsia"/>
          <w:color w:val="auto"/>
        </w:rPr>
        <w:t>1.提供</w:t>
      </w:r>
      <w:r>
        <w:rPr>
          <w:rFonts w:hint="eastAsia"/>
          <w:color w:val="auto"/>
          <w:lang w:eastAsia="zh-CN"/>
        </w:rPr>
        <w:t>供应商</w:t>
      </w:r>
      <w:r>
        <w:rPr>
          <w:rFonts w:hint="eastAsia"/>
          <w:color w:val="auto"/>
        </w:rPr>
        <w:t xml:space="preserve">主体资格证明文件复印件（法人提交营业执照副本或者法人登记证书）； </w:t>
      </w:r>
    </w:p>
    <w:p w14:paraId="7ED03837">
      <w:pPr>
        <w:rPr>
          <w:color w:val="auto"/>
        </w:rPr>
      </w:pPr>
      <w:r>
        <w:rPr>
          <w:rFonts w:hint="eastAsia"/>
          <w:color w:val="auto"/>
        </w:rPr>
        <w:br w:type="page"/>
      </w:r>
    </w:p>
    <w:p w14:paraId="4A5816B8">
      <w:pPr>
        <w:pStyle w:val="7"/>
        <w:numPr>
          <w:ilvl w:val="4"/>
          <w:numId w:val="0"/>
        </w:numPr>
        <w:rPr>
          <w:color w:val="auto"/>
        </w:rPr>
      </w:pPr>
      <w:r>
        <w:rPr>
          <w:rFonts w:hint="eastAsia"/>
          <w:color w:val="auto"/>
        </w:rPr>
        <w:t>附件3-3</w:t>
      </w:r>
      <w:r>
        <w:rPr>
          <w:rFonts w:hint="eastAsia"/>
          <w:color w:val="auto"/>
          <w:lang w:eastAsia="zh-CN"/>
        </w:rPr>
        <w:t>供应商</w:t>
      </w:r>
      <w:r>
        <w:rPr>
          <w:rFonts w:hint="eastAsia"/>
          <w:color w:val="auto"/>
        </w:rPr>
        <w:t>资格声明</w:t>
      </w:r>
    </w:p>
    <w:p w14:paraId="2BB84111">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lang w:eastAsia="zh-CN"/>
        </w:rPr>
        <w:t>供应商</w:t>
      </w:r>
      <w:r>
        <w:rPr>
          <w:rFonts w:hint="eastAsia" w:ascii="方正小标宋_GBK" w:eastAsia="方正小标宋_GBK" w:cs="方正小标宋_GBK"/>
          <w:color w:val="auto"/>
          <w:sz w:val="32"/>
          <w:szCs w:val="28"/>
        </w:rPr>
        <w:t>资格声明</w:t>
      </w:r>
    </w:p>
    <w:p w14:paraId="43E87FF2">
      <w:pPr>
        <w:pStyle w:val="45"/>
        <w:spacing w:before="240"/>
        <w:ind w:firstLine="0" w:firstLineChars="0"/>
      </w:pPr>
      <w:r>
        <w:rPr>
          <w:rFonts w:hint="eastAsia"/>
        </w:rPr>
        <w:t>致</w:t>
      </w:r>
      <w:r>
        <w:rPr>
          <w:rFonts w:hint="eastAsia"/>
          <w:u w:val="single"/>
        </w:rPr>
        <w:t xml:space="preserve">                          </w:t>
      </w:r>
      <w:r>
        <w:rPr>
          <w:rFonts w:hint="eastAsia"/>
        </w:rPr>
        <w:t xml:space="preserve"> </w:t>
      </w:r>
      <w:r>
        <w:rPr>
          <w:rFonts w:hint="eastAsia"/>
          <w:lang w:eastAsia="zh-CN"/>
        </w:rPr>
        <w:t>（</w:t>
      </w:r>
      <w:r>
        <w:rPr>
          <w:rFonts w:hint="eastAsia"/>
        </w:rPr>
        <w:t>采购人、采购代理机构）：</w:t>
      </w:r>
    </w:p>
    <w:p w14:paraId="10BD8B46">
      <w:pPr>
        <w:pStyle w:val="45"/>
        <w:spacing w:before="240"/>
        <w:ind w:firstLine="480"/>
      </w:pPr>
      <w:r>
        <w:rPr>
          <w:rFonts w:hint="eastAsia"/>
        </w:rPr>
        <w:t>按照《中华人民共和国政府采购法》及实施条例和</w:t>
      </w:r>
      <w:r>
        <w:rPr>
          <w:rFonts w:hint="eastAsia"/>
          <w:u w:val="single"/>
          <w:lang w:val="en-US" w:eastAsia="zh-CN"/>
        </w:rPr>
        <w:t xml:space="preserve">                       </w:t>
      </w:r>
      <w:r>
        <w:rPr>
          <w:rFonts w:hint="eastAsia"/>
        </w:rPr>
        <w:t xml:space="preserve"> </w:t>
      </w:r>
      <w:r>
        <w:rPr>
          <w:rFonts w:hint="eastAsia"/>
          <w:lang w:eastAsia="zh-CN"/>
        </w:rPr>
        <w:t>（</w:t>
      </w:r>
      <w:r>
        <w:rPr>
          <w:rFonts w:hint="eastAsia"/>
        </w:rPr>
        <w:t xml:space="preserve">项目名称）邀请公告的规定，我单位郑重声明如下： </w:t>
      </w:r>
    </w:p>
    <w:p w14:paraId="2114C9B4">
      <w:pPr>
        <w:pStyle w:val="45"/>
        <w:spacing w:before="240"/>
        <w:ind w:firstLine="480"/>
      </w:pPr>
      <w:r>
        <w:rPr>
          <w:rFonts w:hint="eastAsia"/>
        </w:rPr>
        <w:t>一、我单位是按照中华人民共和国法律规定登记注册的，注册地点为</w:t>
      </w:r>
      <w:r>
        <w:rPr>
          <w:rFonts w:hint="eastAsia"/>
          <w:u w:val="single"/>
        </w:rPr>
        <w:t xml:space="preserve">               </w:t>
      </w:r>
      <w:r>
        <w:rPr>
          <w:rFonts w:hint="eastAsia"/>
        </w:rPr>
        <w:t>，全称为</w:t>
      </w:r>
      <w:r>
        <w:rPr>
          <w:rFonts w:hint="eastAsia"/>
          <w:u w:val="single"/>
        </w:rPr>
        <w:t xml:space="preserve">                </w:t>
      </w:r>
      <w:r>
        <w:rPr>
          <w:rFonts w:hint="eastAsia"/>
        </w:rPr>
        <w:t>，统一社会信用代码为</w:t>
      </w:r>
      <w:r>
        <w:rPr>
          <w:rFonts w:hint="eastAsia"/>
          <w:u w:val="single"/>
        </w:rPr>
        <w:t xml:space="preserve">                         </w:t>
      </w:r>
      <w:r>
        <w:rPr>
          <w:rFonts w:hint="eastAsia"/>
        </w:rPr>
        <w:t xml:space="preserve">，法定代表人（单位负责人）为 </w:t>
      </w:r>
      <w:r>
        <w:rPr>
          <w:rFonts w:hint="eastAsia"/>
          <w:u w:val="single"/>
        </w:rPr>
        <w:t xml:space="preserve">                 </w:t>
      </w:r>
      <w:r>
        <w:rPr>
          <w:rFonts w:hint="eastAsia"/>
        </w:rPr>
        <w:t>，具有独立承担民事责任的能力。</w:t>
      </w:r>
    </w:p>
    <w:p w14:paraId="47B396E0">
      <w:pPr>
        <w:pStyle w:val="45"/>
        <w:spacing w:before="240"/>
        <w:ind w:firstLine="480"/>
      </w:pPr>
      <w:r>
        <w:rPr>
          <w:rFonts w:hint="eastAsia"/>
        </w:rPr>
        <w:t>二、我单位具有良好的商业信誉和健全的财务会计制度。</w:t>
      </w:r>
    </w:p>
    <w:p w14:paraId="7828CF04">
      <w:pPr>
        <w:pStyle w:val="45"/>
        <w:spacing w:before="240"/>
        <w:ind w:firstLine="480"/>
      </w:pPr>
      <w:r>
        <w:rPr>
          <w:rFonts w:hint="eastAsia"/>
        </w:rPr>
        <w:t>三、我单位依法进行纳税和社会保险申报并实际履行了义务。</w:t>
      </w:r>
    </w:p>
    <w:p w14:paraId="2E21B29A">
      <w:pPr>
        <w:pStyle w:val="45"/>
        <w:spacing w:before="240"/>
        <w:ind w:firstLine="480"/>
      </w:pPr>
      <w:r>
        <w:rPr>
          <w:rFonts w:hint="eastAsia"/>
        </w:rPr>
        <w:t>四、我单位具有履行本项目采购合同所必需的设备和专业技术能力，并具有履行合同的良好记录。</w:t>
      </w:r>
    </w:p>
    <w:p w14:paraId="778BE307">
      <w:pPr>
        <w:pStyle w:val="45"/>
        <w:spacing w:before="240"/>
        <w:ind w:firstLine="480"/>
      </w:pPr>
      <w:r>
        <w:rPr>
          <w:rFonts w:hint="eastAsia"/>
        </w:rPr>
        <w:t>五、我单位在参加采购项目政府采购活动前三年内，在经营活动中，未因违法经营受到刑事处罚或者责令停产停业、吊销许可证或者执照、较大数额罚款等行政处罚。其中较大数额罚款是指：达到处罚的行政处罚听证范围中“较大数额罚款”金额标准的；法律、法规、规章、国务院有关行政主管部门对“较大数额罚款”金额标准另有规定的，从其规定。</w:t>
      </w:r>
    </w:p>
    <w:p w14:paraId="1FC9DC87">
      <w:pPr>
        <w:pStyle w:val="45"/>
        <w:spacing w:before="240"/>
        <w:ind w:firstLine="480"/>
      </w:pPr>
      <w:r>
        <w:rPr>
          <w:rFonts w:hint="eastAsia"/>
        </w:rPr>
        <w:t>供应商在参加政府采购活动前3年内因违法经营被禁止在一定期限内参加政府采购活动，期限届满的，可以参加政府采购活动。</w:t>
      </w:r>
    </w:p>
    <w:p w14:paraId="5EB83A7C">
      <w:pPr>
        <w:pStyle w:val="45"/>
        <w:spacing w:before="240"/>
        <w:ind w:firstLine="480"/>
        <w:outlineLvl w:val="9"/>
      </w:pPr>
      <w:r>
        <w:rPr>
          <w:rFonts w:hint="eastAsia"/>
        </w:rPr>
        <w:t>六、我单位具备法律、行政法规规定的其他条件。</w:t>
      </w:r>
    </w:p>
    <w:p w14:paraId="2917DA62">
      <w:pPr>
        <w:pStyle w:val="45"/>
        <w:spacing w:before="240"/>
        <w:ind w:firstLine="480"/>
      </w:pPr>
      <w:r>
        <w:rPr>
          <w:rFonts w:hint="eastAsia"/>
        </w:rPr>
        <w:t>七、与我单位存在“单位负责人为同一人或者存在直接控股、管理关系”的其他单位信息如下（如无，填写“无”）：</w:t>
      </w:r>
    </w:p>
    <w:p w14:paraId="336DE49C">
      <w:pPr>
        <w:pStyle w:val="45"/>
        <w:spacing w:before="240"/>
        <w:ind w:firstLine="480"/>
      </w:pPr>
      <w:r>
        <w:rPr>
          <w:rFonts w:hint="eastAsia"/>
        </w:rPr>
        <w:t xml:space="preserve">1、与我单位的法定代表人（单位负责人）为同一人的其他单位如下：               </w:t>
      </w:r>
    </w:p>
    <w:p w14:paraId="453F572B">
      <w:pPr>
        <w:pStyle w:val="45"/>
        <w:spacing w:before="240"/>
        <w:ind w:firstLine="480"/>
      </w:pPr>
      <w:r>
        <w:rPr>
          <w:rFonts w:hint="eastAsia"/>
        </w:rPr>
        <w:t xml:space="preserve">2、我单位直接控股的其他单位如下：               </w:t>
      </w:r>
    </w:p>
    <w:p w14:paraId="6C4F471C">
      <w:pPr>
        <w:pStyle w:val="45"/>
        <w:spacing w:before="240"/>
        <w:ind w:firstLine="480"/>
      </w:pPr>
      <w:r>
        <w:rPr>
          <w:rFonts w:hint="eastAsia"/>
        </w:rPr>
        <w:t xml:space="preserve">3、与我单位存在管理关系的其他单位如下：               </w:t>
      </w:r>
    </w:p>
    <w:p w14:paraId="7538B0FA">
      <w:pPr>
        <w:pStyle w:val="45"/>
        <w:spacing w:before="240"/>
        <w:ind w:firstLine="480"/>
      </w:pPr>
      <w:r>
        <w:rPr>
          <w:rFonts w:hint="eastAsia"/>
        </w:rPr>
        <w:t>八、我单位不属于为本项目提供整体设计、规范编制或者项目管理、监理、检测等服务的供应商。</w:t>
      </w:r>
    </w:p>
    <w:p w14:paraId="2B28A4B8">
      <w:pPr>
        <w:pStyle w:val="45"/>
        <w:spacing w:before="240"/>
        <w:ind w:firstLine="480"/>
        <w:outlineLvl w:val="9"/>
      </w:pPr>
      <w:r>
        <w:rPr>
          <w:rFonts w:hint="eastAsia"/>
        </w:rPr>
        <w:t>九、我单位无以下不良信用记录情形：</w:t>
      </w:r>
    </w:p>
    <w:p w14:paraId="01F50DB6">
      <w:pPr>
        <w:pStyle w:val="45"/>
        <w:spacing w:before="240"/>
        <w:ind w:firstLine="480"/>
      </w:pPr>
      <w:r>
        <w:rPr>
          <w:rFonts w:hint="eastAsia"/>
        </w:rPr>
        <w:t>1、在“信用中国”网站被列入失信被执行人和重大税收违法案件当事人名单；</w:t>
      </w:r>
    </w:p>
    <w:p w14:paraId="2D37E058">
      <w:pPr>
        <w:pStyle w:val="45"/>
        <w:spacing w:before="240"/>
        <w:ind w:firstLine="480"/>
      </w:pPr>
      <w:r>
        <w:rPr>
          <w:rFonts w:hint="eastAsia"/>
        </w:rPr>
        <w:t>2、在“中国政府采购网”网站被列入政府采购严重违法失信行为记录名单；</w:t>
      </w:r>
    </w:p>
    <w:p w14:paraId="0A038A8F">
      <w:pPr>
        <w:pStyle w:val="45"/>
        <w:spacing w:before="240"/>
        <w:ind w:firstLine="480"/>
        <w:outlineLvl w:val="9"/>
      </w:pPr>
      <w:r>
        <w:rPr>
          <w:rFonts w:hint="eastAsia"/>
        </w:rPr>
        <w:t>3、不符合《政府采购法》第二十二条规定的条件。</w:t>
      </w:r>
    </w:p>
    <w:p w14:paraId="104664A3">
      <w:pPr>
        <w:pStyle w:val="45"/>
        <w:spacing w:before="240"/>
        <w:ind w:firstLine="480"/>
      </w:pPr>
      <w:r>
        <w:rPr>
          <w:rFonts w:hint="eastAsia"/>
        </w:rPr>
        <w:t>我单位保证上述声明的事项都是真实的，如有虚假，我单位愿意承担相应的法律责任，并承担因此所造成的一切损失。</w:t>
      </w:r>
    </w:p>
    <w:p w14:paraId="719A6996">
      <w:pPr>
        <w:pStyle w:val="45"/>
        <w:spacing w:before="156"/>
        <w:ind w:firstLine="480"/>
        <w:rPr>
          <w:color w:val="auto"/>
        </w:rPr>
      </w:pPr>
      <w:r>
        <w:rPr>
          <w:rFonts w:hint="eastAsia"/>
        </w:rPr>
        <w:t>注：第三条“良好的商业信誉”是指供应商经营状况良好，无本承诺函第九条情形</w:t>
      </w:r>
      <w:r>
        <w:rPr>
          <w:rFonts w:hint="eastAsia"/>
          <w:color w:val="auto"/>
        </w:rPr>
        <w:t>。</w:t>
      </w:r>
    </w:p>
    <w:tbl>
      <w:tblPr>
        <w:tblStyle w:val="35"/>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8"/>
        <w:gridCol w:w="2039"/>
        <w:gridCol w:w="1185"/>
        <w:gridCol w:w="2602"/>
      </w:tblGrid>
      <w:tr w14:paraId="1F6E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698" w:type="dxa"/>
            <w:tcBorders>
              <w:top w:val="nil"/>
              <w:left w:val="nil"/>
              <w:bottom w:val="nil"/>
              <w:right w:val="nil"/>
            </w:tcBorders>
            <w:vAlign w:val="center"/>
          </w:tcPr>
          <w:p w14:paraId="773A806C">
            <w:pPr>
              <w:pStyle w:val="45"/>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826" w:type="dxa"/>
            <w:gridSpan w:val="3"/>
            <w:tcBorders>
              <w:top w:val="nil"/>
              <w:left w:val="nil"/>
              <w:bottom w:val="nil"/>
              <w:right w:val="nil"/>
            </w:tcBorders>
            <w:vAlign w:val="center"/>
          </w:tcPr>
          <w:p w14:paraId="405A1D05">
            <w:pPr>
              <w:pStyle w:val="45"/>
              <w:spacing w:before="156" w:line="540" w:lineRule="exact"/>
              <w:ind w:firstLine="480"/>
              <w:jc w:val="center"/>
              <w:rPr>
                <w:color w:val="auto"/>
              </w:rPr>
            </w:pPr>
          </w:p>
        </w:tc>
      </w:tr>
      <w:tr w14:paraId="41D9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8" w:type="dxa"/>
            <w:tcBorders>
              <w:top w:val="nil"/>
              <w:left w:val="nil"/>
              <w:bottom w:val="nil"/>
              <w:right w:val="nil"/>
            </w:tcBorders>
            <w:vAlign w:val="center"/>
          </w:tcPr>
          <w:p w14:paraId="3957A3C1">
            <w:pPr>
              <w:pStyle w:val="45"/>
              <w:spacing w:before="156" w:line="540" w:lineRule="exact"/>
              <w:ind w:firstLine="0" w:firstLineChars="0"/>
              <w:rPr>
                <w:color w:val="auto"/>
              </w:rPr>
            </w:pPr>
          </w:p>
        </w:tc>
        <w:tc>
          <w:tcPr>
            <w:tcW w:w="2039" w:type="dxa"/>
            <w:tcBorders>
              <w:top w:val="nil"/>
              <w:left w:val="nil"/>
              <w:bottom w:val="nil"/>
              <w:right w:val="nil"/>
            </w:tcBorders>
            <w:vAlign w:val="center"/>
          </w:tcPr>
          <w:p w14:paraId="2FB792BD">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442B1E0">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193906AF">
            <w:pPr>
              <w:pStyle w:val="45"/>
              <w:spacing w:before="156" w:line="240" w:lineRule="auto"/>
              <w:ind w:firstLine="0" w:firstLineChars="0"/>
              <w:jc w:val="right"/>
              <w:rPr>
                <w:color w:val="auto"/>
              </w:rPr>
            </w:pPr>
            <w:r>
              <w:rPr>
                <w:rFonts w:hint="eastAsia"/>
                <w:color w:val="auto"/>
              </w:rPr>
              <w:t>年   月   日</w:t>
            </w:r>
          </w:p>
        </w:tc>
      </w:tr>
    </w:tbl>
    <w:p w14:paraId="00B86FD0">
      <w:pPr>
        <w:pStyle w:val="45"/>
        <w:spacing w:before="156"/>
        <w:ind w:firstLine="0" w:firstLineChars="0"/>
        <w:rPr>
          <w:color w:val="auto"/>
        </w:rPr>
      </w:pPr>
    </w:p>
    <w:p w14:paraId="0C0B479B">
      <w:pPr>
        <w:pStyle w:val="45"/>
        <w:spacing w:before="156"/>
        <w:ind w:firstLine="480"/>
        <w:rPr>
          <w:color w:val="auto"/>
        </w:rPr>
      </w:pPr>
    </w:p>
    <w:p w14:paraId="4526C674">
      <w:pP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br w:type="page"/>
      </w:r>
    </w:p>
    <w:p w14:paraId="21C8A087">
      <w:pPr>
        <w:pStyle w:val="7"/>
        <w:numPr>
          <w:ilvl w:val="4"/>
          <w:numId w:val="0"/>
        </w:numPr>
        <w:outlineLvl w:val="3"/>
        <w:rPr>
          <w:color w:val="auto"/>
        </w:rPr>
      </w:pPr>
      <w:r>
        <w:rPr>
          <w:rFonts w:hint="eastAsia"/>
          <w:color w:val="auto"/>
        </w:rPr>
        <w:t>附件3-4无重大违法记录声明函、无不良信用记录声明函</w:t>
      </w:r>
    </w:p>
    <w:p w14:paraId="534D47D2">
      <w:pPr>
        <w:pStyle w:val="45"/>
        <w:spacing w:before="156"/>
        <w:ind w:firstLine="640"/>
        <w:jc w:val="center"/>
        <w:rPr>
          <w:rFonts w:ascii="方正小标宋_GBK" w:eastAsia="方正小标宋_GBK" w:cs="方正小标宋_GBK"/>
          <w:color w:val="auto"/>
          <w:sz w:val="32"/>
          <w:szCs w:val="28"/>
        </w:rPr>
      </w:pPr>
      <w:r>
        <w:rPr>
          <w:rFonts w:hint="eastAsia" w:ascii="方正小标宋_GBK" w:eastAsia="方正小标宋_GBK" w:cs="方正小标宋_GBK"/>
          <w:color w:val="auto"/>
          <w:sz w:val="32"/>
          <w:szCs w:val="28"/>
        </w:rPr>
        <w:t>无重大违法记录声明函、无不良信用记录声明函</w:t>
      </w:r>
    </w:p>
    <w:p w14:paraId="1EA19376">
      <w:pPr>
        <w:pStyle w:val="45"/>
        <w:spacing w:before="156"/>
        <w:ind w:firstLine="0" w:firstLineChars="0"/>
        <w:jc w:val="center"/>
        <w:rPr>
          <w:rFonts w:ascii="方正小标宋_GBK" w:eastAsia="方正小标宋_GBK" w:cs="方正小标宋_GBK"/>
          <w:color w:val="auto"/>
          <w:szCs w:val="28"/>
        </w:rPr>
      </w:pPr>
      <w:r>
        <w:rPr>
          <w:rFonts w:hint="eastAsia"/>
          <w:i/>
          <w:iCs/>
          <w:color w:val="auto"/>
          <w:lang w:eastAsia="zh-CN"/>
        </w:rPr>
        <w:t>（</w:t>
      </w:r>
      <w:r>
        <w:rPr>
          <w:rFonts w:hint="eastAsia"/>
          <w:i/>
          <w:iCs/>
          <w:color w:val="auto"/>
        </w:rPr>
        <w:t>联合体参加</w:t>
      </w:r>
      <w:r>
        <w:rPr>
          <w:rFonts w:hint="eastAsia"/>
          <w:i/>
          <w:iCs/>
          <w:color w:val="auto"/>
          <w:lang w:val="en-US" w:eastAsia="zh-CN"/>
        </w:rPr>
        <w:t>谈判</w:t>
      </w:r>
      <w:r>
        <w:rPr>
          <w:rFonts w:hint="eastAsia"/>
          <w:i/>
          <w:iCs/>
          <w:color w:val="auto"/>
        </w:rPr>
        <w:t>的，联合体双方均须提供）</w:t>
      </w:r>
    </w:p>
    <w:p w14:paraId="0F5ADE3D">
      <w:pPr>
        <w:pStyle w:val="45"/>
        <w:spacing w:before="240"/>
        <w:ind w:left="480" w:leftChars="200" w:firstLine="480"/>
      </w:pPr>
      <w:r>
        <w:rPr>
          <w:rFonts w:hint="eastAsia"/>
        </w:rPr>
        <w:t>1.</w:t>
      </w:r>
      <w: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2644376A">
      <w:pPr>
        <w:pStyle w:val="45"/>
        <w:spacing w:before="240"/>
        <w:ind w:left="480" w:leftChars="200" w:firstLine="480"/>
        <w:outlineLvl w:val="9"/>
      </w:pPr>
      <w:r>
        <w:rPr>
          <w:rFonts w:hint="eastAsia"/>
        </w:rPr>
        <w:t>2.</w:t>
      </w:r>
      <w:r>
        <w:t>本单位郑重声明，我单位无以下不良信用记录情形：</w:t>
      </w:r>
    </w:p>
    <w:p w14:paraId="2FAF9DCB">
      <w:pPr>
        <w:pStyle w:val="45"/>
        <w:spacing w:before="240"/>
        <w:ind w:left="480" w:leftChars="200" w:firstLine="480"/>
        <w:outlineLvl w:val="9"/>
      </w:pPr>
      <w:r>
        <w:rPr>
          <w:rFonts w:hint="eastAsia"/>
        </w:rPr>
        <w:t>（1）</w:t>
      </w:r>
      <w:r>
        <w:t>被人民法院列入失信被执行人；</w:t>
      </w:r>
    </w:p>
    <w:p w14:paraId="2E9E3F0D">
      <w:pPr>
        <w:pStyle w:val="45"/>
        <w:spacing w:before="240"/>
        <w:ind w:left="480" w:leftChars="200" w:firstLine="480"/>
      </w:pPr>
      <w:r>
        <w:rPr>
          <w:rFonts w:hint="eastAsia"/>
        </w:rPr>
        <w:t>（2）</w:t>
      </w:r>
      <w:r>
        <w:t>单位、法定代表人或拟派项目经理（项目负责人）被人民检察院列入行贿犯罪档案；</w:t>
      </w:r>
    </w:p>
    <w:p w14:paraId="42CEC59B">
      <w:pPr>
        <w:pStyle w:val="45"/>
        <w:spacing w:before="240"/>
        <w:ind w:left="480" w:leftChars="200" w:firstLine="480"/>
      </w:pPr>
      <w:r>
        <w:rPr>
          <w:rFonts w:hint="eastAsia"/>
        </w:rPr>
        <w:t>（3）</w:t>
      </w:r>
      <w:r>
        <w:t>被工商行政管理部门列入企业经营异常名录；</w:t>
      </w:r>
    </w:p>
    <w:p w14:paraId="1BC4372C">
      <w:pPr>
        <w:pStyle w:val="45"/>
        <w:spacing w:before="240"/>
        <w:ind w:left="480" w:leftChars="200" w:firstLine="480"/>
      </w:pPr>
      <w:r>
        <w:rPr>
          <w:rFonts w:hint="eastAsia"/>
        </w:rPr>
        <w:t>（4）</w:t>
      </w:r>
      <w:r>
        <w:t>被税务部门列入重大税收违法案件当事人名单；</w:t>
      </w:r>
    </w:p>
    <w:p w14:paraId="7A85A05A">
      <w:pPr>
        <w:pStyle w:val="45"/>
        <w:spacing w:before="240"/>
        <w:ind w:left="480" w:leftChars="200" w:firstLine="480"/>
      </w:pPr>
      <w:r>
        <w:rPr>
          <w:rFonts w:hint="eastAsia"/>
        </w:rPr>
        <w:t>（5）</w:t>
      </w:r>
      <w:r>
        <w:t>被政府采购监管部门列入政府采购严重违法失信行为记录名单。</w:t>
      </w:r>
    </w:p>
    <w:p w14:paraId="7238A2CC">
      <w:pPr>
        <w:pStyle w:val="45"/>
        <w:spacing w:before="240"/>
        <w:ind w:left="480" w:leftChars="200" w:firstLine="480"/>
      </w:pPr>
      <w:r>
        <w:rPr>
          <w:rFonts w:hint="eastAsia"/>
        </w:rPr>
        <w:t>3.</w:t>
      </w:r>
      <w:r>
        <w:rPr>
          <w:rFonts w:hint="eastAsia"/>
          <w:u w:val="single"/>
        </w:rPr>
        <w:t xml:space="preserve">                               </w:t>
      </w:r>
      <w:r>
        <w:rPr>
          <w:rFonts w:hint="eastAsia"/>
          <w:u w:val="single"/>
          <w:lang w:eastAsia="zh-CN"/>
        </w:rPr>
        <w:t>.</w:t>
      </w:r>
    </w:p>
    <w:p w14:paraId="6E766CBF">
      <w:pPr>
        <w:pStyle w:val="45"/>
        <w:spacing w:before="156"/>
        <w:ind w:firstLine="480"/>
        <w:rPr>
          <w:color w:val="auto"/>
        </w:rPr>
      </w:pPr>
      <w:r>
        <w:t>本单位对上述声明的真实性负责。如有虚假，将依法承担相应责任</w:t>
      </w:r>
      <w:r>
        <w:rPr>
          <w:rFonts w:hint="eastAsia"/>
          <w:color w:val="auto"/>
        </w:rPr>
        <w:t>。</w:t>
      </w:r>
    </w:p>
    <w:tbl>
      <w:tblPr>
        <w:tblStyle w:val="35"/>
        <w:tblpPr w:leftFromText="180" w:rightFromText="180" w:vertAnchor="text" w:horzAnchor="page" w:tblpX="1397" w:tblpY="13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2"/>
        <w:gridCol w:w="1795"/>
        <w:gridCol w:w="1185"/>
        <w:gridCol w:w="2602"/>
      </w:tblGrid>
      <w:tr w14:paraId="36E1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942" w:type="dxa"/>
            <w:tcBorders>
              <w:top w:val="nil"/>
              <w:left w:val="nil"/>
              <w:bottom w:val="nil"/>
              <w:right w:val="nil"/>
            </w:tcBorders>
            <w:vAlign w:val="center"/>
          </w:tcPr>
          <w:p w14:paraId="7BF61D4C">
            <w:pPr>
              <w:pStyle w:val="45"/>
              <w:spacing w:before="156" w:line="240" w:lineRule="auto"/>
              <w:ind w:firstLine="0" w:firstLineChars="0"/>
              <w:jc w:val="distribute"/>
              <w:rPr>
                <w:color w:val="auto"/>
              </w:rPr>
            </w:pPr>
            <w:r>
              <w:rPr>
                <w:rFonts w:hint="eastAsia"/>
                <w:color w:val="auto"/>
                <w:lang w:eastAsia="zh-CN"/>
              </w:rPr>
              <w:t>供应商</w:t>
            </w:r>
            <w:r>
              <w:rPr>
                <w:rFonts w:hint="eastAsia"/>
                <w:color w:val="auto"/>
              </w:rPr>
              <w:t>名称（加盖公章）：</w:t>
            </w:r>
          </w:p>
        </w:tc>
        <w:tc>
          <w:tcPr>
            <w:tcW w:w="5582" w:type="dxa"/>
            <w:gridSpan w:val="3"/>
            <w:tcBorders>
              <w:top w:val="nil"/>
              <w:left w:val="nil"/>
              <w:bottom w:val="nil"/>
              <w:right w:val="nil"/>
            </w:tcBorders>
            <w:vAlign w:val="center"/>
          </w:tcPr>
          <w:p w14:paraId="5210D4AA">
            <w:pPr>
              <w:pStyle w:val="45"/>
              <w:spacing w:before="156" w:line="540" w:lineRule="exact"/>
              <w:ind w:firstLine="480"/>
              <w:jc w:val="center"/>
              <w:rPr>
                <w:color w:val="auto"/>
              </w:rPr>
            </w:pPr>
          </w:p>
        </w:tc>
      </w:tr>
      <w:tr w14:paraId="21352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42" w:type="dxa"/>
            <w:tcBorders>
              <w:top w:val="nil"/>
              <w:left w:val="nil"/>
              <w:bottom w:val="nil"/>
              <w:right w:val="nil"/>
            </w:tcBorders>
            <w:vAlign w:val="center"/>
          </w:tcPr>
          <w:p w14:paraId="11BEBF77">
            <w:pPr>
              <w:pStyle w:val="45"/>
              <w:spacing w:before="156" w:line="540" w:lineRule="exact"/>
              <w:ind w:firstLine="0" w:firstLineChars="0"/>
              <w:rPr>
                <w:color w:val="auto"/>
              </w:rPr>
            </w:pPr>
          </w:p>
        </w:tc>
        <w:tc>
          <w:tcPr>
            <w:tcW w:w="1795" w:type="dxa"/>
            <w:tcBorders>
              <w:top w:val="nil"/>
              <w:left w:val="nil"/>
              <w:bottom w:val="nil"/>
              <w:right w:val="nil"/>
            </w:tcBorders>
            <w:vAlign w:val="center"/>
          </w:tcPr>
          <w:p w14:paraId="01ADB4C9">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2C1BC344">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E252098">
            <w:pPr>
              <w:pStyle w:val="45"/>
              <w:spacing w:before="156" w:line="240" w:lineRule="auto"/>
              <w:ind w:firstLine="0" w:firstLineChars="0"/>
              <w:jc w:val="right"/>
              <w:rPr>
                <w:color w:val="auto"/>
              </w:rPr>
            </w:pPr>
            <w:r>
              <w:rPr>
                <w:rFonts w:hint="eastAsia"/>
                <w:color w:val="auto"/>
              </w:rPr>
              <w:t>年   月   日</w:t>
            </w:r>
          </w:p>
        </w:tc>
      </w:tr>
    </w:tbl>
    <w:p w14:paraId="632D0557">
      <w:pPr>
        <w:pStyle w:val="45"/>
        <w:spacing w:before="156"/>
        <w:ind w:firstLine="480"/>
        <w:rPr>
          <w:color w:val="auto"/>
        </w:rPr>
      </w:pPr>
    </w:p>
    <w:p w14:paraId="5003470E">
      <w:pPr>
        <w:rPr>
          <w:rFonts w:ascii="宋体" w:cs="Times New Roman"/>
          <w:color w:val="auto"/>
        </w:rPr>
      </w:pPr>
      <w:r>
        <w:rPr>
          <w:rFonts w:ascii="宋体" w:cs="Times New Roman"/>
          <w:color w:val="auto"/>
        </w:rPr>
        <w:br w:type="page"/>
      </w:r>
    </w:p>
    <w:p w14:paraId="58F15F77">
      <w:pPr>
        <w:pStyle w:val="7"/>
        <w:numPr>
          <w:ilvl w:val="4"/>
          <w:numId w:val="0"/>
        </w:numPr>
        <w:outlineLvl w:val="1"/>
        <w:rPr>
          <w:color w:val="auto"/>
        </w:rPr>
      </w:pPr>
      <w:r>
        <w:rPr>
          <w:rFonts w:hint="eastAsia"/>
          <w:color w:val="auto"/>
        </w:rPr>
        <w:t>附件3-5存在关联关系的</w:t>
      </w:r>
      <w:r>
        <w:rPr>
          <w:rFonts w:hint="eastAsia"/>
          <w:color w:val="auto"/>
          <w:lang w:eastAsia="zh-CN"/>
        </w:rPr>
        <w:t>供应商</w:t>
      </w:r>
      <w:r>
        <w:rPr>
          <w:rFonts w:hint="eastAsia"/>
          <w:color w:val="auto"/>
        </w:rPr>
        <w:t>不参与</w:t>
      </w:r>
      <w:r>
        <w:rPr>
          <w:rFonts w:hint="eastAsia"/>
          <w:color w:val="auto"/>
          <w:lang w:val="en-US" w:eastAsia="zh-CN"/>
        </w:rPr>
        <w:t>谈判</w:t>
      </w:r>
      <w:r>
        <w:rPr>
          <w:rFonts w:hint="eastAsia"/>
          <w:color w:val="auto"/>
        </w:rPr>
        <w:t>项目竞争的承诺书</w:t>
      </w:r>
    </w:p>
    <w:p w14:paraId="1C5E2EF5">
      <w:pPr>
        <w:pStyle w:val="45"/>
        <w:spacing w:before="156"/>
        <w:ind w:firstLine="0" w:firstLineChars="0"/>
        <w:jc w:val="center"/>
        <w:rPr>
          <w:rFonts w:ascii="方正小标宋_GBK" w:hAnsi="方正小标宋_GBK" w:eastAsia="方正小标宋_GBK" w:cs="方正小标宋_GBK"/>
          <w:color w:val="auto"/>
          <w:sz w:val="32"/>
          <w:szCs w:val="28"/>
        </w:rPr>
      </w:pPr>
    </w:p>
    <w:p w14:paraId="38C37E0E">
      <w:pPr>
        <w:pStyle w:val="45"/>
        <w:spacing w:before="156"/>
        <w:ind w:firstLine="0" w:firstLineChars="0"/>
        <w:jc w:val="center"/>
        <w:rPr>
          <w:color w:val="auto"/>
        </w:rPr>
      </w:pPr>
      <w:r>
        <w:rPr>
          <w:rFonts w:hint="eastAsia" w:ascii="方正小标宋_GBK" w:hAnsi="方正小标宋_GBK" w:eastAsia="方正小标宋_GBK" w:cs="方正小标宋_GBK"/>
          <w:color w:val="auto"/>
          <w:sz w:val="32"/>
          <w:szCs w:val="28"/>
        </w:rPr>
        <w:t>存在关联关系的</w:t>
      </w:r>
      <w:r>
        <w:rPr>
          <w:rFonts w:hint="eastAsia" w:ascii="方正小标宋_GBK" w:hAnsi="方正小标宋_GBK" w:eastAsia="方正小标宋_GBK" w:cs="方正小标宋_GBK"/>
          <w:color w:val="auto"/>
          <w:sz w:val="32"/>
          <w:szCs w:val="28"/>
          <w:lang w:eastAsia="zh-CN"/>
        </w:rPr>
        <w:t>供应商</w:t>
      </w:r>
      <w:r>
        <w:rPr>
          <w:rFonts w:hint="eastAsia" w:ascii="方正小标宋_GBK" w:hAnsi="方正小标宋_GBK" w:eastAsia="方正小标宋_GBK" w:cs="方正小标宋_GBK"/>
          <w:color w:val="auto"/>
          <w:sz w:val="32"/>
          <w:szCs w:val="28"/>
        </w:rPr>
        <w:t>不参与</w:t>
      </w:r>
      <w:r>
        <w:rPr>
          <w:rFonts w:hint="eastAsia" w:ascii="方正小标宋_GBK" w:hAnsi="方正小标宋_GBK" w:eastAsia="方正小标宋_GBK" w:cs="方正小标宋_GBK"/>
          <w:color w:val="auto"/>
          <w:sz w:val="32"/>
          <w:szCs w:val="28"/>
          <w:lang w:val="en-US" w:eastAsia="zh-CN"/>
        </w:rPr>
        <w:t>谈判</w:t>
      </w:r>
      <w:r>
        <w:rPr>
          <w:rFonts w:hint="eastAsia" w:ascii="方正小标宋_GBK" w:hAnsi="方正小标宋_GBK" w:eastAsia="方正小标宋_GBK" w:cs="方正小标宋_GBK"/>
          <w:color w:val="auto"/>
          <w:sz w:val="32"/>
          <w:szCs w:val="28"/>
        </w:rPr>
        <w:t>项目竞争的承诺书</w:t>
      </w:r>
    </w:p>
    <w:p w14:paraId="63BBAD67">
      <w:pPr>
        <w:pStyle w:val="45"/>
        <w:spacing w:before="156"/>
        <w:ind w:firstLine="0" w:firstLineChars="0"/>
        <w:rPr>
          <w:color w:val="auto"/>
        </w:rPr>
      </w:pPr>
    </w:p>
    <w:p w14:paraId="3A8DAA66">
      <w:pPr>
        <w:pStyle w:val="45"/>
        <w:spacing w:before="240"/>
        <w:ind w:firstLine="480"/>
      </w:pPr>
      <w:r>
        <w:rPr>
          <w:rFonts w:hint="eastAsia"/>
        </w:rPr>
        <w:t>根据《政府采购法实施条例》第十八条的规定，本公司郑重承诺：</w:t>
      </w:r>
    </w:p>
    <w:p w14:paraId="3A045705">
      <w:pPr>
        <w:pStyle w:val="45"/>
        <w:spacing w:before="240"/>
        <w:ind w:firstLine="480"/>
      </w:pPr>
      <w:r>
        <w:rPr>
          <w:rFonts w:hint="eastAsia"/>
        </w:rPr>
        <w:t>1、本公司与参与该项目的其他供应商不存在单位负责人为同一人或者存在直接控股、管理关系。</w:t>
      </w:r>
    </w:p>
    <w:p w14:paraId="2E2108D6">
      <w:pPr>
        <w:pStyle w:val="45"/>
        <w:spacing w:before="240"/>
        <w:ind w:firstLine="480"/>
      </w:pPr>
      <w:r>
        <w:rPr>
          <w:rFonts w:hint="eastAsia"/>
        </w:rPr>
        <w:t>2、为本项目提供整体设计、规范编制或者项目管理、监理、检测等服务的供应商，不参加该采购项目的其他采购活动。</w:t>
      </w:r>
    </w:p>
    <w:p w14:paraId="4AC303EC">
      <w:pPr>
        <w:pStyle w:val="45"/>
        <w:spacing w:before="156"/>
        <w:ind w:firstLine="480"/>
        <w:rPr>
          <w:color w:val="auto"/>
        </w:rPr>
      </w:pPr>
      <w:r>
        <w:rPr>
          <w:rFonts w:hint="eastAsia"/>
        </w:rPr>
        <w:t>本公司对上述承诺的真实性负责。如有虚假，依法承担相应的法律责任</w:t>
      </w:r>
      <w:r>
        <w:rPr>
          <w:rFonts w:hint="eastAsia"/>
          <w:color w:val="auto"/>
        </w:rPr>
        <w:t>。</w:t>
      </w:r>
    </w:p>
    <w:tbl>
      <w:tblPr>
        <w:tblStyle w:val="35"/>
        <w:tblpPr w:leftFromText="180" w:rightFromText="180" w:vertAnchor="text" w:horzAnchor="page" w:tblpX="1307" w:tblpY="298"/>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8"/>
        <w:gridCol w:w="1719"/>
        <w:gridCol w:w="1185"/>
        <w:gridCol w:w="2602"/>
      </w:tblGrid>
      <w:tr w14:paraId="026E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4018" w:type="dxa"/>
            <w:tcBorders>
              <w:top w:val="nil"/>
              <w:left w:val="nil"/>
              <w:bottom w:val="nil"/>
              <w:right w:val="nil"/>
            </w:tcBorders>
            <w:vAlign w:val="center"/>
          </w:tcPr>
          <w:p w14:paraId="020413D3">
            <w:pPr>
              <w:pStyle w:val="45"/>
              <w:spacing w:before="156" w:line="240" w:lineRule="auto"/>
              <w:ind w:firstLine="0" w:firstLineChars="0"/>
              <w:jc w:val="distribute"/>
              <w:rPr>
                <w:color w:val="auto"/>
              </w:rPr>
            </w:pPr>
            <w:r>
              <w:rPr>
                <w:rFonts w:hint="eastAsia"/>
                <w:bCs/>
                <w:color w:val="auto"/>
                <w:lang w:eastAsia="zh-CN"/>
              </w:rPr>
              <w:t>供应商</w:t>
            </w:r>
            <w:r>
              <w:rPr>
                <w:rFonts w:hint="eastAsia"/>
                <w:bCs/>
                <w:color w:val="auto"/>
              </w:rPr>
              <w:t>名称（加盖公章）</w:t>
            </w:r>
            <w:r>
              <w:rPr>
                <w:rFonts w:hint="eastAsia"/>
                <w:color w:val="auto"/>
              </w:rPr>
              <w:t>：</w:t>
            </w:r>
          </w:p>
        </w:tc>
        <w:tc>
          <w:tcPr>
            <w:tcW w:w="5506" w:type="dxa"/>
            <w:gridSpan w:val="3"/>
            <w:tcBorders>
              <w:top w:val="nil"/>
              <w:left w:val="nil"/>
              <w:bottom w:val="nil"/>
              <w:right w:val="nil"/>
            </w:tcBorders>
            <w:vAlign w:val="center"/>
          </w:tcPr>
          <w:p w14:paraId="0AAE9DE7">
            <w:pPr>
              <w:pStyle w:val="45"/>
              <w:spacing w:before="156" w:line="540" w:lineRule="exact"/>
              <w:ind w:firstLine="480"/>
              <w:jc w:val="center"/>
              <w:rPr>
                <w:color w:val="auto"/>
              </w:rPr>
            </w:pPr>
          </w:p>
        </w:tc>
      </w:tr>
      <w:tr w14:paraId="75A7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18" w:type="dxa"/>
            <w:tcBorders>
              <w:top w:val="nil"/>
              <w:left w:val="nil"/>
              <w:bottom w:val="nil"/>
              <w:right w:val="nil"/>
            </w:tcBorders>
            <w:vAlign w:val="center"/>
          </w:tcPr>
          <w:p w14:paraId="0BE2AC5D">
            <w:pPr>
              <w:pStyle w:val="45"/>
              <w:spacing w:before="156" w:line="540" w:lineRule="exact"/>
              <w:ind w:firstLine="0" w:firstLineChars="0"/>
              <w:rPr>
                <w:color w:val="auto"/>
              </w:rPr>
            </w:pPr>
          </w:p>
        </w:tc>
        <w:tc>
          <w:tcPr>
            <w:tcW w:w="1719" w:type="dxa"/>
            <w:tcBorders>
              <w:top w:val="nil"/>
              <w:left w:val="nil"/>
              <w:bottom w:val="nil"/>
              <w:right w:val="nil"/>
            </w:tcBorders>
            <w:vAlign w:val="center"/>
          </w:tcPr>
          <w:p w14:paraId="4BFBD7B4">
            <w:pPr>
              <w:pStyle w:val="45"/>
              <w:spacing w:before="156" w:line="540" w:lineRule="exact"/>
              <w:ind w:firstLine="0" w:firstLineChars="0"/>
              <w:jc w:val="center"/>
              <w:rPr>
                <w:color w:val="auto"/>
              </w:rPr>
            </w:pPr>
          </w:p>
        </w:tc>
        <w:tc>
          <w:tcPr>
            <w:tcW w:w="1185" w:type="dxa"/>
            <w:tcBorders>
              <w:top w:val="nil"/>
              <w:left w:val="nil"/>
              <w:bottom w:val="nil"/>
              <w:right w:val="nil"/>
            </w:tcBorders>
            <w:vAlign w:val="center"/>
          </w:tcPr>
          <w:p w14:paraId="1DF760B2">
            <w:pPr>
              <w:pStyle w:val="45"/>
              <w:spacing w:before="156"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EB5E910">
            <w:pPr>
              <w:pStyle w:val="45"/>
              <w:spacing w:before="156" w:line="240" w:lineRule="auto"/>
              <w:ind w:firstLine="0" w:firstLineChars="0"/>
              <w:jc w:val="right"/>
              <w:rPr>
                <w:color w:val="auto"/>
              </w:rPr>
            </w:pPr>
            <w:r>
              <w:rPr>
                <w:rFonts w:hint="eastAsia"/>
                <w:color w:val="auto"/>
              </w:rPr>
              <w:t>年   月   日</w:t>
            </w:r>
          </w:p>
        </w:tc>
      </w:tr>
    </w:tbl>
    <w:p w14:paraId="10B7CB55">
      <w:pPr>
        <w:rPr>
          <w:color w:val="auto"/>
        </w:rPr>
      </w:pPr>
      <w:r>
        <w:rPr>
          <w:rFonts w:hint="eastAsia"/>
          <w:color w:val="auto"/>
        </w:rPr>
        <w:br w:type="page"/>
      </w:r>
    </w:p>
    <w:p w14:paraId="792AB6EB">
      <w:pPr>
        <w:pStyle w:val="7"/>
        <w:numPr>
          <w:ilvl w:val="4"/>
          <w:numId w:val="0"/>
        </w:numPr>
        <w:rPr>
          <w:color w:val="auto"/>
        </w:rPr>
      </w:pPr>
      <w:r>
        <w:rPr>
          <w:rStyle w:val="47"/>
          <w:rFonts w:hint="eastAsia"/>
          <w:color w:val="auto"/>
        </w:rPr>
        <w:t>附件3-6</w:t>
      </w:r>
      <w:r>
        <w:rPr>
          <w:rFonts w:hint="eastAsia" w:ascii="Times New Roman" w:hAnsi="Times New Roman" w:eastAsia="黑体" w:cs="Times New Roman"/>
          <w:bCs w:val="0"/>
          <w:kern w:val="2"/>
          <w:sz w:val="24"/>
          <w:szCs w:val="24"/>
          <w:lang w:val="en-US" w:eastAsia="zh-CN" w:bidi="ar-SA"/>
        </w:rPr>
        <w:t>湖南省政府采购供应商资格承诺函</w:t>
      </w:r>
    </w:p>
    <w:p w14:paraId="26602056">
      <w:pPr>
        <w:pStyle w:val="45"/>
        <w:spacing w:before="240"/>
        <w:ind w:firstLine="640"/>
        <w:jc w:val="center"/>
        <w:rPr>
          <w:rFonts w:hint="eastAsia" w:ascii="方正小标宋_GBK" w:hAnsi="方正小标宋_GBK" w:eastAsia="方正小标宋_GBK" w:cs="方正小标宋_GBK"/>
          <w:sz w:val="32"/>
          <w:szCs w:val="28"/>
        </w:rPr>
      </w:pPr>
      <w:r>
        <w:rPr>
          <w:rFonts w:hint="eastAsia" w:ascii="方正小标宋_GBK" w:hAnsi="方正小标宋_GBK" w:eastAsia="方正小标宋_GBK" w:cs="方正小标宋_GBK"/>
          <w:sz w:val="32"/>
          <w:szCs w:val="28"/>
        </w:rPr>
        <w:t>湖南省政府采购供应商资格承诺函</w:t>
      </w:r>
    </w:p>
    <w:p w14:paraId="23E512A5">
      <w:pPr>
        <w:pStyle w:val="45"/>
        <w:bidi w:val="0"/>
        <w:rPr>
          <w:rFonts w:hint="eastAsia" w:ascii="宋体" w:hAnsi="宋体" w:eastAsia="宋体" w:cs="宋体"/>
          <w:sz w:val="24"/>
          <w:szCs w:val="24"/>
        </w:rPr>
      </w:pPr>
      <w:r>
        <w:rPr>
          <w:rFonts w:hint="eastAsia" w:ascii="宋体" w:hAnsi="宋体" w:eastAsia="宋体" w:cs="宋体"/>
          <w:sz w:val="24"/>
          <w:szCs w:val="24"/>
        </w:rPr>
        <w:t xml:space="preserve"> 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C9A1AE4">
      <w:pPr>
        <w:pStyle w:val="45"/>
        <w:bidi w:val="0"/>
        <w:rPr>
          <w:rFonts w:hint="eastAsia" w:ascii="宋体" w:hAnsi="宋体" w:eastAsia="宋体" w:cs="宋体"/>
          <w:sz w:val="24"/>
          <w:szCs w:val="24"/>
        </w:rPr>
      </w:pPr>
      <w:r>
        <w:rPr>
          <w:rFonts w:hint="eastAsia" w:ascii="宋体" w:hAnsi="宋体" w:eastAsia="宋体" w:cs="宋体"/>
          <w:sz w:val="24"/>
          <w:szCs w:val="24"/>
        </w:rPr>
        <w:t>按照《 政府采购促进中小企业发展管理办法 》（ 财库〔2020〕46 号），本公司企业规模为：大型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中型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小型</w:t>
      </w:r>
      <w:r>
        <w:rPr>
          <w:rFonts w:hint="eastAsia" w:ascii="宋体" w:hAnsi="宋体" w:eastAsia="宋体" w:cs="宋体"/>
          <w:sz w:val="24"/>
          <w:szCs w:val="24"/>
        </w:rPr>
        <w:sym w:font="Wingdings 2" w:char="00A3"/>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微型</w:t>
      </w:r>
      <w:r>
        <w:rPr>
          <w:rFonts w:hint="eastAsia" w:ascii="宋体" w:hAnsi="宋体" w:eastAsia="宋体" w:cs="宋体"/>
          <w:sz w:val="24"/>
          <w:szCs w:val="24"/>
        </w:rPr>
        <w:sym w:font="Wingdings 2" w:char="00A3"/>
      </w:r>
    </w:p>
    <w:p w14:paraId="26AFC592">
      <w:pPr>
        <w:pStyle w:val="45"/>
        <w:bidi w:val="0"/>
        <w:rPr>
          <w:rFonts w:hint="eastAsia" w:ascii="宋体" w:hAnsi="宋体" w:eastAsia="宋体" w:cs="宋体"/>
          <w:sz w:val="24"/>
          <w:szCs w:val="24"/>
        </w:rPr>
      </w:pPr>
      <w:r>
        <w:rPr>
          <w:rFonts w:hint="eastAsia" w:ascii="宋体" w:hAnsi="宋体" w:eastAsia="宋体" w:cs="宋体"/>
          <w:sz w:val="24"/>
          <w:szCs w:val="24"/>
        </w:rPr>
        <w:sym w:font="Wingdings 2" w:char="00A3"/>
      </w:r>
      <w:r>
        <w:rPr>
          <w:rFonts w:hint="eastAsia" w:ascii="宋体" w:hAnsi="宋体" w:eastAsia="宋体" w:cs="宋体"/>
          <w:sz w:val="24"/>
          <w:szCs w:val="24"/>
        </w:rPr>
        <w:t>本公司自愿入驻湖南省政府采购电子卖场，遵守《湖南省政府采购电子卖场管理办法》（湘财购〔2019〕27 号），如违反承诺，同意金融机构将增信保证划缴国库（非电子卖场采购活动项目不需勾选）。</w:t>
      </w:r>
    </w:p>
    <w:p w14:paraId="3089CB2B">
      <w:pPr>
        <w:pStyle w:val="45"/>
        <w:bidi w:val="0"/>
        <w:ind w:firstLine="6000" w:firstLineChars="2500"/>
        <w:rPr>
          <w:rFonts w:hint="eastAsia" w:ascii="宋体" w:hAnsi="宋体" w:eastAsia="宋体" w:cs="宋体"/>
          <w:sz w:val="24"/>
          <w:szCs w:val="24"/>
        </w:rPr>
      </w:pPr>
      <w:r>
        <w:rPr>
          <w:rFonts w:hint="eastAsia" w:ascii="宋体" w:hAnsi="宋体" w:eastAsia="宋体" w:cs="宋体"/>
          <w:sz w:val="24"/>
          <w:szCs w:val="24"/>
        </w:rPr>
        <w:t>公司（单位）名称（盖章）</w:t>
      </w:r>
    </w:p>
    <w:p w14:paraId="2EB98B19">
      <w:pPr>
        <w:pStyle w:val="45"/>
        <w:bidi w:val="0"/>
        <w:ind w:left="0" w:leftChars="0" w:firstLine="6000" w:firstLineChars="2500"/>
        <w:rPr>
          <w:rFonts w:hint="eastAsia" w:ascii="宋体" w:hAnsi="宋体" w:eastAsia="宋体" w:cs="宋体"/>
          <w:color w:val="auto"/>
          <w:sz w:val="24"/>
          <w:szCs w:val="24"/>
        </w:rPr>
      </w:pP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 xml:space="preserve"> 日</w:t>
      </w:r>
    </w:p>
    <w:p w14:paraId="3A07D8EB">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机构代码</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注册登记机构</w:t>
      </w:r>
      <w:r>
        <w:rPr>
          <w:rFonts w:hint="eastAsia" w:ascii="宋体" w:hAnsi="宋体" w:eastAsia="宋体" w:cs="宋体"/>
          <w:color w:val="auto"/>
          <w:sz w:val="24"/>
          <w:szCs w:val="24"/>
          <w:u w:val="single"/>
          <w:lang w:val="en-US" w:eastAsia="zh-CN"/>
        </w:rPr>
        <w:t xml:space="preserve">                         </w:t>
      </w:r>
    </w:p>
    <w:p w14:paraId="15CAD3B8">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有效期</w:t>
      </w:r>
      <w:r>
        <w:rPr>
          <w:rFonts w:hint="eastAsia" w:ascii="宋体" w:hAnsi="宋体" w:eastAsia="宋体" w:cs="宋体"/>
          <w:color w:val="auto"/>
          <w:sz w:val="24"/>
          <w:szCs w:val="24"/>
          <w:u w:val="single"/>
          <w:lang w:val="en-US" w:eastAsia="zh-CN"/>
        </w:rPr>
        <w:t xml:space="preserve">                               </w:t>
      </w:r>
    </w:p>
    <w:p w14:paraId="7CD113E1">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注册资本</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地</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址</w:t>
      </w:r>
      <w:r>
        <w:rPr>
          <w:rFonts w:hint="eastAsia" w:ascii="宋体" w:hAnsi="宋体" w:eastAsia="宋体" w:cs="宋体"/>
          <w:color w:val="auto"/>
          <w:sz w:val="24"/>
          <w:szCs w:val="24"/>
          <w:u w:val="single"/>
          <w:lang w:val="en-US" w:eastAsia="zh-CN"/>
        </w:rPr>
        <w:t xml:space="preserve">                               </w:t>
      </w:r>
    </w:p>
    <w:p w14:paraId="2082587D">
      <w:pPr>
        <w:pStyle w:val="45"/>
        <w:bidi w:val="0"/>
        <w:ind w:firstLine="480" w:firstLineChars="200"/>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经济行业</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rPr>
        <w:t>经济性质</w:t>
      </w:r>
      <w:r>
        <w:rPr>
          <w:rFonts w:hint="eastAsia" w:ascii="宋体" w:hAnsi="宋体" w:eastAsia="宋体" w:cs="宋体"/>
          <w:color w:val="auto"/>
          <w:sz w:val="24"/>
          <w:szCs w:val="24"/>
          <w:u w:val="single"/>
          <w:lang w:val="en-US" w:eastAsia="zh-CN"/>
        </w:rPr>
        <w:t xml:space="preserve">                             </w:t>
      </w:r>
    </w:p>
    <w:p w14:paraId="62410F6D">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法定代表人（负责人）姓名（签字）</w:t>
      </w:r>
      <w:r>
        <w:rPr>
          <w:rFonts w:hint="eastAsia" w:ascii="宋体" w:hAnsi="宋体" w:eastAsia="宋体" w:cs="宋体"/>
          <w:color w:val="auto"/>
          <w:sz w:val="24"/>
          <w:szCs w:val="24"/>
          <w:lang w:eastAsia="zh-CN"/>
        </w:rPr>
        <w:t>：</w:t>
      </w:r>
    </w:p>
    <w:p w14:paraId="722633CD">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0361D7B6">
      <w:pPr>
        <w:pStyle w:val="45"/>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1E1EF1B4">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授权代表人姓名（签字）</w:t>
      </w:r>
      <w:r>
        <w:rPr>
          <w:rFonts w:hint="eastAsia" w:ascii="宋体" w:hAnsi="宋体" w:eastAsia="宋体" w:cs="宋体"/>
          <w:color w:val="auto"/>
          <w:sz w:val="24"/>
          <w:szCs w:val="24"/>
          <w:lang w:eastAsia="zh-CN"/>
        </w:rPr>
        <w:t>：</w:t>
      </w:r>
    </w:p>
    <w:p w14:paraId="2473C4A8">
      <w:pPr>
        <w:pStyle w:val="45"/>
        <w:bidi w:val="0"/>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身份证号</w:t>
      </w:r>
      <w:r>
        <w:rPr>
          <w:rFonts w:hint="eastAsia" w:ascii="宋体" w:hAnsi="宋体" w:eastAsia="宋体" w:cs="宋体"/>
          <w:color w:val="auto"/>
          <w:sz w:val="24"/>
          <w:szCs w:val="24"/>
          <w:lang w:eastAsia="zh-CN"/>
        </w:rPr>
        <w:t>：</w:t>
      </w:r>
    </w:p>
    <w:p w14:paraId="5498AF10">
      <w:pPr>
        <w:pStyle w:val="45"/>
        <w:bidi w:val="0"/>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手机号：</w:t>
      </w:r>
    </w:p>
    <w:p w14:paraId="2EAE0E8F">
      <w:pPr>
        <w:pStyle w:val="16"/>
        <w:bidi w:val="0"/>
        <w:ind w:firstLine="400" w:firstLineChars="200"/>
        <w:rPr>
          <w:rFonts w:hint="eastAsia"/>
        </w:rPr>
      </w:pPr>
    </w:p>
    <w:p w14:paraId="2D5A796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cs="Times New Roman"/>
          <w:color w:val="auto"/>
          <w:sz w:val="21"/>
          <w:szCs w:val="21"/>
        </w:rPr>
      </w:pPr>
      <w:r>
        <w:rPr>
          <w:rFonts w:hint="eastAsia"/>
          <w:sz w:val="21"/>
          <w:szCs w:val="21"/>
        </w:rPr>
        <w:t>为方便广大中小企业识别企业规模类型，工业和信息化部组织开发了中小企业规模类型自测小程序，在国务院客户端和工业和信息化部网站上（http://202.106.120.146/baosong/appweb/orgScale.html）均有链接，</w:t>
      </w:r>
      <w:r>
        <w:rPr>
          <w:rFonts w:hint="eastAsia"/>
          <w:sz w:val="21"/>
          <w:szCs w:val="21"/>
          <w:lang w:val="en-US" w:eastAsia="zh-CN"/>
        </w:rPr>
        <w:t>供应商</w:t>
      </w:r>
      <w:r>
        <w:rPr>
          <w:rFonts w:hint="eastAsia"/>
          <w:sz w:val="21"/>
          <w:szCs w:val="21"/>
        </w:rPr>
        <w:t>填写所属的行业和指标数据可自动生成企业规模类型测试结果。</w:t>
      </w:r>
    </w:p>
    <w:p w14:paraId="184C32AD">
      <w:pPr>
        <w:rPr>
          <w:rFonts w:hint="eastAsia" w:ascii="宋体" w:cs="Times New Roman"/>
          <w:color w:val="auto"/>
        </w:rPr>
      </w:pPr>
      <w:r>
        <w:rPr>
          <w:rFonts w:hint="eastAsia" w:ascii="宋体" w:cs="Times New Roman"/>
          <w:color w:val="auto"/>
        </w:rPr>
        <w:br w:type="page"/>
      </w:r>
    </w:p>
    <w:p w14:paraId="1C474BE5">
      <w:pPr>
        <w:pStyle w:val="7"/>
        <w:numPr>
          <w:ilvl w:val="4"/>
          <w:numId w:val="0"/>
        </w:numPr>
        <w:rPr>
          <w:color w:val="auto"/>
        </w:rPr>
      </w:pPr>
      <w:r>
        <w:rPr>
          <w:rStyle w:val="47"/>
          <w:rFonts w:hint="eastAsia"/>
          <w:color w:val="auto"/>
        </w:rPr>
        <w:t>附件3-</w:t>
      </w:r>
      <w:r>
        <w:rPr>
          <w:rStyle w:val="47"/>
          <w:rFonts w:hint="eastAsia"/>
          <w:color w:val="auto"/>
          <w:lang w:val="en-US" w:eastAsia="zh-CN"/>
        </w:rPr>
        <w:t>7谈判</w:t>
      </w:r>
      <w:r>
        <w:rPr>
          <w:rStyle w:val="47"/>
          <w:rFonts w:hint="eastAsia"/>
          <w:color w:val="auto"/>
        </w:rPr>
        <w:t>文件规定的特定资格条件证明资料</w:t>
      </w:r>
    </w:p>
    <w:p w14:paraId="76DC9C11">
      <w:pPr>
        <w:pStyle w:val="45"/>
        <w:spacing w:before="156"/>
        <w:ind w:firstLine="640"/>
        <w:jc w:val="center"/>
        <w:rPr>
          <w:color w:val="auto"/>
        </w:rPr>
      </w:pPr>
      <w:r>
        <w:rPr>
          <w:rFonts w:hint="eastAsia" w:ascii="方正小标宋_GBK" w:eastAsia="方正小标宋_GBK" w:cs="方正小标宋_GBK"/>
          <w:color w:val="auto"/>
          <w:sz w:val="32"/>
          <w:szCs w:val="28"/>
          <w:lang w:val="en-US" w:eastAsia="zh-CN"/>
        </w:rPr>
        <w:t>谈判</w:t>
      </w:r>
      <w:r>
        <w:rPr>
          <w:rFonts w:hint="eastAsia" w:ascii="方正小标宋_GBK" w:eastAsia="方正小标宋_GBK" w:cs="方正小标宋_GBK"/>
          <w:color w:val="auto"/>
          <w:sz w:val="32"/>
          <w:szCs w:val="28"/>
        </w:rPr>
        <w:t>文件规定的特定资格条件证明资料</w:t>
      </w:r>
    </w:p>
    <w:p w14:paraId="4845CA4B">
      <w:pPr>
        <w:spacing w:line="480" w:lineRule="exact"/>
        <w:rPr>
          <w:rFonts w:ascii="宋体" w:cs="Times New Roman"/>
          <w:color w:val="auto"/>
        </w:rPr>
      </w:pPr>
      <w:r>
        <w:rPr>
          <w:rFonts w:hint="eastAsia" w:ascii="宋体" w:cs="Times New Roman"/>
          <w:color w:val="auto"/>
        </w:rPr>
        <w:t xml:space="preserve">备注：提供第一章 </w:t>
      </w:r>
      <w:r>
        <w:rPr>
          <w:rFonts w:hint="eastAsia" w:ascii="宋体" w:cs="Times New Roman"/>
          <w:b/>
          <w:bCs/>
          <w:color w:val="auto"/>
          <w:lang w:val="en-US" w:eastAsia="zh-CN"/>
        </w:rPr>
        <w:t>竞争性谈判</w:t>
      </w:r>
      <w:r>
        <w:rPr>
          <w:rFonts w:hint="eastAsia" w:ascii="宋体" w:cs="Times New Roman"/>
          <w:b/>
          <w:color w:val="auto"/>
        </w:rPr>
        <w:t>公告</w:t>
      </w:r>
      <w:r>
        <w:rPr>
          <w:rFonts w:hint="eastAsia" w:ascii="宋体" w:cs="Times New Roman"/>
          <w:color w:val="auto"/>
        </w:rPr>
        <w:t>第</w:t>
      </w:r>
      <w:r>
        <w:rPr>
          <w:rFonts w:hint="eastAsia" w:ascii="宋体" w:cs="Times New Roman"/>
          <w:color w:val="auto"/>
          <w:lang w:val="en-US" w:eastAsia="zh-CN"/>
        </w:rPr>
        <w:t>五</w:t>
      </w:r>
      <w:r>
        <w:rPr>
          <w:rFonts w:hint="eastAsia" w:ascii="宋体" w:cs="Times New Roman"/>
          <w:color w:val="auto"/>
        </w:rPr>
        <w:t>条</w:t>
      </w:r>
      <w:r>
        <w:rPr>
          <w:rFonts w:hint="eastAsia" w:ascii="宋体" w:cs="Times New Roman"/>
          <w:color w:val="auto"/>
          <w:lang w:eastAsia="zh-CN"/>
        </w:rPr>
        <w:t>供应商</w:t>
      </w:r>
      <w:r>
        <w:rPr>
          <w:rFonts w:hint="eastAsia" w:ascii="宋体" w:cs="Times New Roman"/>
          <w:color w:val="auto"/>
        </w:rPr>
        <w:t>特定资格条件证明资料的复印件。</w:t>
      </w:r>
    </w:p>
    <w:p w14:paraId="0F364316">
      <w:pPr>
        <w:rPr>
          <w:rFonts w:ascii="宋体" w:cs="Times New Roman"/>
          <w:color w:val="auto"/>
        </w:rPr>
      </w:pPr>
      <w:r>
        <w:rPr>
          <w:rFonts w:hint="eastAsia" w:ascii="宋体" w:cs="Times New Roman"/>
          <w:color w:val="auto"/>
        </w:rPr>
        <w:br w:type="page"/>
      </w:r>
    </w:p>
    <w:p w14:paraId="5E886818">
      <w:pPr>
        <w:pStyle w:val="4"/>
        <w:numPr>
          <w:ilvl w:val="0"/>
          <w:numId w:val="0"/>
        </w:numPr>
        <w:spacing w:before="156"/>
        <w:ind w:left="0" w:leftChars="0" w:firstLine="420" w:firstLineChars="0"/>
        <w:jc w:val="center"/>
        <w:rPr>
          <w:rFonts w:hint="eastAsia" w:eastAsia="黑体"/>
          <w:color w:val="auto"/>
          <w:lang w:val="en-US" w:eastAsia="zh-CN"/>
        </w:rPr>
      </w:pPr>
      <w:bookmarkStart w:id="92" w:name="_Toc12190"/>
      <w:bookmarkStart w:id="93" w:name="_Toc9889"/>
      <w:bookmarkStart w:id="94" w:name="_Toc1372"/>
      <w:bookmarkStart w:id="95" w:name="_Toc15899"/>
      <w:bookmarkStart w:id="96" w:name="_Toc10106"/>
      <w:r>
        <w:rPr>
          <w:rFonts w:hint="eastAsia" w:ascii="Arial" w:hAnsi="Arial" w:eastAsia="黑体" w:cs="Times New Roman"/>
          <w:color w:val="auto"/>
          <w:kern w:val="2"/>
          <w:sz w:val="30"/>
          <w:szCs w:val="24"/>
          <w:lang w:val="en-US" w:eastAsia="zh-CN" w:bidi="ar-SA"/>
        </w:rPr>
        <w:t>四、</w:t>
      </w:r>
      <w:r>
        <w:rPr>
          <w:rFonts w:hint="eastAsia"/>
          <w:color w:val="auto"/>
          <w:lang w:val="en-US" w:eastAsia="zh-CN"/>
        </w:rPr>
        <w:t>谈判</w:t>
      </w:r>
      <w:r>
        <w:rPr>
          <w:rFonts w:hint="eastAsia"/>
          <w:color w:val="auto"/>
        </w:rPr>
        <w:t>响应</w:t>
      </w:r>
      <w:bookmarkEnd w:id="92"/>
      <w:bookmarkEnd w:id="93"/>
      <w:bookmarkEnd w:id="94"/>
      <w:bookmarkEnd w:id="95"/>
      <w:bookmarkEnd w:id="96"/>
      <w:r>
        <w:rPr>
          <w:rFonts w:hint="eastAsia"/>
          <w:color w:val="auto"/>
          <w:lang w:val="en-US" w:eastAsia="zh-CN"/>
        </w:rPr>
        <w:t>表</w:t>
      </w:r>
    </w:p>
    <w:p w14:paraId="6A61351A">
      <w:pPr>
        <w:pStyle w:val="7"/>
        <w:numPr>
          <w:ilvl w:val="4"/>
          <w:numId w:val="0"/>
        </w:numPr>
        <w:outlineLvl w:val="2"/>
        <w:rPr>
          <w:color w:val="auto"/>
        </w:rPr>
      </w:pPr>
      <w:r>
        <w:rPr>
          <w:rFonts w:hint="eastAsia"/>
          <w:color w:val="auto"/>
        </w:rPr>
        <w:t>附件4-1商务响应表</w:t>
      </w:r>
    </w:p>
    <w:p w14:paraId="6E4B173E">
      <w:pPr>
        <w:pStyle w:val="45"/>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商务响应表</w:t>
      </w:r>
    </w:p>
    <w:p w14:paraId="58944D22">
      <w:pPr>
        <w:pStyle w:val="45"/>
        <w:spacing w:before="156"/>
        <w:ind w:firstLine="640"/>
        <w:jc w:val="center"/>
        <w:rPr>
          <w:rFonts w:ascii="方正小标宋_GBK" w:hAnsi="方正小标宋_GBK" w:eastAsia="方正小标宋_GBK" w:cs="方正小标宋_GBK"/>
          <w:color w:val="auto"/>
          <w:sz w:val="32"/>
          <w:szCs w:val="32"/>
        </w:rPr>
      </w:pPr>
    </w:p>
    <w:tbl>
      <w:tblPr>
        <w:tblStyle w:val="34"/>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6163EF0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76B37DD2">
            <w:pPr>
              <w:pStyle w:val="44"/>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63E12F78">
            <w:pPr>
              <w:pStyle w:val="44"/>
              <w:rPr>
                <w:rFonts w:ascii="黑体" w:hAnsi="黑体" w:eastAsia="黑体" w:cs="黑体"/>
                <w:bCs/>
                <w:color w:val="auto"/>
                <w:sz w:val="21"/>
                <w:szCs w:val="21"/>
              </w:rPr>
            </w:pPr>
            <w:r>
              <w:rPr>
                <w:rFonts w:hint="eastAsia" w:ascii="黑体" w:hAnsi="黑体" w:eastAsia="黑体" w:cs="黑体"/>
                <w:bCs/>
                <w:color w:val="auto"/>
                <w:sz w:val="21"/>
                <w:szCs w:val="21"/>
              </w:rPr>
              <w:t>商务条款</w:t>
            </w:r>
          </w:p>
        </w:tc>
        <w:tc>
          <w:tcPr>
            <w:tcW w:w="3302" w:type="dxa"/>
            <w:tcBorders>
              <w:tl2br w:val="nil"/>
              <w:tr2bl w:val="nil"/>
            </w:tcBorders>
            <w:vAlign w:val="center"/>
          </w:tcPr>
          <w:p w14:paraId="26338943">
            <w:pPr>
              <w:pStyle w:val="44"/>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5607C42C">
            <w:pPr>
              <w:pStyle w:val="44"/>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165E1F76">
            <w:pPr>
              <w:pStyle w:val="44"/>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694A9036">
            <w:pPr>
              <w:pStyle w:val="44"/>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038B77E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D37D303">
            <w:pPr>
              <w:pStyle w:val="48"/>
              <w:rPr>
                <w:color w:val="auto"/>
              </w:rPr>
            </w:pPr>
            <w:r>
              <w:rPr>
                <w:color w:val="auto"/>
              </w:rPr>
              <w:t>1</w:t>
            </w:r>
          </w:p>
        </w:tc>
        <w:tc>
          <w:tcPr>
            <w:tcW w:w="1916" w:type="dxa"/>
            <w:tcBorders>
              <w:tl2br w:val="nil"/>
              <w:tr2bl w:val="nil"/>
            </w:tcBorders>
            <w:vAlign w:val="center"/>
          </w:tcPr>
          <w:p w14:paraId="269BCE15">
            <w:pPr>
              <w:pStyle w:val="48"/>
              <w:rPr>
                <w:color w:val="auto"/>
              </w:rPr>
            </w:pPr>
          </w:p>
        </w:tc>
        <w:tc>
          <w:tcPr>
            <w:tcW w:w="3302" w:type="dxa"/>
            <w:tcBorders>
              <w:tl2br w:val="nil"/>
              <w:tr2bl w:val="nil"/>
            </w:tcBorders>
            <w:vAlign w:val="center"/>
          </w:tcPr>
          <w:p w14:paraId="21C810A4">
            <w:pPr>
              <w:pStyle w:val="48"/>
              <w:rPr>
                <w:color w:val="auto"/>
              </w:rPr>
            </w:pPr>
          </w:p>
        </w:tc>
        <w:tc>
          <w:tcPr>
            <w:tcW w:w="2807" w:type="dxa"/>
            <w:tcBorders>
              <w:tl2br w:val="nil"/>
              <w:tr2bl w:val="nil"/>
            </w:tcBorders>
            <w:vAlign w:val="center"/>
          </w:tcPr>
          <w:p w14:paraId="45FA04A5">
            <w:pPr>
              <w:pStyle w:val="48"/>
              <w:rPr>
                <w:color w:val="auto"/>
              </w:rPr>
            </w:pPr>
          </w:p>
        </w:tc>
        <w:tc>
          <w:tcPr>
            <w:tcW w:w="1243" w:type="dxa"/>
            <w:tcBorders>
              <w:tl2br w:val="nil"/>
              <w:tr2bl w:val="nil"/>
            </w:tcBorders>
            <w:vAlign w:val="center"/>
          </w:tcPr>
          <w:p w14:paraId="53FC4324">
            <w:pPr>
              <w:pStyle w:val="48"/>
              <w:rPr>
                <w:color w:val="auto"/>
              </w:rPr>
            </w:pPr>
          </w:p>
        </w:tc>
      </w:tr>
      <w:tr w14:paraId="480845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56CC3E5">
            <w:pPr>
              <w:pStyle w:val="48"/>
              <w:rPr>
                <w:color w:val="auto"/>
              </w:rPr>
            </w:pPr>
            <w:r>
              <w:rPr>
                <w:color w:val="auto"/>
              </w:rPr>
              <w:t>2</w:t>
            </w:r>
          </w:p>
        </w:tc>
        <w:tc>
          <w:tcPr>
            <w:tcW w:w="1916" w:type="dxa"/>
            <w:tcBorders>
              <w:tl2br w:val="nil"/>
              <w:tr2bl w:val="nil"/>
            </w:tcBorders>
            <w:vAlign w:val="center"/>
          </w:tcPr>
          <w:p w14:paraId="4B18DC8E">
            <w:pPr>
              <w:pStyle w:val="48"/>
              <w:rPr>
                <w:color w:val="auto"/>
              </w:rPr>
            </w:pPr>
          </w:p>
        </w:tc>
        <w:tc>
          <w:tcPr>
            <w:tcW w:w="3302" w:type="dxa"/>
            <w:tcBorders>
              <w:tl2br w:val="nil"/>
              <w:tr2bl w:val="nil"/>
            </w:tcBorders>
            <w:vAlign w:val="center"/>
          </w:tcPr>
          <w:p w14:paraId="4C827D2B">
            <w:pPr>
              <w:pStyle w:val="48"/>
              <w:rPr>
                <w:color w:val="auto"/>
              </w:rPr>
            </w:pPr>
          </w:p>
        </w:tc>
        <w:tc>
          <w:tcPr>
            <w:tcW w:w="2807" w:type="dxa"/>
            <w:tcBorders>
              <w:tl2br w:val="nil"/>
              <w:tr2bl w:val="nil"/>
            </w:tcBorders>
            <w:vAlign w:val="center"/>
          </w:tcPr>
          <w:p w14:paraId="01004400">
            <w:pPr>
              <w:pStyle w:val="48"/>
              <w:rPr>
                <w:color w:val="auto"/>
              </w:rPr>
            </w:pPr>
          </w:p>
        </w:tc>
        <w:tc>
          <w:tcPr>
            <w:tcW w:w="1243" w:type="dxa"/>
            <w:tcBorders>
              <w:tl2br w:val="nil"/>
              <w:tr2bl w:val="nil"/>
            </w:tcBorders>
            <w:vAlign w:val="center"/>
          </w:tcPr>
          <w:p w14:paraId="727DE869">
            <w:pPr>
              <w:pStyle w:val="48"/>
              <w:rPr>
                <w:color w:val="auto"/>
              </w:rPr>
            </w:pPr>
          </w:p>
        </w:tc>
      </w:tr>
      <w:tr w14:paraId="14D7BF3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2241665">
            <w:pPr>
              <w:pStyle w:val="48"/>
              <w:rPr>
                <w:color w:val="auto"/>
              </w:rPr>
            </w:pPr>
            <w:r>
              <w:rPr>
                <w:rFonts w:hint="eastAsia"/>
                <w:color w:val="auto"/>
              </w:rPr>
              <w:t>3</w:t>
            </w:r>
          </w:p>
        </w:tc>
        <w:tc>
          <w:tcPr>
            <w:tcW w:w="1916" w:type="dxa"/>
            <w:tcBorders>
              <w:tl2br w:val="nil"/>
              <w:tr2bl w:val="nil"/>
            </w:tcBorders>
            <w:vAlign w:val="center"/>
          </w:tcPr>
          <w:p w14:paraId="0B167354">
            <w:pPr>
              <w:pStyle w:val="48"/>
              <w:rPr>
                <w:color w:val="auto"/>
              </w:rPr>
            </w:pPr>
          </w:p>
        </w:tc>
        <w:tc>
          <w:tcPr>
            <w:tcW w:w="3302" w:type="dxa"/>
            <w:tcBorders>
              <w:tl2br w:val="nil"/>
              <w:tr2bl w:val="nil"/>
            </w:tcBorders>
            <w:vAlign w:val="center"/>
          </w:tcPr>
          <w:p w14:paraId="0A7835C7">
            <w:pPr>
              <w:pStyle w:val="48"/>
              <w:rPr>
                <w:color w:val="auto"/>
              </w:rPr>
            </w:pPr>
          </w:p>
        </w:tc>
        <w:tc>
          <w:tcPr>
            <w:tcW w:w="2807" w:type="dxa"/>
            <w:tcBorders>
              <w:tl2br w:val="nil"/>
              <w:tr2bl w:val="nil"/>
            </w:tcBorders>
            <w:vAlign w:val="center"/>
          </w:tcPr>
          <w:p w14:paraId="5582C27F">
            <w:pPr>
              <w:pStyle w:val="48"/>
              <w:rPr>
                <w:color w:val="auto"/>
              </w:rPr>
            </w:pPr>
          </w:p>
        </w:tc>
        <w:tc>
          <w:tcPr>
            <w:tcW w:w="1243" w:type="dxa"/>
            <w:tcBorders>
              <w:tl2br w:val="nil"/>
              <w:tr2bl w:val="nil"/>
            </w:tcBorders>
            <w:vAlign w:val="center"/>
          </w:tcPr>
          <w:p w14:paraId="01F16E3B">
            <w:pPr>
              <w:pStyle w:val="48"/>
              <w:rPr>
                <w:color w:val="auto"/>
              </w:rPr>
            </w:pPr>
          </w:p>
        </w:tc>
      </w:tr>
      <w:tr w14:paraId="259E87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040D8B62">
            <w:pPr>
              <w:pStyle w:val="48"/>
              <w:rPr>
                <w:color w:val="auto"/>
              </w:rPr>
            </w:pPr>
            <w:r>
              <w:rPr>
                <w:rFonts w:hint="eastAsia"/>
                <w:color w:val="auto"/>
              </w:rPr>
              <w:t>4</w:t>
            </w:r>
          </w:p>
        </w:tc>
        <w:tc>
          <w:tcPr>
            <w:tcW w:w="1916" w:type="dxa"/>
            <w:tcBorders>
              <w:tl2br w:val="nil"/>
              <w:tr2bl w:val="nil"/>
            </w:tcBorders>
            <w:vAlign w:val="center"/>
          </w:tcPr>
          <w:p w14:paraId="7C777A5D">
            <w:pPr>
              <w:pStyle w:val="48"/>
              <w:rPr>
                <w:color w:val="auto"/>
              </w:rPr>
            </w:pPr>
          </w:p>
        </w:tc>
        <w:tc>
          <w:tcPr>
            <w:tcW w:w="3302" w:type="dxa"/>
            <w:tcBorders>
              <w:tl2br w:val="nil"/>
              <w:tr2bl w:val="nil"/>
            </w:tcBorders>
            <w:vAlign w:val="center"/>
          </w:tcPr>
          <w:p w14:paraId="09BCBC7D">
            <w:pPr>
              <w:pStyle w:val="48"/>
              <w:rPr>
                <w:color w:val="auto"/>
              </w:rPr>
            </w:pPr>
          </w:p>
        </w:tc>
        <w:tc>
          <w:tcPr>
            <w:tcW w:w="2807" w:type="dxa"/>
            <w:tcBorders>
              <w:tl2br w:val="nil"/>
              <w:tr2bl w:val="nil"/>
            </w:tcBorders>
            <w:vAlign w:val="center"/>
          </w:tcPr>
          <w:p w14:paraId="75846566">
            <w:pPr>
              <w:pStyle w:val="48"/>
              <w:rPr>
                <w:color w:val="auto"/>
              </w:rPr>
            </w:pPr>
          </w:p>
        </w:tc>
        <w:tc>
          <w:tcPr>
            <w:tcW w:w="1243" w:type="dxa"/>
            <w:tcBorders>
              <w:tl2br w:val="nil"/>
              <w:tr2bl w:val="nil"/>
            </w:tcBorders>
            <w:vAlign w:val="center"/>
          </w:tcPr>
          <w:p w14:paraId="3069BFD6">
            <w:pPr>
              <w:pStyle w:val="48"/>
              <w:rPr>
                <w:color w:val="auto"/>
              </w:rPr>
            </w:pPr>
          </w:p>
        </w:tc>
      </w:tr>
    </w:tbl>
    <w:p w14:paraId="58C2263A">
      <w:pPr>
        <w:pStyle w:val="45"/>
        <w:spacing w:before="156"/>
        <w:ind w:firstLine="480"/>
        <w:rPr>
          <w:color w:val="auto"/>
        </w:rPr>
      </w:pPr>
      <w:r>
        <w:rPr>
          <w:rFonts w:hint="eastAsia"/>
          <w:color w:val="auto"/>
        </w:rPr>
        <w:t>注：</w:t>
      </w:r>
    </w:p>
    <w:p w14:paraId="0F3415B1">
      <w:pPr>
        <w:pStyle w:val="45"/>
        <w:numPr>
          <w:ilvl w:val="0"/>
          <w:numId w:val="50"/>
        </w:numPr>
        <w:spacing w:before="156"/>
        <w:ind w:firstLine="480"/>
        <w:rPr>
          <w:color w:val="auto"/>
        </w:rPr>
      </w:pP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文件第三章项目需求中商务要求列入此表，按顺序逐项对照填写。</w:t>
      </w:r>
    </w:p>
    <w:p w14:paraId="71F1110D">
      <w:pPr>
        <w:pStyle w:val="45"/>
        <w:numPr>
          <w:ilvl w:val="0"/>
          <w:numId w:val="50"/>
        </w:numPr>
        <w:spacing w:before="156"/>
        <w:ind w:firstLine="480"/>
        <w:rPr>
          <w:color w:val="auto"/>
        </w:rPr>
      </w:pPr>
      <w:r>
        <w:rPr>
          <w:rFonts w:hint="eastAsia"/>
          <w:color w:val="auto"/>
          <w:lang w:eastAsia="zh-CN"/>
        </w:rPr>
        <w:t>供应商</w:t>
      </w:r>
      <w:r>
        <w:rPr>
          <w:rFonts w:hint="eastAsia"/>
          <w:color w:val="auto"/>
        </w:rPr>
        <w:t>必须据实填写，不得虚假填写，否则将取消其报价或成交资格。</w:t>
      </w:r>
    </w:p>
    <w:p w14:paraId="28FC21FC">
      <w:pPr>
        <w:pStyle w:val="45"/>
        <w:spacing w:before="156"/>
        <w:ind w:firstLine="482"/>
        <w:rPr>
          <w:b/>
          <w:bCs/>
          <w:color w:val="auto"/>
        </w:rPr>
      </w:pPr>
    </w:p>
    <w:tbl>
      <w:tblPr>
        <w:tblStyle w:val="35"/>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5725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12F43C0B">
            <w:pPr>
              <w:pStyle w:val="45"/>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0760F4ED">
            <w:pPr>
              <w:pStyle w:val="45"/>
              <w:spacing w:before="156" w:line="540" w:lineRule="exact"/>
              <w:ind w:firstLine="480"/>
              <w:jc w:val="center"/>
              <w:rPr>
                <w:color w:val="auto"/>
              </w:rPr>
            </w:pPr>
          </w:p>
        </w:tc>
      </w:tr>
      <w:tr w14:paraId="79D0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55D9F24">
            <w:pPr>
              <w:pStyle w:val="45"/>
              <w:spacing w:before="156" w:line="540" w:lineRule="exact"/>
              <w:ind w:firstLine="0" w:firstLineChars="0"/>
              <w:rPr>
                <w:color w:val="auto"/>
              </w:rPr>
            </w:pPr>
          </w:p>
        </w:tc>
        <w:tc>
          <w:tcPr>
            <w:tcW w:w="1672" w:type="dxa"/>
            <w:tcBorders>
              <w:top w:val="nil"/>
              <w:left w:val="nil"/>
              <w:bottom w:val="nil"/>
              <w:right w:val="nil"/>
            </w:tcBorders>
            <w:vAlign w:val="center"/>
          </w:tcPr>
          <w:p w14:paraId="02B658D0">
            <w:pPr>
              <w:pStyle w:val="45"/>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17C2E1CF">
            <w:pPr>
              <w:pStyle w:val="45"/>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75E7EA14">
            <w:pPr>
              <w:pStyle w:val="45"/>
              <w:spacing w:before="156" w:line="240" w:lineRule="auto"/>
              <w:ind w:firstLine="0" w:firstLineChars="0"/>
              <w:jc w:val="right"/>
              <w:rPr>
                <w:color w:val="auto"/>
              </w:rPr>
            </w:pPr>
            <w:r>
              <w:rPr>
                <w:rFonts w:hint="eastAsia"/>
                <w:color w:val="auto"/>
              </w:rPr>
              <w:t>年   月   日</w:t>
            </w:r>
          </w:p>
        </w:tc>
      </w:tr>
    </w:tbl>
    <w:p w14:paraId="5B833413">
      <w:pPr>
        <w:pStyle w:val="21"/>
        <w:tabs>
          <w:tab w:val="left" w:pos="6208"/>
        </w:tabs>
        <w:adjustRightInd w:val="0"/>
        <w:snapToGrid w:val="0"/>
        <w:spacing w:line="360" w:lineRule="auto"/>
        <w:ind w:left="-101" w:leftChars="-42"/>
        <w:rPr>
          <w:rFonts w:ascii="宋体" w:hAnsi="宋体"/>
          <w:bCs/>
          <w:color w:val="auto"/>
          <w:sz w:val="21"/>
          <w:szCs w:val="21"/>
        </w:rPr>
      </w:pPr>
    </w:p>
    <w:p w14:paraId="25533B4B">
      <w:pPr>
        <w:adjustRightInd w:val="0"/>
        <w:snapToGrid w:val="0"/>
        <w:spacing w:line="360" w:lineRule="auto"/>
        <w:rPr>
          <w:rFonts w:ascii="宋体" w:hAnsi="宋体" w:cs="Times New Roman"/>
          <w:color w:val="auto"/>
          <w:szCs w:val="21"/>
        </w:rPr>
      </w:pPr>
    </w:p>
    <w:p w14:paraId="02057CBC">
      <w:pPr>
        <w:rPr>
          <w:rFonts w:ascii="方正小标宋_GBK" w:hAnsi="方正小标宋_GBK" w:eastAsia="方正小标宋_GBK" w:cs="方正小标宋_GBK"/>
          <w:color w:val="auto"/>
          <w:sz w:val="32"/>
          <w:szCs w:val="28"/>
        </w:rPr>
      </w:pPr>
    </w:p>
    <w:p w14:paraId="5852780F">
      <w:pPr>
        <w:rPr>
          <w:rFonts w:ascii="Times New Roman" w:hAnsi="Times New Roman" w:cs="Times New Roman"/>
          <w:color w:val="auto"/>
        </w:rPr>
      </w:pPr>
      <w:r>
        <w:rPr>
          <w:rFonts w:ascii="Times New Roman" w:hAnsi="Times New Roman" w:cs="Times New Roman"/>
          <w:color w:val="auto"/>
        </w:rPr>
        <w:br w:type="page"/>
      </w:r>
    </w:p>
    <w:p w14:paraId="00018765">
      <w:pPr>
        <w:pStyle w:val="7"/>
        <w:numPr>
          <w:ilvl w:val="4"/>
          <w:numId w:val="0"/>
        </w:numPr>
        <w:rPr>
          <w:color w:val="auto"/>
        </w:rPr>
      </w:pPr>
      <w:r>
        <w:rPr>
          <w:rFonts w:hint="eastAsia"/>
          <w:color w:val="auto"/>
        </w:rPr>
        <w:t>附件4-2 技术响应表</w:t>
      </w:r>
    </w:p>
    <w:p w14:paraId="140430EA">
      <w:pPr>
        <w:pStyle w:val="45"/>
        <w:spacing w:before="156"/>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技术响应表</w:t>
      </w:r>
    </w:p>
    <w:p w14:paraId="2B91D9EF">
      <w:pPr>
        <w:pStyle w:val="45"/>
        <w:spacing w:before="156"/>
        <w:ind w:firstLine="640"/>
        <w:jc w:val="center"/>
        <w:rPr>
          <w:rFonts w:ascii="方正小标宋_GBK" w:hAnsi="方正小标宋_GBK" w:eastAsia="方正小标宋_GBK" w:cs="方正小标宋_GBK"/>
          <w:color w:val="auto"/>
          <w:sz w:val="32"/>
          <w:szCs w:val="32"/>
        </w:rPr>
      </w:pPr>
    </w:p>
    <w:tbl>
      <w:tblPr>
        <w:tblStyle w:val="34"/>
        <w:tblW w:w="9993" w:type="dxa"/>
        <w:tblInd w:w="117"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3302"/>
        <w:gridCol w:w="2807"/>
        <w:gridCol w:w="1243"/>
      </w:tblGrid>
      <w:tr w14:paraId="6A24EA4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Borders>
              <w:tl2br w:val="nil"/>
              <w:tr2bl w:val="nil"/>
            </w:tcBorders>
            <w:vAlign w:val="center"/>
          </w:tcPr>
          <w:p w14:paraId="4908039F">
            <w:pPr>
              <w:pStyle w:val="44"/>
              <w:rPr>
                <w:rFonts w:ascii="黑体" w:hAnsi="黑体" w:eastAsia="黑体" w:cs="黑体"/>
                <w:bCs/>
                <w:color w:val="auto"/>
                <w:sz w:val="21"/>
                <w:szCs w:val="21"/>
              </w:rPr>
            </w:pPr>
            <w:r>
              <w:rPr>
                <w:rFonts w:hint="eastAsia" w:ascii="黑体" w:hAnsi="黑体" w:eastAsia="黑体" w:cs="黑体"/>
                <w:bCs/>
                <w:color w:val="auto"/>
                <w:sz w:val="21"/>
                <w:szCs w:val="21"/>
              </w:rPr>
              <w:t>序号</w:t>
            </w:r>
          </w:p>
        </w:tc>
        <w:tc>
          <w:tcPr>
            <w:tcW w:w="1916" w:type="dxa"/>
            <w:tcBorders>
              <w:tl2br w:val="nil"/>
              <w:tr2bl w:val="nil"/>
            </w:tcBorders>
            <w:vAlign w:val="center"/>
          </w:tcPr>
          <w:p w14:paraId="50BA3A47">
            <w:pPr>
              <w:pStyle w:val="44"/>
              <w:rPr>
                <w:rFonts w:hint="default" w:ascii="黑体" w:hAnsi="黑体" w:eastAsia="黑体" w:cs="黑体"/>
                <w:bCs/>
                <w:color w:val="auto"/>
                <w:sz w:val="21"/>
                <w:szCs w:val="21"/>
                <w:lang w:val="en-US" w:eastAsia="zh-CN"/>
              </w:rPr>
            </w:pPr>
            <w:r>
              <w:rPr>
                <w:rFonts w:hint="eastAsia" w:ascii="黑体" w:hAnsi="黑体" w:eastAsia="黑体" w:cs="黑体"/>
                <w:bCs/>
                <w:color w:val="auto"/>
                <w:sz w:val="21"/>
                <w:szCs w:val="21"/>
                <w:lang w:val="en-US" w:eastAsia="zh-CN"/>
              </w:rPr>
              <w:t>技术条款</w:t>
            </w:r>
          </w:p>
        </w:tc>
        <w:tc>
          <w:tcPr>
            <w:tcW w:w="3302" w:type="dxa"/>
            <w:tcBorders>
              <w:tl2br w:val="nil"/>
              <w:tr2bl w:val="nil"/>
            </w:tcBorders>
            <w:vAlign w:val="center"/>
          </w:tcPr>
          <w:p w14:paraId="1B08AF49">
            <w:pPr>
              <w:pStyle w:val="44"/>
              <w:rPr>
                <w:rFonts w:ascii="黑体" w:hAnsi="黑体" w:eastAsia="黑体" w:cs="黑体"/>
                <w:bCs/>
                <w:color w:val="auto"/>
                <w:sz w:val="21"/>
                <w:szCs w:val="21"/>
              </w:rPr>
            </w:pPr>
            <w:r>
              <w:rPr>
                <w:rFonts w:hint="eastAsia" w:ascii="黑体" w:hAnsi="黑体" w:eastAsia="黑体" w:cs="黑体"/>
                <w:bCs/>
                <w:color w:val="auto"/>
                <w:sz w:val="21"/>
                <w:szCs w:val="21"/>
                <w:lang w:val="en-US" w:eastAsia="zh-CN"/>
              </w:rPr>
              <w:t>谈判</w:t>
            </w:r>
            <w:r>
              <w:rPr>
                <w:rFonts w:hint="eastAsia" w:ascii="黑体" w:hAnsi="黑体" w:eastAsia="黑体" w:cs="黑体"/>
                <w:bCs/>
                <w:color w:val="auto"/>
                <w:sz w:val="21"/>
                <w:szCs w:val="21"/>
              </w:rPr>
              <w:t>文件要求</w:t>
            </w:r>
          </w:p>
        </w:tc>
        <w:tc>
          <w:tcPr>
            <w:tcW w:w="2807" w:type="dxa"/>
            <w:tcBorders>
              <w:tl2br w:val="nil"/>
              <w:tr2bl w:val="nil"/>
            </w:tcBorders>
            <w:vAlign w:val="center"/>
          </w:tcPr>
          <w:p w14:paraId="4FE92A38">
            <w:pPr>
              <w:pStyle w:val="44"/>
              <w:rPr>
                <w:rFonts w:ascii="黑体" w:hAnsi="黑体" w:eastAsia="黑体" w:cs="黑体"/>
                <w:bCs/>
                <w:color w:val="auto"/>
                <w:sz w:val="21"/>
                <w:szCs w:val="21"/>
              </w:rPr>
            </w:pPr>
            <w:r>
              <w:rPr>
                <w:rFonts w:hint="eastAsia" w:ascii="黑体" w:hAnsi="黑体" w:eastAsia="黑体" w:cs="黑体"/>
                <w:bCs/>
                <w:color w:val="auto"/>
                <w:sz w:val="21"/>
                <w:szCs w:val="21"/>
                <w:lang w:eastAsia="zh-CN"/>
              </w:rPr>
              <w:t>供应商</w:t>
            </w:r>
            <w:r>
              <w:rPr>
                <w:rFonts w:hint="eastAsia" w:ascii="黑体" w:hAnsi="黑体" w:eastAsia="黑体" w:cs="黑体"/>
                <w:bCs/>
                <w:color w:val="auto"/>
                <w:sz w:val="21"/>
                <w:szCs w:val="21"/>
              </w:rPr>
              <w:t>承诺</w:t>
            </w:r>
          </w:p>
        </w:tc>
        <w:tc>
          <w:tcPr>
            <w:tcW w:w="1243" w:type="dxa"/>
            <w:tcBorders>
              <w:tl2br w:val="nil"/>
              <w:tr2bl w:val="nil"/>
            </w:tcBorders>
            <w:vAlign w:val="center"/>
          </w:tcPr>
          <w:p w14:paraId="095CC4DC">
            <w:pPr>
              <w:pStyle w:val="44"/>
              <w:rPr>
                <w:rFonts w:ascii="黑体" w:hAnsi="黑体" w:eastAsia="黑体" w:cs="黑体"/>
                <w:bCs/>
                <w:color w:val="auto"/>
                <w:sz w:val="21"/>
                <w:szCs w:val="21"/>
              </w:rPr>
            </w:pPr>
            <w:r>
              <w:rPr>
                <w:rFonts w:hint="eastAsia" w:ascii="黑体" w:hAnsi="黑体" w:eastAsia="黑体" w:cs="黑体"/>
                <w:bCs/>
                <w:color w:val="auto"/>
                <w:sz w:val="21"/>
                <w:szCs w:val="21"/>
              </w:rPr>
              <w:t>响应/偏离</w:t>
            </w:r>
          </w:p>
          <w:p w14:paraId="04E66A76">
            <w:pPr>
              <w:pStyle w:val="44"/>
              <w:rPr>
                <w:rFonts w:ascii="黑体" w:hAnsi="黑体" w:eastAsia="黑体" w:cs="黑体"/>
                <w:bCs/>
                <w:color w:val="auto"/>
                <w:sz w:val="21"/>
                <w:szCs w:val="21"/>
              </w:rPr>
            </w:pPr>
            <w:r>
              <w:rPr>
                <w:rFonts w:hint="eastAsia" w:ascii="黑体" w:hAnsi="黑体" w:eastAsia="黑体" w:cs="黑体"/>
                <w:bCs/>
                <w:color w:val="auto"/>
                <w:sz w:val="21"/>
                <w:szCs w:val="21"/>
              </w:rPr>
              <w:t>说明</w:t>
            </w:r>
          </w:p>
        </w:tc>
      </w:tr>
      <w:tr w14:paraId="02D0D0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093BF7D7">
            <w:pPr>
              <w:pStyle w:val="48"/>
              <w:rPr>
                <w:color w:val="auto"/>
              </w:rPr>
            </w:pPr>
            <w:r>
              <w:rPr>
                <w:color w:val="auto"/>
              </w:rPr>
              <w:t>1</w:t>
            </w:r>
          </w:p>
        </w:tc>
        <w:tc>
          <w:tcPr>
            <w:tcW w:w="1916" w:type="dxa"/>
            <w:tcBorders>
              <w:tl2br w:val="nil"/>
              <w:tr2bl w:val="nil"/>
            </w:tcBorders>
            <w:vAlign w:val="center"/>
          </w:tcPr>
          <w:p w14:paraId="3CCEC896">
            <w:pPr>
              <w:pStyle w:val="48"/>
              <w:rPr>
                <w:color w:val="auto"/>
              </w:rPr>
            </w:pPr>
          </w:p>
        </w:tc>
        <w:tc>
          <w:tcPr>
            <w:tcW w:w="3302" w:type="dxa"/>
            <w:tcBorders>
              <w:tl2br w:val="nil"/>
              <w:tr2bl w:val="nil"/>
            </w:tcBorders>
            <w:vAlign w:val="center"/>
          </w:tcPr>
          <w:p w14:paraId="35CFED17">
            <w:pPr>
              <w:pStyle w:val="48"/>
              <w:rPr>
                <w:color w:val="auto"/>
              </w:rPr>
            </w:pPr>
          </w:p>
        </w:tc>
        <w:tc>
          <w:tcPr>
            <w:tcW w:w="2807" w:type="dxa"/>
            <w:tcBorders>
              <w:tl2br w:val="nil"/>
              <w:tr2bl w:val="nil"/>
            </w:tcBorders>
            <w:vAlign w:val="center"/>
          </w:tcPr>
          <w:p w14:paraId="3028EFA2">
            <w:pPr>
              <w:pStyle w:val="48"/>
              <w:rPr>
                <w:color w:val="auto"/>
              </w:rPr>
            </w:pPr>
          </w:p>
        </w:tc>
        <w:tc>
          <w:tcPr>
            <w:tcW w:w="1243" w:type="dxa"/>
            <w:tcBorders>
              <w:tl2br w:val="nil"/>
              <w:tr2bl w:val="nil"/>
            </w:tcBorders>
            <w:vAlign w:val="center"/>
          </w:tcPr>
          <w:p w14:paraId="3778D658">
            <w:pPr>
              <w:pStyle w:val="48"/>
              <w:rPr>
                <w:color w:val="auto"/>
              </w:rPr>
            </w:pPr>
          </w:p>
        </w:tc>
      </w:tr>
      <w:tr w14:paraId="3C35EC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47856D48">
            <w:pPr>
              <w:pStyle w:val="48"/>
              <w:rPr>
                <w:color w:val="auto"/>
              </w:rPr>
            </w:pPr>
            <w:r>
              <w:rPr>
                <w:color w:val="auto"/>
              </w:rPr>
              <w:t>2</w:t>
            </w:r>
          </w:p>
        </w:tc>
        <w:tc>
          <w:tcPr>
            <w:tcW w:w="1916" w:type="dxa"/>
            <w:tcBorders>
              <w:tl2br w:val="nil"/>
              <w:tr2bl w:val="nil"/>
            </w:tcBorders>
            <w:vAlign w:val="center"/>
          </w:tcPr>
          <w:p w14:paraId="314E8E23">
            <w:pPr>
              <w:pStyle w:val="48"/>
              <w:rPr>
                <w:color w:val="auto"/>
              </w:rPr>
            </w:pPr>
          </w:p>
        </w:tc>
        <w:tc>
          <w:tcPr>
            <w:tcW w:w="3302" w:type="dxa"/>
            <w:tcBorders>
              <w:tl2br w:val="nil"/>
              <w:tr2bl w:val="nil"/>
            </w:tcBorders>
            <w:vAlign w:val="center"/>
          </w:tcPr>
          <w:p w14:paraId="73F53069">
            <w:pPr>
              <w:pStyle w:val="48"/>
              <w:rPr>
                <w:color w:val="auto"/>
              </w:rPr>
            </w:pPr>
          </w:p>
        </w:tc>
        <w:tc>
          <w:tcPr>
            <w:tcW w:w="2807" w:type="dxa"/>
            <w:tcBorders>
              <w:tl2br w:val="nil"/>
              <w:tr2bl w:val="nil"/>
            </w:tcBorders>
            <w:vAlign w:val="center"/>
          </w:tcPr>
          <w:p w14:paraId="60BB1629">
            <w:pPr>
              <w:pStyle w:val="48"/>
              <w:rPr>
                <w:color w:val="auto"/>
              </w:rPr>
            </w:pPr>
          </w:p>
        </w:tc>
        <w:tc>
          <w:tcPr>
            <w:tcW w:w="1243" w:type="dxa"/>
            <w:tcBorders>
              <w:tl2br w:val="nil"/>
              <w:tr2bl w:val="nil"/>
            </w:tcBorders>
            <w:vAlign w:val="center"/>
          </w:tcPr>
          <w:p w14:paraId="48DD5DEC">
            <w:pPr>
              <w:pStyle w:val="48"/>
              <w:rPr>
                <w:color w:val="auto"/>
              </w:rPr>
            </w:pPr>
          </w:p>
        </w:tc>
      </w:tr>
      <w:tr w14:paraId="3B90608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Borders>
              <w:tl2br w:val="nil"/>
              <w:tr2bl w:val="nil"/>
            </w:tcBorders>
            <w:vAlign w:val="center"/>
          </w:tcPr>
          <w:p w14:paraId="3B170AC1">
            <w:pPr>
              <w:pStyle w:val="48"/>
              <w:rPr>
                <w:color w:val="auto"/>
              </w:rPr>
            </w:pPr>
            <w:r>
              <w:rPr>
                <w:rFonts w:hint="eastAsia"/>
                <w:color w:val="auto"/>
              </w:rPr>
              <w:t>3</w:t>
            </w:r>
          </w:p>
        </w:tc>
        <w:tc>
          <w:tcPr>
            <w:tcW w:w="1916" w:type="dxa"/>
            <w:tcBorders>
              <w:tl2br w:val="nil"/>
              <w:tr2bl w:val="nil"/>
            </w:tcBorders>
            <w:vAlign w:val="center"/>
          </w:tcPr>
          <w:p w14:paraId="4A0D6D3B">
            <w:pPr>
              <w:pStyle w:val="48"/>
              <w:rPr>
                <w:color w:val="auto"/>
              </w:rPr>
            </w:pPr>
          </w:p>
        </w:tc>
        <w:tc>
          <w:tcPr>
            <w:tcW w:w="3302" w:type="dxa"/>
            <w:tcBorders>
              <w:tl2br w:val="nil"/>
              <w:tr2bl w:val="nil"/>
            </w:tcBorders>
            <w:vAlign w:val="center"/>
          </w:tcPr>
          <w:p w14:paraId="7C2CD006">
            <w:pPr>
              <w:pStyle w:val="48"/>
              <w:rPr>
                <w:color w:val="auto"/>
              </w:rPr>
            </w:pPr>
          </w:p>
        </w:tc>
        <w:tc>
          <w:tcPr>
            <w:tcW w:w="2807" w:type="dxa"/>
            <w:tcBorders>
              <w:tl2br w:val="nil"/>
              <w:tr2bl w:val="nil"/>
            </w:tcBorders>
            <w:vAlign w:val="center"/>
          </w:tcPr>
          <w:p w14:paraId="6C5DE9BE">
            <w:pPr>
              <w:pStyle w:val="48"/>
              <w:rPr>
                <w:color w:val="auto"/>
              </w:rPr>
            </w:pPr>
          </w:p>
        </w:tc>
        <w:tc>
          <w:tcPr>
            <w:tcW w:w="1243" w:type="dxa"/>
            <w:tcBorders>
              <w:tl2br w:val="nil"/>
              <w:tr2bl w:val="nil"/>
            </w:tcBorders>
            <w:vAlign w:val="center"/>
          </w:tcPr>
          <w:p w14:paraId="7BB22E60">
            <w:pPr>
              <w:pStyle w:val="48"/>
              <w:rPr>
                <w:color w:val="auto"/>
              </w:rPr>
            </w:pPr>
          </w:p>
        </w:tc>
      </w:tr>
      <w:tr w14:paraId="0C58B6B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Borders>
              <w:tl2br w:val="nil"/>
              <w:tr2bl w:val="nil"/>
            </w:tcBorders>
            <w:vAlign w:val="center"/>
          </w:tcPr>
          <w:p w14:paraId="72915EB5">
            <w:pPr>
              <w:pStyle w:val="48"/>
              <w:rPr>
                <w:color w:val="auto"/>
              </w:rPr>
            </w:pPr>
            <w:r>
              <w:rPr>
                <w:rFonts w:hint="eastAsia"/>
                <w:color w:val="auto"/>
              </w:rPr>
              <w:t>4</w:t>
            </w:r>
          </w:p>
        </w:tc>
        <w:tc>
          <w:tcPr>
            <w:tcW w:w="1916" w:type="dxa"/>
            <w:tcBorders>
              <w:tl2br w:val="nil"/>
              <w:tr2bl w:val="nil"/>
            </w:tcBorders>
            <w:vAlign w:val="center"/>
          </w:tcPr>
          <w:p w14:paraId="6FC9414E">
            <w:pPr>
              <w:pStyle w:val="48"/>
              <w:rPr>
                <w:color w:val="auto"/>
              </w:rPr>
            </w:pPr>
          </w:p>
        </w:tc>
        <w:tc>
          <w:tcPr>
            <w:tcW w:w="3302" w:type="dxa"/>
            <w:tcBorders>
              <w:tl2br w:val="nil"/>
              <w:tr2bl w:val="nil"/>
            </w:tcBorders>
            <w:vAlign w:val="center"/>
          </w:tcPr>
          <w:p w14:paraId="6E1D7000">
            <w:pPr>
              <w:pStyle w:val="48"/>
              <w:rPr>
                <w:color w:val="auto"/>
              </w:rPr>
            </w:pPr>
          </w:p>
        </w:tc>
        <w:tc>
          <w:tcPr>
            <w:tcW w:w="2807" w:type="dxa"/>
            <w:tcBorders>
              <w:tl2br w:val="nil"/>
              <w:tr2bl w:val="nil"/>
            </w:tcBorders>
            <w:vAlign w:val="center"/>
          </w:tcPr>
          <w:p w14:paraId="239699C4">
            <w:pPr>
              <w:pStyle w:val="48"/>
              <w:rPr>
                <w:color w:val="auto"/>
              </w:rPr>
            </w:pPr>
          </w:p>
        </w:tc>
        <w:tc>
          <w:tcPr>
            <w:tcW w:w="1243" w:type="dxa"/>
            <w:tcBorders>
              <w:tl2br w:val="nil"/>
              <w:tr2bl w:val="nil"/>
            </w:tcBorders>
            <w:vAlign w:val="center"/>
          </w:tcPr>
          <w:p w14:paraId="67314D96">
            <w:pPr>
              <w:pStyle w:val="48"/>
              <w:rPr>
                <w:color w:val="auto"/>
              </w:rPr>
            </w:pPr>
          </w:p>
        </w:tc>
      </w:tr>
    </w:tbl>
    <w:p w14:paraId="6137F3E9">
      <w:pPr>
        <w:pStyle w:val="45"/>
        <w:spacing w:before="156"/>
        <w:ind w:firstLine="480"/>
        <w:rPr>
          <w:color w:val="auto"/>
        </w:rPr>
      </w:pPr>
      <w:r>
        <w:rPr>
          <w:rFonts w:hint="eastAsia"/>
          <w:color w:val="auto"/>
        </w:rPr>
        <w:t>注：</w:t>
      </w:r>
    </w:p>
    <w:p w14:paraId="652D5D9D">
      <w:pPr>
        <w:pStyle w:val="45"/>
        <w:spacing w:before="156"/>
        <w:ind w:firstLine="480"/>
        <w:rPr>
          <w:color w:val="auto"/>
        </w:rPr>
      </w:pPr>
      <w:r>
        <w:rPr>
          <w:color w:val="auto"/>
        </w:rPr>
        <w:t>1．</w:t>
      </w:r>
      <w:r>
        <w:rPr>
          <w:rFonts w:hint="eastAsia"/>
          <w:color w:val="auto"/>
          <w:lang w:eastAsia="zh-CN"/>
        </w:rPr>
        <w:t>供应商</w:t>
      </w:r>
      <w:r>
        <w:rPr>
          <w:rFonts w:hint="eastAsia"/>
          <w:color w:val="auto"/>
        </w:rPr>
        <w:t>应把</w:t>
      </w:r>
      <w:r>
        <w:rPr>
          <w:rFonts w:hint="eastAsia"/>
          <w:color w:val="auto"/>
          <w:lang w:val="en-US" w:eastAsia="zh-CN"/>
        </w:rPr>
        <w:t>谈判</w:t>
      </w:r>
      <w:r>
        <w:rPr>
          <w:rFonts w:hint="eastAsia"/>
          <w:color w:val="auto"/>
        </w:rPr>
        <w:t>文件第三章项目需求中技术要求列入此表，按顺序逐项对照填写。</w:t>
      </w:r>
    </w:p>
    <w:p w14:paraId="5797FA99">
      <w:pPr>
        <w:pStyle w:val="45"/>
        <w:spacing w:before="156"/>
        <w:ind w:firstLine="480"/>
        <w:rPr>
          <w:color w:val="auto"/>
        </w:rPr>
      </w:pPr>
      <w:r>
        <w:rPr>
          <w:color w:val="auto"/>
        </w:rPr>
        <w:t>2．</w:t>
      </w:r>
      <w:r>
        <w:rPr>
          <w:rFonts w:hint="eastAsia"/>
          <w:color w:val="auto"/>
          <w:lang w:eastAsia="zh-CN"/>
        </w:rPr>
        <w:t>供应商</w:t>
      </w:r>
      <w:r>
        <w:rPr>
          <w:rFonts w:hint="eastAsia"/>
          <w:color w:val="auto"/>
        </w:rPr>
        <w:t>必须据实填写，不得虚假填写，否则将取消其报价或成交资格。</w:t>
      </w:r>
    </w:p>
    <w:p w14:paraId="358A90A1">
      <w:pPr>
        <w:pStyle w:val="45"/>
        <w:spacing w:before="156"/>
        <w:ind w:firstLine="482"/>
        <w:rPr>
          <w:b/>
          <w:bCs/>
          <w:color w:val="auto"/>
        </w:rPr>
      </w:pPr>
    </w:p>
    <w:tbl>
      <w:tblPr>
        <w:tblStyle w:val="35"/>
        <w:tblpPr w:leftFromText="180" w:rightFromText="180" w:vertAnchor="text" w:horzAnchor="page" w:tblpX="1429" w:tblpY="58"/>
        <w:tblOverlap w:val="never"/>
        <w:tblW w:w="91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7"/>
        <w:gridCol w:w="1672"/>
        <w:gridCol w:w="1157"/>
        <w:gridCol w:w="2480"/>
      </w:tblGrid>
      <w:tr w14:paraId="60C4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trPr>
        <w:tc>
          <w:tcPr>
            <w:tcW w:w="3797" w:type="dxa"/>
            <w:tcBorders>
              <w:top w:val="nil"/>
              <w:left w:val="nil"/>
              <w:bottom w:val="nil"/>
              <w:right w:val="nil"/>
            </w:tcBorders>
            <w:vAlign w:val="center"/>
          </w:tcPr>
          <w:p w14:paraId="47CA25C8">
            <w:pPr>
              <w:pStyle w:val="45"/>
              <w:spacing w:before="156" w:line="240" w:lineRule="auto"/>
              <w:ind w:firstLine="0" w:firstLineChars="0"/>
              <w:jc w:val="distribute"/>
              <w:rPr>
                <w:bCs/>
                <w:color w:val="auto"/>
              </w:rPr>
            </w:pPr>
            <w:r>
              <w:rPr>
                <w:rFonts w:hint="eastAsia"/>
                <w:bCs/>
                <w:color w:val="auto"/>
                <w:lang w:eastAsia="zh-CN"/>
              </w:rPr>
              <w:t>供应商</w:t>
            </w:r>
            <w:r>
              <w:rPr>
                <w:rFonts w:hint="eastAsia"/>
                <w:bCs/>
                <w:color w:val="auto"/>
              </w:rPr>
              <w:t>名称（加盖公章）：</w:t>
            </w:r>
          </w:p>
        </w:tc>
        <w:tc>
          <w:tcPr>
            <w:tcW w:w="5309" w:type="dxa"/>
            <w:gridSpan w:val="3"/>
            <w:tcBorders>
              <w:top w:val="nil"/>
              <w:left w:val="nil"/>
              <w:bottom w:val="nil"/>
              <w:right w:val="nil"/>
            </w:tcBorders>
            <w:vAlign w:val="center"/>
          </w:tcPr>
          <w:p w14:paraId="5AC9762C">
            <w:pPr>
              <w:pStyle w:val="45"/>
              <w:spacing w:before="156" w:line="540" w:lineRule="exact"/>
              <w:ind w:firstLine="480"/>
              <w:jc w:val="center"/>
              <w:rPr>
                <w:color w:val="auto"/>
              </w:rPr>
            </w:pPr>
          </w:p>
        </w:tc>
      </w:tr>
      <w:tr w14:paraId="6CC2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7" w:type="dxa"/>
            <w:tcBorders>
              <w:top w:val="nil"/>
              <w:left w:val="nil"/>
              <w:bottom w:val="nil"/>
              <w:right w:val="nil"/>
            </w:tcBorders>
            <w:vAlign w:val="center"/>
          </w:tcPr>
          <w:p w14:paraId="328F20C8">
            <w:pPr>
              <w:pStyle w:val="45"/>
              <w:spacing w:before="156" w:line="540" w:lineRule="exact"/>
              <w:ind w:firstLine="0" w:firstLineChars="0"/>
              <w:rPr>
                <w:color w:val="auto"/>
              </w:rPr>
            </w:pPr>
          </w:p>
        </w:tc>
        <w:tc>
          <w:tcPr>
            <w:tcW w:w="1672" w:type="dxa"/>
            <w:tcBorders>
              <w:top w:val="nil"/>
              <w:left w:val="nil"/>
              <w:bottom w:val="nil"/>
              <w:right w:val="nil"/>
            </w:tcBorders>
            <w:vAlign w:val="center"/>
          </w:tcPr>
          <w:p w14:paraId="54095ADD">
            <w:pPr>
              <w:pStyle w:val="45"/>
              <w:spacing w:before="156" w:line="540" w:lineRule="exact"/>
              <w:ind w:firstLine="0" w:firstLineChars="0"/>
              <w:jc w:val="center"/>
              <w:rPr>
                <w:color w:val="auto"/>
              </w:rPr>
            </w:pPr>
          </w:p>
        </w:tc>
        <w:tc>
          <w:tcPr>
            <w:tcW w:w="1157" w:type="dxa"/>
            <w:tcBorders>
              <w:top w:val="nil"/>
              <w:left w:val="nil"/>
              <w:bottom w:val="nil"/>
              <w:right w:val="nil"/>
            </w:tcBorders>
            <w:vAlign w:val="center"/>
          </w:tcPr>
          <w:p w14:paraId="6198448A">
            <w:pPr>
              <w:pStyle w:val="45"/>
              <w:spacing w:before="156" w:line="240" w:lineRule="auto"/>
              <w:ind w:firstLine="0" w:firstLineChars="0"/>
              <w:jc w:val="distribute"/>
              <w:rPr>
                <w:color w:val="auto"/>
              </w:rPr>
            </w:pPr>
            <w:r>
              <w:rPr>
                <w:rFonts w:hint="eastAsia"/>
                <w:color w:val="auto"/>
              </w:rPr>
              <w:t>日  期：</w:t>
            </w:r>
          </w:p>
        </w:tc>
        <w:tc>
          <w:tcPr>
            <w:tcW w:w="2480" w:type="dxa"/>
            <w:tcBorders>
              <w:top w:val="nil"/>
              <w:left w:val="nil"/>
              <w:bottom w:val="nil"/>
              <w:right w:val="nil"/>
            </w:tcBorders>
            <w:vAlign w:val="center"/>
          </w:tcPr>
          <w:p w14:paraId="69E821EF">
            <w:pPr>
              <w:pStyle w:val="45"/>
              <w:spacing w:before="156" w:line="240" w:lineRule="auto"/>
              <w:ind w:firstLine="0" w:firstLineChars="0"/>
              <w:jc w:val="right"/>
              <w:rPr>
                <w:color w:val="auto"/>
              </w:rPr>
            </w:pPr>
            <w:r>
              <w:rPr>
                <w:rFonts w:hint="eastAsia"/>
                <w:color w:val="auto"/>
              </w:rPr>
              <w:t>年   月   日</w:t>
            </w:r>
          </w:p>
        </w:tc>
      </w:tr>
    </w:tbl>
    <w:p w14:paraId="00866767">
      <w:pPr>
        <w:adjustRightInd w:val="0"/>
        <w:snapToGrid w:val="0"/>
        <w:spacing w:line="360" w:lineRule="auto"/>
        <w:rPr>
          <w:rFonts w:ascii="宋体" w:cs="Times New Roman"/>
          <w:color w:val="auto"/>
          <w:szCs w:val="21"/>
        </w:rPr>
      </w:pPr>
    </w:p>
    <w:p w14:paraId="7BFF48D0">
      <w:pPr>
        <w:spacing w:after="120"/>
        <w:rPr>
          <w:rFonts w:ascii="宋体" w:cs="Times New Roman"/>
          <w:color w:val="auto"/>
          <w:kern w:val="0"/>
          <w:sz w:val="20"/>
          <w:szCs w:val="21"/>
        </w:rPr>
      </w:pPr>
    </w:p>
    <w:p w14:paraId="56002730">
      <w:pPr>
        <w:rPr>
          <w:color w:val="auto"/>
        </w:rPr>
      </w:pPr>
      <w:r>
        <w:rPr>
          <w:rFonts w:hint="eastAsia"/>
          <w:color w:val="auto"/>
        </w:rPr>
        <w:br w:type="page"/>
      </w:r>
    </w:p>
    <w:p w14:paraId="013206BE">
      <w:pPr>
        <w:numPr>
          <w:ilvl w:val="0"/>
          <w:numId w:val="0"/>
        </w:numPr>
        <w:ind w:left="0" w:leftChars="0" w:firstLine="420" w:firstLineChars="0"/>
        <w:jc w:val="center"/>
        <w:outlineLvl w:val="1"/>
      </w:pPr>
      <w:bookmarkStart w:id="97" w:name="_Toc8117"/>
      <w:r>
        <w:rPr>
          <w:rFonts w:hint="eastAsia" w:ascii="Arial" w:hAnsi="Arial" w:eastAsia="黑体" w:cs="Times New Roman"/>
          <w:b w:val="0"/>
          <w:color w:val="auto"/>
          <w:kern w:val="2"/>
          <w:sz w:val="30"/>
          <w:szCs w:val="24"/>
          <w:lang w:val="en-US" w:eastAsia="zh-CN" w:bidi="ar-SA"/>
        </w:rPr>
        <w:t>五、人员配置和管理方案</w:t>
      </w:r>
    </w:p>
    <w:p w14:paraId="164DBF8D">
      <w:pPr>
        <w:pStyle w:val="45"/>
        <w:spacing w:before="156"/>
        <w:ind w:firstLine="480"/>
        <w:jc w:val="center"/>
        <w:rPr>
          <w:color w:val="auto"/>
        </w:rPr>
      </w:pPr>
      <w:r>
        <w:rPr>
          <w:rFonts w:hint="eastAsia"/>
          <w:color w:val="auto"/>
        </w:rPr>
        <w:t>（</w:t>
      </w:r>
      <w:r>
        <w:rPr>
          <w:rFonts w:hint="eastAsia"/>
          <w:color w:val="auto"/>
          <w:lang w:eastAsia="zh-CN"/>
        </w:rPr>
        <w:t>供应商</w:t>
      </w:r>
      <w:r>
        <w:rPr>
          <w:rFonts w:hint="eastAsia"/>
          <w:color w:val="auto"/>
        </w:rPr>
        <w:t>可自行制作格式）</w:t>
      </w:r>
    </w:p>
    <w:p w14:paraId="3E0A8D2A">
      <w:pPr>
        <w:pStyle w:val="45"/>
        <w:spacing w:before="156"/>
        <w:ind w:left="0" w:leftChars="0" w:firstLine="0" w:firstLineChars="0"/>
        <w:jc w:val="both"/>
        <w:rPr>
          <w:color w:val="auto"/>
        </w:rPr>
      </w:pPr>
    </w:p>
    <w:p w14:paraId="5248B8AD">
      <w:pPr>
        <w:rPr>
          <w:color w:val="auto"/>
        </w:rPr>
      </w:pPr>
      <w:r>
        <w:rPr>
          <w:rFonts w:hint="eastAsia"/>
          <w:color w:val="auto"/>
        </w:rPr>
        <w:br w:type="page"/>
      </w:r>
    </w:p>
    <w:p w14:paraId="6182ADF2">
      <w:pPr>
        <w:numPr>
          <w:ilvl w:val="0"/>
          <w:numId w:val="0"/>
        </w:numPr>
        <w:jc w:val="center"/>
        <w:outlineLvl w:val="1"/>
        <w:rPr>
          <w:rFonts w:hint="eastAsia" w:ascii="Arial" w:hAnsi="Arial" w:eastAsia="黑体" w:cs="Times New Roman"/>
          <w:b w:val="0"/>
          <w:color w:val="auto"/>
          <w:kern w:val="2"/>
          <w:sz w:val="30"/>
          <w:szCs w:val="24"/>
          <w:lang w:val="zh-CN" w:eastAsia="zh-CN" w:bidi="ar-SA"/>
        </w:rPr>
      </w:pPr>
      <w:bookmarkStart w:id="98" w:name="_Toc23576"/>
      <w:r>
        <w:rPr>
          <w:rFonts w:hint="eastAsia" w:ascii="Arial" w:hAnsi="Arial" w:eastAsia="黑体" w:cs="Times New Roman"/>
          <w:b w:val="0"/>
          <w:color w:val="auto"/>
          <w:kern w:val="2"/>
          <w:sz w:val="30"/>
          <w:szCs w:val="24"/>
          <w:lang w:val="en-US" w:eastAsia="zh-CN" w:bidi="ar-SA"/>
        </w:rPr>
        <w:t>六、</w:t>
      </w:r>
      <w:r>
        <w:rPr>
          <w:rFonts w:hint="eastAsia" w:ascii="Arial" w:hAnsi="Arial" w:eastAsia="黑体" w:cs="Times New Roman"/>
          <w:b w:val="0"/>
          <w:color w:val="auto"/>
          <w:kern w:val="2"/>
          <w:sz w:val="30"/>
          <w:szCs w:val="24"/>
          <w:lang w:val="zh-CN" w:eastAsia="zh-CN" w:bidi="ar-SA"/>
        </w:rPr>
        <w:t>服务承诺及落实措施</w:t>
      </w:r>
    </w:p>
    <w:p w14:paraId="5771782F">
      <w:pPr>
        <w:numPr>
          <w:ilvl w:val="0"/>
          <w:numId w:val="0"/>
        </w:numPr>
        <w:jc w:val="center"/>
        <w:rPr>
          <w:rFonts w:hint="eastAsia" w:cs="Times New Roman"/>
          <w:color w:val="auto"/>
          <w:kern w:val="2"/>
          <w:sz w:val="30"/>
          <w:szCs w:val="24"/>
          <w:lang w:val="en-US" w:eastAsia="zh-CN" w:bidi="ar-SA"/>
        </w:rPr>
      </w:pPr>
      <w:r>
        <w:rPr>
          <w:rFonts w:hint="eastAsia"/>
          <w:color w:val="auto"/>
        </w:rPr>
        <w:t>（</w:t>
      </w:r>
      <w:r>
        <w:rPr>
          <w:rFonts w:hint="eastAsia"/>
          <w:color w:val="auto"/>
          <w:lang w:eastAsia="zh-CN"/>
        </w:rPr>
        <w:t>供应商</w:t>
      </w:r>
      <w:r>
        <w:rPr>
          <w:rFonts w:hint="eastAsia"/>
          <w:color w:val="auto"/>
        </w:rPr>
        <w:t>可自行制作格式）</w:t>
      </w:r>
    </w:p>
    <w:p w14:paraId="4F30AD95">
      <w:pPr>
        <w:pStyle w:val="42"/>
        <w:numPr>
          <w:ilvl w:val="0"/>
          <w:numId w:val="0"/>
        </w:numPr>
        <w:jc w:val="both"/>
        <w:outlineLvl w:val="9"/>
        <w:rPr>
          <w:rFonts w:hint="eastAsia"/>
          <w:lang w:val="en-US" w:eastAsia="zh-CN"/>
        </w:rPr>
      </w:pPr>
    </w:p>
    <w:p w14:paraId="12560DCF">
      <w:pPr>
        <w:rPr>
          <w:rFonts w:hint="eastAsia" w:cs="Times New Roman"/>
          <w:color w:val="auto"/>
          <w:kern w:val="2"/>
          <w:sz w:val="30"/>
          <w:szCs w:val="24"/>
          <w:lang w:val="en-US" w:eastAsia="zh-CN" w:bidi="ar-SA"/>
        </w:rPr>
      </w:pPr>
      <w:bookmarkStart w:id="99" w:name="_Toc4266"/>
      <w:r>
        <w:rPr>
          <w:rFonts w:hint="eastAsia" w:cs="Times New Roman"/>
          <w:color w:val="auto"/>
          <w:kern w:val="2"/>
          <w:sz w:val="30"/>
          <w:szCs w:val="24"/>
          <w:lang w:val="en-US" w:eastAsia="zh-CN" w:bidi="ar-SA"/>
        </w:rPr>
        <w:br w:type="page"/>
      </w:r>
    </w:p>
    <w:p w14:paraId="55E3B96F">
      <w:pPr>
        <w:pStyle w:val="4"/>
        <w:numPr>
          <w:ilvl w:val="0"/>
          <w:numId w:val="0"/>
        </w:numPr>
        <w:spacing w:before="156"/>
        <w:ind w:left="0" w:leftChars="0" w:firstLine="420" w:firstLineChars="0"/>
        <w:jc w:val="center"/>
        <w:rPr>
          <w:color w:val="auto"/>
        </w:rPr>
      </w:pPr>
      <w:r>
        <w:rPr>
          <w:rFonts w:hint="eastAsia" w:cs="Times New Roman"/>
          <w:color w:val="auto"/>
          <w:kern w:val="2"/>
          <w:sz w:val="30"/>
          <w:szCs w:val="24"/>
          <w:lang w:val="en-US" w:eastAsia="zh-CN" w:bidi="ar-SA"/>
        </w:rPr>
        <w:t>七、</w:t>
      </w:r>
      <w:r>
        <w:rPr>
          <w:rFonts w:hint="eastAsia"/>
          <w:color w:val="auto"/>
          <w:lang w:val="en-US" w:eastAsia="zh-CN"/>
        </w:rPr>
        <w:t>谈判</w:t>
      </w:r>
      <w:r>
        <w:rPr>
          <w:rFonts w:hint="eastAsia"/>
          <w:color w:val="auto"/>
        </w:rPr>
        <w:t>承诺书</w:t>
      </w:r>
      <w:bookmarkEnd w:id="98"/>
      <w:bookmarkEnd w:id="99"/>
    </w:p>
    <w:p w14:paraId="1F3E187E">
      <w:pPr>
        <w:pStyle w:val="45"/>
        <w:spacing w:before="156" w:line="400" w:lineRule="exact"/>
        <w:ind w:firstLine="480"/>
        <w:rPr>
          <w:color w:val="auto"/>
        </w:rPr>
      </w:pPr>
      <w:r>
        <w:rPr>
          <w:rFonts w:hint="eastAsia"/>
          <w:color w:val="auto"/>
          <w:lang w:val="en-US" w:eastAsia="zh-CN"/>
        </w:rPr>
        <w:t>张家界市卫生健康委员会</w:t>
      </w:r>
      <w:r>
        <w:rPr>
          <w:rFonts w:hint="eastAsia"/>
          <w:color w:val="auto"/>
        </w:rPr>
        <w:t>：</w:t>
      </w:r>
    </w:p>
    <w:p w14:paraId="6222EC03">
      <w:pPr>
        <w:pStyle w:val="45"/>
        <w:spacing w:before="156" w:line="400" w:lineRule="exact"/>
        <w:ind w:firstLine="480"/>
        <w:rPr>
          <w:color w:val="auto"/>
        </w:rPr>
      </w:pPr>
      <w:r>
        <w:rPr>
          <w:rFonts w:hint="eastAsia"/>
          <w:color w:val="auto"/>
        </w:rPr>
        <w:t>本单位已详细阅读贵单位</w:t>
      </w:r>
      <w:r>
        <w:rPr>
          <w:rFonts w:hint="eastAsia"/>
          <w:color w:val="auto"/>
          <w:u w:val="single"/>
        </w:rPr>
        <w:t xml:space="preserve">                  </w:t>
      </w:r>
      <w:r>
        <w:rPr>
          <w:rFonts w:hint="eastAsia"/>
          <w:color w:val="auto"/>
        </w:rPr>
        <w:t>的</w:t>
      </w:r>
      <w:r>
        <w:rPr>
          <w:rFonts w:hint="eastAsia"/>
          <w:color w:val="auto"/>
          <w:lang w:val="en-US" w:eastAsia="zh-CN"/>
        </w:rPr>
        <w:t>谈判</w:t>
      </w:r>
      <w:r>
        <w:rPr>
          <w:rFonts w:hint="eastAsia"/>
          <w:color w:val="auto"/>
        </w:rPr>
        <w:t>文件，现就参加本项目</w:t>
      </w:r>
      <w:r>
        <w:rPr>
          <w:rFonts w:hint="eastAsia"/>
          <w:color w:val="auto"/>
          <w:lang w:val="en-US" w:eastAsia="zh-CN"/>
        </w:rPr>
        <w:t>谈判</w:t>
      </w:r>
      <w:r>
        <w:rPr>
          <w:rFonts w:hint="eastAsia"/>
          <w:color w:val="auto"/>
        </w:rPr>
        <w:t>有关事项郑重承诺如下：</w:t>
      </w:r>
    </w:p>
    <w:p w14:paraId="69BB7567">
      <w:pPr>
        <w:pStyle w:val="45"/>
        <w:spacing w:before="156" w:line="380" w:lineRule="exact"/>
        <w:ind w:firstLine="480"/>
        <w:outlineLvl w:val="9"/>
        <w:rPr>
          <w:color w:val="auto"/>
        </w:rPr>
      </w:pPr>
      <w:r>
        <w:rPr>
          <w:rFonts w:hint="eastAsia"/>
          <w:color w:val="auto"/>
        </w:rPr>
        <w:t>一、参与本项目</w:t>
      </w:r>
      <w:r>
        <w:rPr>
          <w:rFonts w:hint="eastAsia"/>
          <w:color w:val="auto"/>
          <w:lang w:val="en-US" w:eastAsia="zh-CN"/>
        </w:rPr>
        <w:t>谈判</w:t>
      </w:r>
      <w:r>
        <w:rPr>
          <w:rFonts w:hint="eastAsia"/>
          <w:color w:val="auto"/>
        </w:rPr>
        <w:t>活动系本公司自愿行为。</w:t>
      </w:r>
    </w:p>
    <w:p w14:paraId="2527B622">
      <w:pPr>
        <w:pStyle w:val="45"/>
        <w:spacing w:before="156" w:line="380" w:lineRule="exact"/>
        <w:ind w:firstLine="480"/>
        <w:rPr>
          <w:color w:val="auto"/>
        </w:rPr>
      </w:pPr>
      <w:r>
        <w:rPr>
          <w:rFonts w:hint="eastAsia"/>
          <w:color w:val="auto"/>
        </w:rPr>
        <w:t>二、遵守国家、省、市有关公共资源交易的法律、规章及规范性文件。</w:t>
      </w:r>
    </w:p>
    <w:p w14:paraId="75D12196">
      <w:pPr>
        <w:pStyle w:val="45"/>
        <w:spacing w:before="156" w:line="380" w:lineRule="exact"/>
        <w:ind w:firstLine="480"/>
        <w:rPr>
          <w:color w:val="auto"/>
        </w:rPr>
      </w:pPr>
      <w:r>
        <w:rPr>
          <w:rFonts w:hint="eastAsia"/>
          <w:color w:val="auto"/>
        </w:rPr>
        <w:t>三、遵守张家界市公共资源交易中心各项交易管理制度和交易现场纪律，服从现场工作人员管理，自觉维护张家界市公共资源交易平台秩序。</w:t>
      </w:r>
    </w:p>
    <w:p w14:paraId="6F596336">
      <w:pPr>
        <w:pStyle w:val="45"/>
        <w:spacing w:before="156" w:line="380" w:lineRule="exact"/>
        <w:ind w:firstLine="480"/>
        <w:rPr>
          <w:color w:val="auto"/>
        </w:rPr>
      </w:pPr>
      <w:r>
        <w:rPr>
          <w:rFonts w:hint="eastAsia"/>
          <w:color w:val="auto"/>
        </w:rPr>
        <w:t>四、响应文件内容及资料无弄虚作假。</w:t>
      </w:r>
    </w:p>
    <w:p w14:paraId="4E7FB43C">
      <w:pPr>
        <w:pStyle w:val="45"/>
        <w:spacing w:before="156" w:line="380" w:lineRule="exact"/>
        <w:ind w:firstLine="480"/>
        <w:rPr>
          <w:color w:val="auto"/>
        </w:rPr>
      </w:pPr>
      <w:r>
        <w:rPr>
          <w:rFonts w:hint="eastAsia"/>
          <w:color w:val="auto"/>
        </w:rPr>
        <w:t>五、保证没有组织、参与围标、串标行为。</w:t>
      </w:r>
    </w:p>
    <w:p w14:paraId="66D6F47F">
      <w:pPr>
        <w:pStyle w:val="45"/>
        <w:spacing w:before="156" w:line="380" w:lineRule="exact"/>
        <w:ind w:firstLine="480"/>
        <w:rPr>
          <w:color w:val="auto"/>
        </w:rPr>
      </w:pPr>
      <w:r>
        <w:rPr>
          <w:rFonts w:hint="eastAsia"/>
          <w:color w:val="auto"/>
        </w:rPr>
        <w:t>六、不与</w:t>
      </w:r>
      <w:r>
        <w:rPr>
          <w:rFonts w:hint="eastAsia"/>
          <w:color w:val="auto"/>
          <w:lang w:eastAsia="zh-CN"/>
        </w:rPr>
        <w:t>采购人</w:t>
      </w:r>
      <w:r>
        <w:rPr>
          <w:rFonts w:hint="eastAsia"/>
          <w:color w:val="auto"/>
        </w:rPr>
        <w:t>或者评标委员会成员私下联络和串通以牟取成交；不以他人名义</w:t>
      </w:r>
      <w:r>
        <w:rPr>
          <w:rFonts w:hint="eastAsia"/>
          <w:color w:val="auto"/>
          <w:lang w:val="en-US" w:eastAsia="zh-CN"/>
        </w:rPr>
        <w:t>谈判</w:t>
      </w:r>
      <w:r>
        <w:rPr>
          <w:rFonts w:hint="eastAsia"/>
          <w:color w:val="auto"/>
        </w:rPr>
        <w:t>或者以其他方式弄虚作假骗取成交；不在</w:t>
      </w:r>
      <w:r>
        <w:rPr>
          <w:rFonts w:hint="eastAsia"/>
          <w:color w:val="auto"/>
          <w:lang w:val="en-US" w:eastAsia="zh-CN"/>
        </w:rPr>
        <w:t>谈判</w:t>
      </w:r>
      <w:r>
        <w:rPr>
          <w:rFonts w:hint="eastAsia"/>
          <w:color w:val="auto"/>
        </w:rPr>
        <w:t>后进行虚假、恶意质疑和投诉。</w:t>
      </w:r>
    </w:p>
    <w:p w14:paraId="2D6A8A9D">
      <w:pPr>
        <w:pStyle w:val="45"/>
        <w:spacing w:before="156" w:line="380" w:lineRule="exact"/>
        <w:ind w:firstLine="480"/>
        <w:rPr>
          <w:color w:val="auto"/>
        </w:rPr>
      </w:pPr>
      <w:r>
        <w:rPr>
          <w:rFonts w:hint="eastAsia"/>
          <w:color w:val="auto"/>
        </w:rPr>
        <w:t>七、自觉接受监督，承诺所投</w:t>
      </w:r>
      <w:r>
        <w:rPr>
          <w:rFonts w:hint="eastAsia"/>
          <w:color w:val="auto"/>
          <w:lang w:val="en-US" w:eastAsia="zh-CN"/>
        </w:rPr>
        <w:t>货物或服务</w:t>
      </w:r>
      <w:r>
        <w:rPr>
          <w:rFonts w:hint="eastAsia"/>
          <w:color w:val="auto"/>
        </w:rPr>
        <w:t>是真实响应，满足</w:t>
      </w:r>
      <w:r>
        <w:rPr>
          <w:rFonts w:hint="eastAsia"/>
          <w:color w:val="auto"/>
          <w:lang w:val="en-US" w:eastAsia="zh-CN"/>
        </w:rPr>
        <w:t>谈判</w:t>
      </w:r>
      <w:r>
        <w:rPr>
          <w:rFonts w:hint="eastAsia"/>
          <w:color w:val="auto"/>
        </w:rPr>
        <w:t>文件中对产品技术参数功能要求，不存在“以次充好、虚假应标”等违规行为，如有不诚信的行为，做无效响应处理。</w:t>
      </w:r>
      <w:r>
        <w:rPr>
          <w:rFonts w:hint="eastAsia"/>
          <w:color w:val="auto"/>
          <w:lang w:eastAsia="zh-CN"/>
        </w:rPr>
        <w:t>采购人</w:t>
      </w:r>
      <w:r>
        <w:rPr>
          <w:rFonts w:hint="eastAsia"/>
          <w:color w:val="auto"/>
        </w:rPr>
        <w:t>会将</w:t>
      </w:r>
      <w:r>
        <w:rPr>
          <w:rFonts w:hint="eastAsia"/>
          <w:color w:val="auto"/>
          <w:lang w:eastAsia="zh-CN"/>
        </w:rPr>
        <w:t>供应商</w:t>
      </w:r>
      <w:r>
        <w:rPr>
          <w:rFonts w:hint="eastAsia"/>
          <w:color w:val="auto"/>
        </w:rPr>
        <w:t>的虚假响应行为报相关职能部门依法依规处理。</w:t>
      </w:r>
    </w:p>
    <w:p w14:paraId="61F1FEF1">
      <w:pPr>
        <w:pStyle w:val="45"/>
        <w:spacing w:before="156" w:line="380" w:lineRule="exact"/>
        <w:ind w:firstLine="480"/>
        <w:rPr>
          <w:color w:val="auto"/>
        </w:rPr>
      </w:pPr>
      <w:r>
        <w:rPr>
          <w:rFonts w:hint="eastAsia"/>
          <w:color w:val="auto"/>
        </w:rPr>
        <w:t>八、理性</w:t>
      </w:r>
      <w:r>
        <w:rPr>
          <w:rFonts w:hint="eastAsia"/>
          <w:color w:val="auto"/>
          <w:lang w:val="en-US" w:eastAsia="zh-CN"/>
        </w:rPr>
        <w:t>报价</w:t>
      </w:r>
      <w:r>
        <w:rPr>
          <w:rFonts w:hint="eastAsia"/>
          <w:color w:val="auto"/>
        </w:rPr>
        <w:t>，保证最终报价不低于成本价。若成交，将按照</w:t>
      </w:r>
      <w:r>
        <w:rPr>
          <w:rFonts w:hint="eastAsia"/>
          <w:color w:val="auto"/>
          <w:lang w:val="en-US" w:eastAsia="zh-CN"/>
        </w:rPr>
        <w:t>谈判</w:t>
      </w:r>
      <w:r>
        <w:rPr>
          <w:rFonts w:hint="eastAsia"/>
          <w:color w:val="auto"/>
        </w:rPr>
        <w:t>文件规定及时向</w:t>
      </w:r>
      <w:r>
        <w:rPr>
          <w:rFonts w:hint="eastAsia"/>
          <w:color w:val="auto"/>
          <w:lang w:eastAsia="zh-CN"/>
        </w:rPr>
        <w:t>采购人</w:t>
      </w:r>
      <w:r>
        <w:rPr>
          <w:rFonts w:hint="eastAsia"/>
          <w:color w:val="auto"/>
        </w:rPr>
        <w:t>提交</w:t>
      </w:r>
      <w:r>
        <w:rPr>
          <w:rFonts w:hint="eastAsia"/>
          <w:color w:val="auto"/>
          <w:lang w:eastAsia="zh-CN"/>
        </w:rPr>
        <w:t>履约保证金</w:t>
      </w:r>
      <w:r>
        <w:rPr>
          <w:rFonts w:hint="eastAsia"/>
          <w:color w:val="auto"/>
        </w:rPr>
        <w:t>并与</w:t>
      </w:r>
      <w:r>
        <w:rPr>
          <w:rFonts w:hint="eastAsia"/>
          <w:color w:val="auto"/>
          <w:lang w:eastAsia="zh-CN"/>
        </w:rPr>
        <w:t>采购人</w:t>
      </w:r>
      <w:r>
        <w:rPr>
          <w:rFonts w:hint="eastAsia"/>
          <w:color w:val="auto"/>
        </w:rPr>
        <w:t>签订合同；若在规定的时间内不提交</w:t>
      </w:r>
      <w:r>
        <w:rPr>
          <w:rFonts w:hint="eastAsia"/>
          <w:color w:val="auto"/>
          <w:lang w:eastAsia="zh-CN"/>
        </w:rPr>
        <w:t>履约保证金</w:t>
      </w:r>
      <w:r>
        <w:rPr>
          <w:rFonts w:hint="eastAsia"/>
          <w:color w:val="auto"/>
        </w:rPr>
        <w:t>或不签订合同的，</w:t>
      </w:r>
      <w:r>
        <w:rPr>
          <w:rFonts w:hint="eastAsia"/>
          <w:color w:val="auto"/>
          <w:lang w:eastAsia="zh-CN"/>
        </w:rPr>
        <w:t>采购人</w:t>
      </w:r>
      <w:r>
        <w:rPr>
          <w:rFonts w:hint="eastAsia"/>
          <w:color w:val="auto"/>
        </w:rPr>
        <w:t>可没收我方的</w:t>
      </w:r>
      <w:r>
        <w:rPr>
          <w:rFonts w:hint="eastAsia"/>
          <w:color w:val="auto"/>
          <w:lang w:val="en-US" w:eastAsia="zh-CN"/>
        </w:rPr>
        <w:t>投标</w:t>
      </w:r>
      <w:r>
        <w:rPr>
          <w:rFonts w:hint="eastAsia"/>
          <w:color w:val="auto"/>
        </w:rPr>
        <w:t>保证金和</w:t>
      </w:r>
      <w:r>
        <w:rPr>
          <w:rFonts w:hint="eastAsia"/>
          <w:color w:val="auto"/>
          <w:lang w:eastAsia="zh-CN"/>
        </w:rPr>
        <w:t>履约保证金</w:t>
      </w:r>
      <w:r>
        <w:rPr>
          <w:rFonts w:hint="eastAsia"/>
          <w:color w:val="auto"/>
        </w:rPr>
        <w:t>，并可重新确定其他符合规定的</w:t>
      </w:r>
      <w:r>
        <w:rPr>
          <w:rFonts w:hint="eastAsia"/>
          <w:color w:val="auto"/>
          <w:lang w:eastAsia="zh-CN"/>
        </w:rPr>
        <w:t>供应商</w:t>
      </w:r>
      <w:r>
        <w:rPr>
          <w:rFonts w:hint="eastAsia"/>
          <w:color w:val="auto"/>
        </w:rPr>
        <w:t>或重新组织</w:t>
      </w:r>
      <w:r>
        <w:rPr>
          <w:rFonts w:hint="eastAsia"/>
          <w:color w:val="auto"/>
          <w:lang w:val="en-US" w:eastAsia="zh-CN"/>
        </w:rPr>
        <w:t>谈判</w:t>
      </w:r>
      <w:r>
        <w:rPr>
          <w:rFonts w:hint="eastAsia"/>
          <w:color w:val="auto"/>
        </w:rPr>
        <w:t>活动；双方签订合同后，我方严格履行合同条款内容，按时保质保量完成项目建设，不向</w:t>
      </w:r>
      <w:r>
        <w:rPr>
          <w:rFonts w:hint="eastAsia"/>
          <w:color w:val="auto"/>
          <w:lang w:eastAsia="zh-CN"/>
        </w:rPr>
        <w:t>采购人</w:t>
      </w:r>
      <w:r>
        <w:rPr>
          <w:rFonts w:hint="eastAsia"/>
          <w:color w:val="auto"/>
        </w:rPr>
        <w:t>提出加价或降低建设标准、减少建设项目数量等无理和违约要求。</w:t>
      </w:r>
    </w:p>
    <w:p w14:paraId="549240DE">
      <w:pPr>
        <w:pStyle w:val="45"/>
        <w:spacing w:before="156" w:line="380" w:lineRule="exact"/>
        <w:ind w:firstLine="480"/>
        <w:rPr>
          <w:color w:val="auto"/>
        </w:rPr>
      </w:pPr>
      <w:r>
        <w:rPr>
          <w:rFonts w:hint="eastAsia"/>
          <w:color w:val="auto"/>
        </w:rPr>
        <w:t>九、如有违反本承诺书内容的行为，愿意承担由此产生的法律责任及后果。</w:t>
      </w:r>
    </w:p>
    <w:p w14:paraId="4A4E7F94">
      <w:pPr>
        <w:pStyle w:val="45"/>
        <w:spacing w:before="156" w:line="400" w:lineRule="exact"/>
        <w:ind w:firstLine="480"/>
        <w:rPr>
          <w:color w:val="auto"/>
        </w:rPr>
      </w:pPr>
      <w:r>
        <w:rPr>
          <w:rFonts w:hint="eastAsia"/>
          <w:color w:val="auto"/>
          <w:lang w:eastAsia="zh-CN"/>
        </w:rPr>
        <w:t>供应商</w:t>
      </w:r>
      <w:r>
        <w:rPr>
          <w:rFonts w:hint="eastAsia"/>
          <w:color w:val="auto"/>
        </w:rPr>
        <w:t xml:space="preserve">名称：（公章）               </w:t>
      </w:r>
    </w:p>
    <w:p w14:paraId="33533F71">
      <w:pPr>
        <w:pStyle w:val="45"/>
        <w:spacing w:before="156" w:line="400" w:lineRule="exact"/>
        <w:ind w:firstLine="480"/>
        <w:rPr>
          <w:color w:val="auto"/>
        </w:rPr>
      </w:pPr>
      <w:r>
        <w:rPr>
          <w:rFonts w:hint="eastAsia"/>
          <w:color w:val="auto"/>
        </w:rPr>
        <w:t>法定代表人或其委托代理人：（签字必须为亲笔签名或盖印鉴）</w:t>
      </w:r>
    </w:p>
    <w:p w14:paraId="2A0535F6">
      <w:pPr>
        <w:pStyle w:val="45"/>
        <w:spacing w:before="156"/>
        <w:ind w:firstLine="480"/>
        <w:rPr>
          <w:color w:val="auto"/>
        </w:rPr>
      </w:pPr>
      <w:r>
        <w:rPr>
          <w:rFonts w:hint="eastAsia"/>
          <w:color w:val="auto"/>
        </w:rPr>
        <w:t>联系地址：　　　　　　　　　　　</w:t>
      </w:r>
    </w:p>
    <w:p w14:paraId="3AE89D7D">
      <w:pPr>
        <w:pStyle w:val="45"/>
        <w:spacing w:before="156"/>
        <w:ind w:firstLine="480"/>
        <w:rPr>
          <w:color w:val="auto"/>
        </w:rPr>
      </w:pPr>
      <w:r>
        <w:rPr>
          <w:rFonts w:hint="eastAsia"/>
          <w:color w:val="auto"/>
        </w:rPr>
        <w:t>联系人：　　　　　　　　　　　　电话：</w:t>
      </w:r>
    </w:p>
    <w:p w14:paraId="6E3C188E">
      <w:pPr>
        <w:pStyle w:val="45"/>
        <w:spacing w:before="156"/>
        <w:ind w:firstLine="480"/>
        <w:rPr>
          <w:color w:val="auto"/>
        </w:rPr>
      </w:pPr>
      <w:r>
        <w:rPr>
          <w:rFonts w:hint="eastAsia"/>
          <w:color w:val="auto"/>
        </w:rPr>
        <w:t>　　　　　　　　　　　　　　　                                年　  月　 日</w:t>
      </w:r>
    </w:p>
    <w:p w14:paraId="5A56E939">
      <w:pPr>
        <w:pStyle w:val="16"/>
        <w:rPr>
          <w:color w:val="auto"/>
        </w:rPr>
        <w:sectPr>
          <w:pgSz w:w="11906" w:h="16838"/>
          <w:pgMar w:top="1230" w:right="1003" w:bottom="1174" w:left="1003" w:header="850" w:footer="992" w:gutter="0"/>
          <w:pgBorders>
            <w:top w:val="none" w:sz="0" w:space="0"/>
            <w:left w:val="none" w:sz="0" w:space="0"/>
            <w:bottom w:val="none" w:sz="0" w:space="0"/>
            <w:right w:val="none" w:sz="0" w:space="0"/>
          </w:pgBorders>
          <w:pgNumType w:fmt="decimal"/>
          <w:cols w:space="0" w:num="1"/>
          <w:docGrid w:type="lines" w:linePitch="312" w:charSpace="0"/>
        </w:sectPr>
      </w:pPr>
      <w:r>
        <w:rPr>
          <w:rFonts w:hint="eastAsia"/>
          <w:color w:val="auto"/>
        </w:rPr>
        <w:t>注：此《</w:t>
      </w:r>
      <w:r>
        <w:rPr>
          <w:rFonts w:hint="eastAsia"/>
          <w:color w:val="auto"/>
          <w:lang w:val="en-US" w:eastAsia="zh-CN"/>
        </w:rPr>
        <w:t>谈判</w:t>
      </w:r>
      <w:r>
        <w:rPr>
          <w:rFonts w:hint="eastAsia"/>
          <w:color w:val="auto"/>
        </w:rPr>
        <w:t>承诺书》由</w:t>
      </w:r>
      <w:r>
        <w:rPr>
          <w:rFonts w:hint="eastAsia"/>
          <w:color w:val="auto"/>
          <w:lang w:eastAsia="zh-CN"/>
        </w:rPr>
        <w:t>供应商</w:t>
      </w:r>
      <w:r>
        <w:rPr>
          <w:rFonts w:hint="eastAsia"/>
          <w:color w:val="auto"/>
        </w:rPr>
        <w:t>的法定代表人亲笔签署或盖印鉴，并加盖单位公章，编入响应文件中，否则，视为无效响应。</w:t>
      </w:r>
    </w:p>
    <w:bookmarkEnd w:id="97"/>
    <w:p w14:paraId="155AC936">
      <w:pPr>
        <w:pStyle w:val="4"/>
        <w:numPr>
          <w:ilvl w:val="0"/>
          <w:numId w:val="0"/>
        </w:numPr>
        <w:spacing w:before="156"/>
        <w:ind w:left="0" w:leftChars="0" w:firstLine="0" w:firstLineChars="0"/>
        <w:jc w:val="center"/>
        <w:rPr>
          <w:rFonts w:hint="eastAsia" w:cs="Times New Roman"/>
          <w:color w:val="auto"/>
          <w:kern w:val="2"/>
          <w:sz w:val="30"/>
          <w:szCs w:val="24"/>
          <w:lang w:val="en-US" w:eastAsia="zh-CN" w:bidi="ar-SA"/>
        </w:rPr>
      </w:pPr>
      <w:bookmarkStart w:id="100" w:name="_Toc30037"/>
      <w:bookmarkStart w:id="101" w:name="_Toc22541"/>
      <w:bookmarkStart w:id="102" w:name="_Toc21747"/>
      <w:bookmarkStart w:id="103" w:name="_Toc20977"/>
      <w:bookmarkStart w:id="104" w:name="_Toc18235"/>
      <w:r>
        <w:rPr>
          <w:rFonts w:hint="eastAsia" w:cs="Times New Roman"/>
          <w:color w:val="auto"/>
          <w:kern w:val="2"/>
          <w:sz w:val="30"/>
          <w:szCs w:val="24"/>
          <w:lang w:val="en-US" w:eastAsia="zh-CN" w:bidi="ar-SA"/>
        </w:rPr>
        <w:t>八</w:t>
      </w:r>
      <w:r>
        <w:rPr>
          <w:rFonts w:hint="eastAsia" w:ascii="Arial" w:hAnsi="Arial" w:eastAsia="黑体" w:cs="Times New Roman"/>
          <w:color w:val="auto"/>
          <w:kern w:val="2"/>
          <w:sz w:val="30"/>
          <w:szCs w:val="24"/>
          <w:lang w:val="en-US" w:eastAsia="zh-CN" w:bidi="ar-SA"/>
        </w:rPr>
        <w:t>、</w:t>
      </w:r>
      <w:r>
        <w:rPr>
          <w:rFonts w:hint="eastAsia" w:cs="Times New Roman"/>
          <w:color w:val="auto"/>
          <w:kern w:val="2"/>
          <w:sz w:val="30"/>
          <w:szCs w:val="24"/>
          <w:lang w:val="en-US" w:eastAsia="zh-CN" w:bidi="ar-SA"/>
        </w:rPr>
        <w:t>投标保证金</w:t>
      </w:r>
      <w:bookmarkEnd w:id="100"/>
    </w:p>
    <w:p w14:paraId="55775E33">
      <w:pPr>
        <w:pStyle w:val="4"/>
        <w:numPr>
          <w:ilvl w:val="0"/>
          <w:numId w:val="0"/>
        </w:numPr>
        <w:spacing w:before="156"/>
        <w:ind w:left="0" w:leftChars="0" w:firstLine="0" w:firstLineChars="0"/>
        <w:jc w:val="center"/>
        <w:outlineLvl w:val="2"/>
        <w:rPr>
          <w:rFonts w:hint="eastAsia" w:cs="Times New Roman"/>
          <w:color w:val="auto"/>
          <w:kern w:val="2"/>
          <w:sz w:val="30"/>
          <w:szCs w:val="24"/>
          <w:lang w:val="en-US" w:eastAsia="zh-CN" w:bidi="ar-SA"/>
        </w:rPr>
      </w:pPr>
      <w:bookmarkStart w:id="105" w:name="_Toc4946"/>
      <w:r>
        <w:rPr>
          <w:rFonts w:hint="eastAsia" w:cs="Times New Roman"/>
          <w:color w:val="auto"/>
          <w:kern w:val="2"/>
          <w:sz w:val="30"/>
          <w:szCs w:val="24"/>
          <w:lang w:val="en-US" w:eastAsia="zh-CN" w:bidi="ar-SA"/>
        </w:rPr>
        <w:t>（如有）</w:t>
      </w:r>
      <w:bookmarkEnd w:id="105"/>
    </w:p>
    <w:p w14:paraId="225B6EFF">
      <w:pPr>
        <w:rPr>
          <w:rFonts w:hint="eastAsia" w:cs="Times New Roman"/>
          <w:color w:val="auto"/>
          <w:kern w:val="2"/>
          <w:sz w:val="30"/>
          <w:szCs w:val="24"/>
          <w:lang w:val="en-US" w:eastAsia="zh-CN" w:bidi="ar-SA"/>
        </w:rPr>
      </w:pPr>
      <w:r>
        <w:rPr>
          <w:rFonts w:hint="eastAsia" w:cs="Times New Roman"/>
          <w:color w:val="auto"/>
          <w:kern w:val="2"/>
          <w:sz w:val="30"/>
          <w:szCs w:val="24"/>
          <w:lang w:val="en-US" w:eastAsia="zh-CN" w:bidi="ar-SA"/>
        </w:rPr>
        <w:br w:type="page"/>
      </w:r>
    </w:p>
    <w:p w14:paraId="415A6543">
      <w:pPr>
        <w:pStyle w:val="4"/>
        <w:numPr>
          <w:ilvl w:val="0"/>
          <w:numId w:val="0"/>
        </w:numPr>
        <w:spacing w:before="156"/>
        <w:ind w:left="0" w:leftChars="0" w:firstLine="0" w:firstLineChars="0"/>
        <w:jc w:val="center"/>
        <w:rPr>
          <w:color w:val="auto"/>
        </w:rPr>
      </w:pPr>
      <w:bookmarkStart w:id="106" w:name="_Toc5774"/>
      <w:r>
        <w:rPr>
          <w:rFonts w:hint="eastAsia" w:cs="Times New Roman"/>
          <w:color w:val="auto"/>
          <w:kern w:val="2"/>
          <w:sz w:val="30"/>
          <w:szCs w:val="24"/>
          <w:lang w:val="en-US" w:eastAsia="zh-CN" w:bidi="ar-SA"/>
        </w:rPr>
        <w:t>九、</w:t>
      </w:r>
      <w:r>
        <w:rPr>
          <w:rFonts w:hint="eastAsia"/>
          <w:color w:val="auto"/>
        </w:rPr>
        <w:t>响应标的符合</w:t>
      </w:r>
      <w:r>
        <w:rPr>
          <w:rFonts w:hint="eastAsia"/>
          <w:color w:val="auto"/>
          <w:lang w:val="en-US" w:eastAsia="zh-CN"/>
        </w:rPr>
        <w:t>谈判</w:t>
      </w:r>
      <w:r>
        <w:rPr>
          <w:rFonts w:hint="eastAsia"/>
          <w:color w:val="auto"/>
        </w:rPr>
        <w:t>文件规定的证明文件</w:t>
      </w:r>
      <w:bookmarkEnd w:id="101"/>
      <w:bookmarkEnd w:id="102"/>
      <w:bookmarkEnd w:id="103"/>
      <w:bookmarkEnd w:id="104"/>
      <w:bookmarkEnd w:id="106"/>
    </w:p>
    <w:p w14:paraId="738A1055">
      <w:pPr>
        <w:adjustRightInd w:val="0"/>
        <w:snapToGrid w:val="0"/>
        <w:spacing w:line="360" w:lineRule="auto"/>
        <w:rPr>
          <w:rFonts w:ascii="宋体" w:cs="Times New Roman"/>
          <w:color w:val="auto"/>
          <w:szCs w:val="21"/>
        </w:rPr>
      </w:pPr>
    </w:p>
    <w:p w14:paraId="35E5C64E">
      <w:pPr>
        <w:adjustRightInd w:val="0"/>
        <w:snapToGrid w:val="0"/>
        <w:spacing w:line="360" w:lineRule="auto"/>
        <w:jc w:val="center"/>
        <w:rPr>
          <w:rFonts w:ascii="宋体" w:cs="Times New Roman"/>
          <w:color w:val="auto"/>
          <w:szCs w:val="21"/>
        </w:rPr>
      </w:pPr>
      <w:r>
        <w:rPr>
          <w:rFonts w:hint="eastAsia" w:ascii="宋体" w:cs="Times New Roman"/>
          <w:color w:val="auto"/>
          <w:szCs w:val="21"/>
        </w:rPr>
        <w:t>备注：提供第三章规定的证明材料复印件。</w:t>
      </w:r>
    </w:p>
    <w:p w14:paraId="67ACB269">
      <w:pPr>
        <w:adjustRightInd w:val="0"/>
        <w:snapToGrid w:val="0"/>
        <w:spacing w:line="360" w:lineRule="auto"/>
        <w:rPr>
          <w:rFonts w:ascii="宋体" w:cs="Times New Roman"/>
          <w:color w:val="auto"/>
          <w:szCs w:val="21"/>
        </w:rPr>
      </w:pPr>
      <w:r>
        <w:rPr>
          <w:rFonts w:hint="eastAsia" w:ascii="宋体" w:cs="Times New Roman"/>
          <w:color w:val="auto"/>
          <w:szCs w:val="21"/>
        </w:rPr>
        <w:br w:type="page"/>
      </w:r>
    </w:p>
    <w:p w14:paraId="53164666">
      <w:pPr>
        <w:pStyle w:val="4"/>
        <w:numPr>
          <w:ilvl w:val="0"/>
          <w:numId w:val="0"/>
        </w:numPr>
        <w:spacing w:before="156"/>
        <w:ind w:left="0" w:leftChars="0" w:firstLine="420" w:firstLineChars="0"/>
        <w:jc w:val="center"/>
        <w:rPr>
          <w:color w:val="auto"/>
        </w:rPr>
      </w:pPr>
      <w:bookmarkStart w:id="107" w:name="_Toc12328"/>
      <w:bookmarkStart w:id="108" w:name="_Toc407"/>
      <w:bookmarkStart w:id="109" w:name="_Toc29103"/>
      <w:bookmarkStart w:id="110" w:name="_Toc21324"/>
      <w:bookmarkStart w:id="111" w:name="_Toc5374"/>
      <w:r>
        <w:rPr>
          <w:rFonts w:hint="eastAsia" w:cs="Times New Roman"/>
          <w:color w:val="auto"/>
          <w:kern w:val="2"/>
          <w:sz w:val="30"/>
          <w:szCs w:val="24"/>
          <w:lang w:val="en-US" w:eastAsia="zh-CN" w:bidi="ar-SA"/>
        </w:rPr>
        <w:t>十</w:t>
      </w:r>
      <w:r>
        <w:rPr>
          <w:rFonts w:hint="eastAsia" w:ascii="Arial" w:hAnsi="Arial" w:eastAsia="黑体" w:cs="Times New Roman"/>
          <w:color w:val="auto"/>
          <w:kern w:val="2"/>
          <w:sz w:val="30"/>
          <w:szCs w:val="24"/>
          <w:lang w:val="en-US" w:eastAsia="zh-CN" w:bidi="ar-SA"/>
        </w:rPr>
        <w:t>、</w:t>
      </w:r>
      <w:r>
        <w:rPr>
          <w:rFonts w:hint="eastAsia"/>
          <w:color w:val="auto"/>
          <w:lang w:eastAsia="zh-CN"/>
        </w:rPr>
        <w:t>供应商</w:t>
      </w:r>
      <w:r>
        <w:rPr>
          <w:rFonts w:hint="eastAsia"/>
          <w:color w:val="auto"/>
        </w:rPr>
        <w:t>认为需提供的其他资料</w:t>
      </w:r>
      <w:bookmarkEnd w:id="107"/>
      <w:bookmarkEnd w:id="108"/>
      <w:bookmarkEnd w:id="109"/>
      <w:bookmarkEnd w:id="110"/>
      <w:bookmarkEnd w:id="111"/>
    </w:p>
    <w:p w14:paraId="27EB4E3A">
      <w:pPr>
        <w:adjustRightInd w:val="0"/>
        <w:snapToGrid w:val="0"/>
        <w:spacing w:before="156" w:beforeLines="50" w:line="360" w:lineRule="auto"/>
        <w:rPr>
          <w:rFonts w:ascii="宋体" w:cs="Times New Roman"/>
          <w:color w:val="auto"/>
        </w:rPr>
      </w:pPr>
    </w:p>
    <w:p w14:paraId="505ABC36">
      <w:pPr>
        <w:adjustRightInd w:val="0"/>
        <w:snapToGrid w:val="0"/>
        <w:spacing w:before="156" w:beforeLines="50" w:line="360" w:lineRule="auto"/>
        <w:ind w:firstLine="480" w:firstLineChars="200"/>
        <w:jc w:val="center"/>
        <w:rPr>
          <w:rFonts w:ascii="宋体" w:cs="Times New Roman"/>
          <w:color w:val="auto"/>
        </w:rPr>
      </w:pPr>
    </w:p>
    <w:p w14:paraId="79F11B0F">
      <w:pPr>
        <w:adjustRightInd w:val="0"/>
        <w:snapToGrid w:val="0"/>
        <w:spacing w:beforeLines="50" w:line="360" w:lineRule="auto"/>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认为需提供的其他资料包括：</w:t>
      </w:r>
    </w:p>
    <w:p w14:paraId="6B7F2699">
      <w:pPr>
        <w:adjustRightInd w:val="0"/>
        <w:snapToGrid w:val="0"/>
        <w:spacing w:beforeLines="50" w:line="360" w:lineRule="auto"/>
        <w:ind w:firstLine="480" w:firstLineChars="200"/>
        <w:jc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谈判文件</w:t>
      </w: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章采购需求要求的其他资料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4AE5E636">
      <w:pPr>
        <w:bidi w:val="0"/>
        <w:rPr>
          <w:rFonts w:ascii="Calibri" w:hAnsi="Calibri" w:eastAsia="宋体" w:cs="宋体"/>
          <w:kern w:val="2"/>
          <w:sz w:val="24"/>
          <w:szCs w:val="24"/>
          <w:lang w:val="en-US" w:eastAsia="zh-CN" w:bidi="ar-SA"/>
        </w:rPr>
      </w:pPr>
    </w:p>
    <w:p w14:paraId="7C3C5F1A">
      <w:pPr>
        <w:bidi w:val="0"/>
        <w:rPr>
          <w:lang w:val="en-US" w:eastAsia="zh-CN"/>
        </w:rPr>
      </w:pPr>
    </w:p>
    <w:p w14:paraId="3E665259">
      <w:pPr>
        <w:bidi w:val="0"/>
        <w:rPr>
          <w:lang w:val="en-US" w:eastAsia="zh-CN"/>
        </w:rPr>
      </w:pPr>
    </w:p>
    <w:p w14:paraId="4AA6EF9E">
      <w:pPr>
        <w:bidi w:val="0"/>
        <w:rPr>
          <w:lang w:val="en-US" w:eastAsia="zh-CN"/>
        </w:rPr>
      </w:pPr>
    </w:p>
    <w:p w14:paraId="5008386F">
      <w:pPr>
        <w:bidi w:val="0"/>
        <w:rPr>
          <w:lang w:val="en-US" w:eastAsia="zh-CN"/>
        </w:rPr>
      </w:pPr>
    </w:p>
    <w:p w14:paraId="45E9BA3B">
      <w:pPr>
        <w:bidi w:val="0"/>
        <w:rPr>
          <w:lang w:val="en-US" w:eastAsia="zh-CN"/>
        </w:rPr>
      </w:pPr>
    </w:p>
    <w:p w14:paraId="33D7148E">
      <w:pPr>
        <w:bidi w:val="0"/>
        <w:rPr>
          <w:lang w:val="en-US" w:eastAsia="zh-CN"/>
        </w:rPr>
      </w:pPr>
    </w:p>
    <w:p w14:paraId="309E4AD2">
      <w:pPr>
        <w:bidi w:val="0"/>
        <w:rPr>
          <w:lang w:val="en-US" w:eastAsia="zh-CN"/>
        </w:rPr>
      </w:pPr>
    </w:p>
    <w:p w14:paraId="20695559">
      <w:pPr>
        <w:bidi w:val="0"/>
        <w:rPr>
          <w:lang w:val="en-US" w:eastAsia="zh-CN"/>
        </w:rPr>
      </w:pPr>
    </w:p>
    <w:p w14:paraId="5F5582F2">
      <w:pPr>
        <w:bidi w:val="0"/>
        <w:rPr>
          <w:lang w:val="en-US" w:eastAsia="zh-CN"/>
        </w:rPr>
      </w:pPr>
    </w:p>
    <w:p w14:paraId="595F941E">
      <w:pPr>
        <w:bidi w:val="0"/>
        <w:rPr>
          <w:lang w:val="en-US" w:eastAsia="zh-CN"/>
        </w:rPr>
      </w:pPr>
    </w:p>
    <w:p w14:paraId="65C80720">
      <w:pPr>
        <w:bidi w:val="0"/>
        <w:rPr>
          <w:lang w:val="en-US" w:eastAsia="zh-CN"/>
        </w:rPr>
      </w:pPr>
    </w:p>
    <w:p w14:paraId="7E41A318">
      <w:pPr>
        <w:bidi w:val="0"/>
        <w:rPr>
          <w:lang w:val="en-US" w:eastAsia="zh-CN"/>
        </w:rPr>
      </w:pPr>
    </w:p>
    <w:p w14:paraId="46659936">
      <w:pPr>
        <w:bidi w:val="0"/>
        <w:rPr>
          <w:lang w:val="en-US" w:eastAsia="zh-CN"/>
        </w:rPr>
      </w:pPr>
    </w:p>
    <w:p w14:paraId="0017838A">
      <w:pPr>
        <w:bidi w:val="0"/>
        <w:rPr>
          <w:lang w:val="en-US" w:eastAsia="zh-CN"/>
        </w:rPr>
      </w:pPr>
    </w:p>
    <w:p w14:paraId="1064BA93">
      <w:pPr>
        <w:bidi w:val="0"/>
        <w:rPr>
          <w:lang w:val="en-US" w:eastAsia="zh-CN"/>
        </w:rPr>
      </w:pPr>
    </w:p>
    <w:p w14:paraId="297F8675">
      <w:pPr>
        <w:bidi w:val="0"/>
        <w:rPr>
          <w:lang w:val="en-US" w:eastAsia="zh-CN"/>
        </w:rPr>
      </w:pPr>
    </w:p>
    <w:p w14:paraId="59EF4BC5">
      <w:pPr>
        <w:bidi w:val="0"/>
        <w:rPr>
          <w:lang w:val="en-US" w:eastAsia="zh-CN"/>
        </w:rPr>
      </w:pPr>
    </w:p>
    <w:p w14:paraId="42D8026D">
      <w:pPr>
        <w:bidi w:val="0"/>
        <w:rPr>
          <w:lang w:val="en-US" w:eastAsia="zh-CN"/>
        </w:rPr>
      </w:pPr>
    </w:p>
    <w:p w14:paraId="644674B5">
      <w:pPr>
        <w:bidi w:val="0"/>
        <w:rPr>
          <w:lang w:val="en-US" w:eastAsia="zh-CN"/>
        </w:rPr>
      </w:pPr>
    </w:p>
    <w:p w14:paraId="49D9D955">
      <w:pPr>
        <w:bidi w:val="0"/>
        <w:rPr>
          <w:lang w:val="en-US" w:eastAsia="zh-CN"/>
        </w:rPr>
      </w:pPr>
    </w:p>
    <w:p w14:paraId="7DCB68EF">
      <w:pPr>
        <w:bidi w:val="0"/>
        <w:rPr>
          <w:lang w:val="en-US" w:eastAsia="zh-CN"/>
        </w:rPr>
      </w:pPr>
    </w:p>
    <w:p w14:paraId="30F3AD74">
      <w:pPr>
        <w:bidi w:val="0"/>
        <w:rPr>
          <w:lang w:val="en-US" w:eastAsia="zh-CN"/>
        </w:rPr>
      </w:pPr>
    </w:p>
    <w:p w14:paraId="10E276B7">
      <w:pPr>
        <w:bidi w:val="0"/>
        <w:rPr>
          <w:lang w:val="en-US" w:eastAsia="zh-CN"/>
        </w:rPr>
      </w:pPr>
    </w:p>
    <w:p w14:paraId="298919D1">
      <w:pPr>
        <w:pStyle w:val="4"/>
        <w:numPr>
          <w:ilvl w:val="0"/>
          <w:numId w:val="0"/>
        </w:numPr>
        <w:spacing w:before="156"/>
        <w:ind w:left="0" w:leftChars="0" w:firstLine="420" w:firstLineChars="0"/>
        <w:jc w:val="center"/>
        <w:rPr>
          <w:rFonts w:hint="eastAsia"/>
          <w:color w:val="auto"/>
          <w:lang w:val="en-US" w:eastAsia="zh-CN"/>
        </w:rPr>
      </w:pPr>
      <w:r>
        <w:rPr>
          <w:rFonts w:hint="eastAsia"/>
          <w:lang w:val="en-US" w:eastAsia="zh-CN"/>
        </w:rPr>
        <w:tab/>
      </w:r>
      <w:bookmarkStart w:id="112" w:name="_Toc31875"/>
      <w:r>
        <w:rPr>
          <w:rFonts w:hint="eastAsia" w:cs="Times New Roman"/>
          <w:color w:val="auto"/>
          <w:kern w:val="2"/>
          <w:sz w:val="30"/>
          <w:szCs w:val="24"/>
          <w:lang w:val="en-US" w:eastAsia="zh-CN" w:bidi="ar-SA"/>
        </w:rPr>
        <w:t>十一</w:t>
      </w:r>
      <w:r>
        <w:rPr>
          <w:rFonts w:hint="eastAsia" w:ascii="Arial" w:hAnsi="Arial" w:eastAsia="黑体" w:cs="Times New Roman"/>
          <w:color w:val="auto"/>
          <w:kern w:val="2"/>
          <w:sz w:val="30"/>
          <w:szCs w:val="24"/>
          <w:lang w:val="en-US" w:eastAsia="zh-CN" w:bidi="ar-SA"/>
        </w:rPr>
        <w:t>、</w:t>
      </w:r>
      <w:r>
        <w:rPr>
          <w:rFonts w:hint="eastAsia"/>
          <w:color w:val="auto"/>
          <w:lang w:val="en-US" w:eastAsia="zh-CN"/>
        </w:rPr>
        <w:t>送达方式确认函</w:t>
      </w:r>
      <w:bookmarkEnd w:id="112"/>
    </w:p>
    <w:p w14:paraId="76E09C55">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______________________（</w:t>
      </w:r>
      <w:r>
        <w:rPr>
          <w:rFonts w:hint="eastAsia"/>
          <w:color w:val="auto"/>
          <w:lang w:val="en-US" w:eastAsia="zh-CN"/>
        </w:rPr>
        <w:t>采购</w:t>
      </w:r>
      <w:r>
        <w:rPr>
          <w:rFonts w:hint="eastAsia" w:eastAsia="宋体"/>
          <w:color w:val="auto"/>
          <w:lang w:val="en-US" w:eastAsia="zh-CN"/>
        </w:rPr>
        <w:t xml:space="preserve">人名称）： </w:t>
      </w:r>
    </w:p>
    <w:p w14:paraId="163D24A1">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关于贵单位于202</w:t>
      </w:r>
      <w:r>
        <w:rPr>
          <w:rFonts w:hint="eastAsia"/>
          <w:color w:val="auto"/>
          <w:lang w:val="en-US" w:eastAsia="zh-CN"/>
        </w:rPr>
        <w:t>6</w:t>
      </w:r>
      <w:r>
        <w:rPr>
          <w:rFonts w:hint="eastAsia" w:eastAsia="宋体"/>
          <w:color w:val="auto"/>
          <w:lang w:val="en-US" w:eastAsia="zh-CN"/>
        </w:rPr>
        <w:t>年  月  日发布的</w:t>
      </w:r>
      <w:r>
        <w:rPr>
          <w:rFonts w:hint="eastAsia"/>
          <w:color w:val="auto"/>
          <w:lang w:val="en-US" w:eastAsia="zh-CN"/>
        </w:rPr>
        <w:t xml:space="preserve">  </w:t>
      </w:r>
      <w:r>
        <w:rPr>
          <w:rFonts w:hint="eastAsia" w:eastAsia="宋体"/>
          <w:color w:val="auto"/>
          <w:lang w:val="en-US" w:eastAsia="zh-CN"/>
        </w:rPr>
        <w:t>（项目名称），本公司愿意参加该项⽬的投标。若我公司中标后，中标通知书送达方式为 电话通知、现场领取、短信或微信、邮寄、电子邮箱方式，我公司均认可。</w:t>
      </w:r>
    </w:p>
    <w:p w14:paraId="6926F9DF">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单位名称：__________________</w:t>
      </w:r>
    </w:p>
    <w:p w14:paraId="5BA8AB60">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法⼈代表（签字或签章）：___________</w:t>
      </w:r>
    </w:p>
    <w:p w14:paraId="321DF0C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代表⼈（签字或签章）___________ </w:t>
      </w:r>
    </w:p>
    <w:p w14:paraId="2BBDCE7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单位地址：______________</w:t>
      </w:r>
    </w:p>
    <w:p w14:paraId="58DF0FE0">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电话：___________</w:t>
      </w:r>
    </w:p>
    <w:p w14:paraId="092E8BE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邮箱：___________ </w:t>
      </w:r>
    </w:p>
    <w:p w14:paraId="0034A9C3">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邮编：___________ </w:t>
      </w:r>
    </w:p>
    <w:p w14:paraId="184E3603">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 xml:space="preserve">⽇期：___________ </w:t>
      </w:r>
    </w:p>
    <w:p w14:paraId="1975DFFA">
      <w:pPr>
        <w:pStyle w:val="45"/>
        <w:spacing w:before="156" w:line="380" w:lineRule="exact"/>
        <w:ind w:firstLine="480"/>
        <w:rPr>
          <w:rFonts w:hint="eastAsia" w:eastAsia="宋体"/>
          <w:color w:val="auto"/>
          <w:lang w:val="en-US" w:eastAsia="zh-CN"/>
        </w:rPr>
      </w:pPr>
      <w:r>
        <w:rPr>
          <w:rFonts w:hint="eastAsia" w:eastAsia="宋体"/>
          <w:color w:val="auto"/>
          <w:lang w:val="en-US" w:eastAsia="zh-CN"/>
        </w:rPr>
        <w:t>注：此送达方式确认函放入</w:t>
      </w:r>
      <w:r>
        <w:rPr>
          <w:rFonts w:hint="eastAsia"/>
          <w:color w:val="auto"/>
          <w:lang w:val="en-US" w:eastAsia="zh-CN"/>
        </w:rPr>
        <w:t>响应文件</w:t>
      </w:r>
      <w:r>
        <w:rPr>
          <w:rFonts w:hint="eastAsia" w:eastAsia="宋体"/>
          <w:color w:val="auto"/>
          <w:lang w:val="en-US" w:eastAsia="zh-CN"/>
        </w:rPr>
        <w:t>中。</w:t>
      </w:r>
    </w:p>
    <w:p w14:paraId="723F8EBD">
      <w:pPr>
        <w:pStyle w:val="45"/>
        <w:spacing w:before="156" w:line="380" w:lineRule="exact"/>
        <w:ind w:firstLine="480"/>
        <w:rPr>
          <w:rFonts w:hint="eastAsia" w:eastAsia="宋体"/>
          <w:color w:val="auto"/>
          <w:lang w:val="en-US" w:eastAsia="zh-CN"/>
        </w:rPr>
      </w:pPr>
    </w:p>
    <w:p w14:paraId="32BD5412">
      <w:pPr>
        <w:pStyle w:val="45"/>
        <w:spacing w:before="156" w:line="380" w:lineRule="exact"/>
        <w:ind w:firstLine="480"/>
        <w:rPr>
          <w:rFonts w:hint="eastAsia" w:eastAsia="宋体"/>
          <w:color w:val="auto"/>
          <w:lang w:val="en-US" w:eastAsia="zh-CN"/>
        </w:rPr>
      </w:pPr>
    </w:p>
    <w:p w14:paraId="48F8558B">
      <w:pPr>
        <w:rPr>
          <w:rFonts w:hint="eastAsia" w:eastAsia="宋体"/>
          <w:color w:val="auto"/>
          <w:lang w:val="en-US" w:eastAsia="zh-CN"/>
        </w:rPr>
      </w:pPr>
      <w:r>
        <w:rPr>
          <w:rFonts w:hint="eastAsia" w:eastAsia="宋体"/>
          <w:color w:val="auto"/>
          <w:lang w:val="en-US" w:eastAsia="zh-CN"/>
        </w:rPr>
        <w:br w:type="page"/>
      </w:r>
    </w:p>
    <w:p w14:paraId="3CB23996">
      <w:pPr>
        <w:pStyle w:val="45"/>
        <w:spacing w:before="240"/>
        <w:ind w:firstLine="0" w:firstLineChars="0"/>
        <w:jc w:val="center"/>
        <w:outlineLvl w:val="1"/>
        <w:rPr>
          <w:rFonts w:hint="eastAsia" w:ascii="Arial" w:hAnsi="Arial" w:eastAsia="黑体" w:cs="Times New Roman"/>
          <w:color w:val="auto"/>
          <w:kern w:val="2"/>
          <w:sz w:val="30"/>
          <w:szCs w:val="24"/>
          <w:lang w:val="en-US" w:eastAsia="zh-CN" w:bidi="ar-SA"/>
        </w:rPr>
      </w:pPr>
      <w:r>
        <w:rPr>
          <w:rFonts w:hint="eastAsia" w:ascii="Arial" w:hAnsi="Arial" w:eastAsia="黑体" w:cs="Times New Roman"/>
          <w:color w:val="auto"/>
          <w:kern w:val="2"/>
          <w:sz w:val="30"/>
          <w:szCs w:val="24"/>
          <w:lang w:val="en-US" w:eastAsia="zh-CN" w:bidi="ar-SA"/>
        </w:rPr>
        <w:t>十二、中小企业声明函</w:t>
      </w:r>
    </w:p>
    <w:p w14:paraId="0A9903E0">
      <w:pPr>
        <w:pStyle w:val="45"/>
        <w:spacing w:before="240"/>
        <w:ind w:firstLine="480"/>
      </w:pPr>
    </w:p>
    <w:p w14:paraId="291F9945">
      <w:pPr>
        <w:widowControl/>
        <w:shd w:val="clear"/>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（货物类）</w:t>
      </w:r>
    </w:p>
    <w:p w14:paraId="1B373248">
      <w:pPr>
        <w:widowControl/>
        <w:shd w:val="clear"/>
        <w:adjustRightInd w:val="0"/>
        <w:snapToGrid w:val="0"/>
        <w:spacing w:line="360" w:lineRule="auto"/>
        <w:jc w:val="center"/>
        <w:rPr>
          <w:rFonts w:ascii="宋体" w:hAnsi="宋体" w:eastAsia="宋体" w:cs="宋体"/>
          <w:color w:val="auto"/>
          <w:kern w:val="0"/>
          <w:szCs w:val="21"/>
          <w:highlight w:val="none"/>
          <w:lang w:bidi="ar"/>
        </w:rPr>
      </w:pPr>
      <w:r>
        <w:rPr>
          <w:rFonts w:hint="eastAsia" w:ascii="宋体" w:hAnsi="宋体" w:eastAsia="宋体" w:cs="宋体"/>
          <w:b/>
          <w:color w:val="auto"/>
          <w:spacing w:val="6"/>
          <w:kern w:val="0"/>
          <w:szCs w:val="21"/>
          <w:highlight w:val="none"/>
        </w:rPr>
        <w:t>(不满足以下条件的无需填写)</w:t>
      </w:r>
    </w:p>
    <w:p w14:paraId="7A5C89B9">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Cs w:val="21"/>
          <w:highlight w:val="none"/>
          <w:u w:val="single"/>
          <w:lang w:bidi="ar"/>
        </w:rPr>
        <w:t>（单位名称）</w:t>
      </w:r>
      <w:r>
        <w:rPr>
          <w:rFonts w:hint="eastAsia" w:ascii="宋体" w:hAnsi="宋体" w:eastAsia="宋体" w:cs="宋体"/>
          <w:color w:val="auto"/>
          <w:kern w:val="0"/>
          <w:szCs w:val="21"/>
          <w:highlight w:val="none"/>
          <w:lang w:bidi="ar"/>
        </w:rPr>
        <w:t>的</w:t>
      </w:r>
      <w:r>
        <w:rPr>
          <w:rFonts w:hint="eastAsia" w:ascii="宋体" w:hAnsi="宋体" w:eastAsia="宋体" w:cs="宋体"/>
          <w:color w:val="auto"/>
          <w:kern w:val="0"/>
          <w:szCs w:val="21"/>
          <w:highlight w:val="none"/>
          <w:u w:val="single"/>
          <w:lang w:bidi="ar"/>
        </w:rPr>
        <w:t>（项目名称）</w:t>
      </w:r>
      <w:r>
        <w:rPr>
          <w:rFonts w:hint="eastAsia" w:ascii="宋体" w:hAnsi="宋体" w:eastAsia="宋体" w:cs="宋体"/>
          <w:color w:val="auto"/>
          <w:kern w:val="0"/>
          <w:szCs w:val="21"/>
          <w:highlight w:val="none"/>
          <w:lang w:bidi="ar"/>
        </w:rPr>
        <w:t xml:space="preserve">采购活动，提供的货物全部由符合政策要求的中小企业制造。相关企业（含联合体中的中小企业、签订分包意向协议的中小企业）的具体情况如下： </w:t>
      </w:r>
    </w:p>
    <w:p w14:paraId="6D800199">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1.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w:t>
      </w:r>
      <w:r>
        <w:rPr>
          <w:rFonts w:hint="eastAsia" w:ascii="宋体" w:hAnsi="宋体" w:eastAsia="宋体" w:cs="宋体"/>
          <w:color w:val="auto"/>
          <w:kern w:val="0"/>
          <w:szCs w:val="21"/>
          <w:highlight w:val="none"/>
          <w:lang w:bidi="ar"/>
        </w:rPr>
        <w:t>行业；制造商为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15330EEA">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2. </w:t>
      </w:r>
      <w:r>
        <w:rPr>
          <w:rFonts w:hint="eastAsia" w:ascii="宋体" w:hAnsi="宋体" w:eastAsia="宋体" w:cs="宋体"/>
          <w:color w:val="auto"/>
          <w:kern w:val="0"/>
          <w:szCs w:val="21"/>
          <w:highlight w:val="none"/>
          <w:u w:val="single"/>
          <w:lang w:bidi="ar"/>
        </w:rPr>
        <w:t xml:space="preserve">（标的名称） </w:t>
      </w:r>
      <w:r>
        <w:rPr>
          <w:rFonts w:hint="eastAsia" w:ascii="宋体" w:hAnsi="宋体" w:eastAsia="宋体" w:cs="宋体"/>
          <w:color w:val="auto"/>
          <w:kern w:val="0"/>
          <w:szCs w:val="21"/>
          <w:highlight w:val="none"/>
          <w:lang w:bidi="ar"/>
        </w:rPr>
        <w:t>，属于</w:t>
      </w:r>
      <w:r>
        <w:rPr>
          <w:rFonts w:hint="eastAsia" w:ascii="宋体" w:hAnsi="宋体" w:eastAsia="宋体" w:cs="宋体"/>
          <w:color w:val="auto"/>
          <w:kern w:val="0"/>
          <w:szCs w:val="21"/>
          <w:highlight w:val="none"/>
          <w:u w:val="single"/>
          <w:lang w:bidi="ar"/>
        </w:rPr>
        <w:t>（采购文件中明确的所属行业）</w:t>
      </w:r>
      <w:r>
        <w:rPr>
          <w:rFonts w:hint="eastAsia" w:ascii="宋体" w:hAnsi="宋体" w:eastAsia="宋体" w:cs="宋体"/>
          <w:color w:val="auto"/>
          <w:kern w:val="0"/>
          <w:szCs w:val="21"/>
          <w:highlight w:val="none"/>
          <w:lang w:bidi="ar"/>
        </w:rPr>
        <w:t>行业；制造商为</w:t>
      </w:r>
      <w:r>
        <w:rPr>
          <w:rFonts w:hint="eastAsia" w:ascii="宋体" w:hAnsi="宋体" w:eastAsia="宋体" w:cs="宋体"/>
          <w:color w:val="auto"/>
          <w:kern w:val="0"/>
          <w:szCs w:val="21"/>
          <w:highlight w:val="none"/>
          <w:u w:val="single"/>
          <w:lang w:bidi="ar"/>
        </w:rPr>
        <w:t>（企业名称）</w:t>
      </w:r>
      <w:r>
        <w:rPr>
          <w:rFonts w:hint="eastAsia" w:ascii="宋体" w:hAnsi="宋体" w:eastAsia="宋体" w:cs="宋体"/>
          <w:color w:val="auto"/>
          <w:kern w:val="0"/>
          <w:szCs w:val="21"/>
          <w:highlight w:val="none"/>
          <w:lang w:bidi="ar"/>
        </w:rPr>
        <w:t>，从业人员</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人，营业收入为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万元，资产总额为</w:t>
      </w:r>
      <w:r>
        <w:rPr>
          <w:rFonts w:hint="eastAsia" w:ascii="宋体" w:hAnsi="宋体" w:eastAsia="宋体" w:cs="宋体"/>
          <w:color w:val="auto"/>
          <w:kern w:val="0"/>
          <w:szCs w:val="21"/>
          <w:highlight w:val="none"/>
          <w:u w:val="single"/>
          <w:lang w:bidi="ar"/>
        </w:rPr>
        <w:t xml:space="preserve">       </w:t>
      </w:r>
      <w:r>
        <w:rPr>
          <w:rFonts w:hint="eastAsia" w:ascii="宋体" w:hAnsi="宋体" w:eastAsia="宋体" w:cs="宋体"/>
          <w:color w:val="auto"/>
          <w:kern w:val="0"/>
          <w:szCs w:val="21"/>
          <w:highlight w:val="none"/>
          <w:lang w:bidi="ar"/>
        </w:rPr>
        <w:t>万元，属于</w:t>
      </w:r>
      <w:r>
        <w:rPr>
          <w:rFonts w:hint="eastAsia" w:ascii="宋体" w:hAnsi="宋体" w:eastAsia="宋体" w:cs="宋体"/>
          <w:color w:val="auto"/>
          <w:kern w:val="0"/>
          <w:szCs w:val="21"/>
          <w:highlight w:val="none"/>
          <w:u w:val="single"/>
          <w:lang w:bidi="ar"/>
        </w:rPr>
        <w:t>（中型企业、小型企业、微型企业）</w:t>
      </w:r>
      <w:r>
        <w:rPr>
          <w:rFonts w:hint="eastAsia" w:ascii="宋体" w:hAnsi="宋体" w:eastAsia="宋体" w:cs="宋体"/>
          <w:color w:val="auto"/>
          <w:kern w:val="0"/>
          <w:szCs w:val="21"/>
          <w:highlight w:val="none"/>
          <w:lang w:bidi="ar"/>
        </w:rPr>
        <w:t xml:space="preserve">；  </w:t>
      </w:r>
    </w:p>
    <w:p w14:paraId="4F925FF2">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w:t>
      </w:r>
    </w:p>
    <w:p w14:paraId="7AF6B720">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605E0120">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企业名称（盖章）： </w:t>
      </w:r>
    </w:p>
    <w:p w14:paraId="1AFD403F">
      <w:pPr>
        <w:widowControl/>
        <w:shd w:val="clear"/>
        <w:spacing w:line="360" w:lineRule="auto"/>
        <w:ind w:firstLine="480" w:firstLineChars="200"/>
        <w:jc w:val="left"/>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 xml:space="preserve">日 期： </w:t>
      </w:r>
    </w:p>
    <w:p w14:paraId="5F5BF07F">
      <w:pPr>
        <w:pStyle w:val="45"/>
        <w:spacing w:before="240"/>
        <w:ind w:firstLine="480"/>
        <w:jc w:val="right"/>
      </w:pPr>
    </w:p>
    <w:p w14:paraId="267F98E1">
      <w:pPr>
        <w:pStyle w:val="45"/>
        <w:spacing w:before="240"/>
        <w:ind w:firstLine="0" w:firstLineChars="0"/>
        <w:rPr>
          <w:b/>
          <w:bCs/>
        </w:rPr>
      </w:pPr>
      <w:r>
        <w:rPr>
          <w:rFonts w:hint="eastAsia"/>
          <w:b/>
          <w:bCs/>
        </w:rPr>
        <w:t>（备注：从业人员、营业收入、资产总额填报上一年度数据，无上一年度数据的新成立企业可不填报。）</w:t>
      </w:r>
    </w:p>
    <w:p w14:paraId="370DEE9B">
      <w:pPr>
        <w:pStyle w:val="45"/>
        <w:spacing w:before="240"/>
        <w:ind w:firstLine="0" w:firstLineChars="0"/>
        <w:rPr>
          <w:b/>
          <w:bCs/>
        </w:rPr>
      </w:pPr>
    </w:p>
    <w:p w14:paraId="2E2A9DB1">
      <w:pPr>
        <w:adjustRightInd w:val="0"/>
        <w:snapToGrid w:val="0"/>
        <w:spacing w:line="360" w:lineRule="auto"/>
        <w:jc w:val="center"/>
        <w:rPr>
          <w:rFonts w:ascii="宋体" w:hAnsi="宋体"/>
          <w:b/>
          <w:sz w:val="28"/>
          <w:szCs w:val="28"/>
        </w:rPr>
      </w:pPr>
    </w:p>
    <w:p w14:paraId="3E9ECC30"/>
    <w:p w14:paraId="2DBC8353"/>
    <w:p w14:paraId="0D95D2B2">
      <w:pPr>
        <w:rPr>
          <w:color w:val="auto"/>
          <w:highlight w:val="none"/>
        </w:rPr>
      </w:pPr>
      <w:bookmarkStart w:id="113" w:name="_Toc26447"/>
      <w:r>
        <w:rPr>
          <w:color w:val="auto"/>
          <w:highlight w:val="none"/>
        </w:rPr>
        <w:br w:type="page"/>
      </w:r>
    </w:p>
    <w:p w14:paraId="71FF315C">
      <w:pPr>
        <w:pStyle w:val="3"/>
        <w:spacing w:before="156" w:after="156"/>
        <w:rPr>
          <w:rFonts w:hint="default"/>
          <w:color w:val="auto"/>
          <w:highlight w:val="none"/>
        </w:rPr>
      </w:pPr>
      <w:r>
        <w:rPr>
          <w:color w:val="auto"/>
          <w:highlight w:val="none"/>
        </w:rPr>
        <w:t xml:space="preserve">第七章 </w:t>
      </w:r>
      <w:r>
        <w:rPr>
          <w:rFonts w:hint="eastAsia"/>
          <w:color w:val="auto"/>
          <w:highlight w:val="none"/>
          <w:lang w:val="en-US" w:eastAsia="zh-CN"/>
        </w:rPr>
        <w:t>政府采购</w:t>
      </w:r>
      <w:r>
        <w:rPr>
          <w:rFonts w:hint="eastAsia"/>
          <w:color w:val="auto"/>
          <w:highlight w:val="none"/>
          <w:lang w:eastAsia="zh-CN"/>
        </w:rPr>
        <w:t>供应商</w:t>
      </w:r>
      <w:r>
        <w:rPr>
          <w:color w:val="auto"/>
          <w:highlight w:val="none"/>
        </w:rPr>
        <w:t>质疑函范本</w:t>
      </w:r>
      <w:bookmarkEnd w:id="73"/>
      <w:bookmarkEnd w:id="74"/>
      <w:bookmarkEnd w:id="75"/>
      <w:bookmarkEnd w:id="76"/>
      <w:bookmarkEnd w:id="113"/>
    </w:p>
    <w:p w14:paraId="04294451">
      <w:pPr>
        <w:jc w:val="center"/>
        <w:rPr>
          <w:rFonts w:ascii="仿宋" w:hAnsi="仿宋" w:eastAsia="仿宋" w:cs="仿宋"/>
          <w:b/>
          <w:bCs/>
          <w:sz w:val="44"/>
          <w:szCs w:val="44"/>
        </w:rPr>
      </w:pPr>
      <w:r>
        <w:rPr>
          <w:rFonts w:hint="eastAsia" w:ascii="方正小标宋_GBK" w:hAnsi="方正小标宋_GBK" w:eastAsia="方正小标宋_GBK" w:cs="方正小标宋_GBK"/>
          <w:sz w:val="32"/>
          <w:szCs w:val="32"/>
        </w:rPr>
        <w:t>质疑函范本</w:t>
      </w:r>
    </w:p>
    <w:p w14:paraId="3699CA5C">
      <w:pPr>
        <w:pStyle w:val="45"/>
        <w:spacing w:before="312"/>
        <w:ind w:firstLine="0" w:firstLineChars="0"/>
        <w:outlineLvl w:val="1"/>
        <w:rPr>
          <w:rFonts w:ascii="黑体" w:hAnsi="黑体" w:eastAsia="黑体" w:cs="黑体"/>
        </w:rPr>
      </w:pPr>
      <w:r>
        <w:rPr>
          <w:rFonts w:hint="eastAsia" w:ascii="黑体" w:hAnsi="黑体" w:eastAsia="黑体" w:cs="黑体"/>
        </w:rPr>
        <w:t>一、质疑供应商基本信息</w:t>
      </w:r>
    </w:p>
    <w:p w14:paraId="188B5CFC">
      <w:pPr>
        <w:pStyle w:val="45"/>
        <w:spacing w:before="312"/>
        <w:ind w:firstLine="480"/>
        <w:rPr>
          <w:u w:val="single"/>
        </w:rPr>
      </w:pPr>
      <w:r>
        <w:rPr>
          <w:rFonts w:hint="eastAsia"/>
        </w:rPr>
        <w:t>质疑供应商：</w:t>
      </w:r>
      <w:r>
        <w:rPr>
          <w:rFonts w:hint="eastAsia"/>
          <w:u w:val="single"/>
        </w:rPr>
        <w:t xml:space="preserve">                                                </w:t>
      </w:r>
    </w:p>
    <w:p w14:paraId="56373B45">
      <w:pPr>
        <w:pStyle w:val="45"/>
        <w:spacing w:before="312"/>
        <w:ind w:firstLine="480"/>
      </w:pPr>
      <w:r>
        <w:rPr>
          <w:rFonts w:hint="eastAsia"/>
        </w:rPr>
        <w:t>地址：</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414E2D92">
      <w:pPr>
        <w:pStyle w:val="45"/>
        <w:spacing w:before="312"/>
        <w:ind w:firstLine="480"/>
      </w:pPr>
      <w:r>
        <w:rPr>
          <w:rFonts w:hint="eastAsia"/>
        </w:rPr>
        <w:t>联系人：</w:t>
      </w:r>
      <w:r>
        <w:rPr>
          <w:rFonts w:hint="eastAsia"/>
          <w:u w:val="single"/>
        </w:rPr>
        <w:t xml:space="preserve">                     </w:t>
      </w:r>
      <w:r>
        <w:rPr>
          <w:rFonts w:hint="eastAsia"/>
        </w:rPr>
        <w:t xml:space="preserve"> 联系电话：</w:t>
      </w:r>
      <w:r>
        <w:rPr>
          <w:rFonts w:hint="eastAsia"/>
          <w:u w:val="single"/>
        </w:rPr>
        <w:t xml:space="preserve">                    </w:t>
      </w:r>
      <w:r>
        <w:rPr>
          <w:rFonts w:hint="eastAsia"/>
        </w:rPr>
        <w:t xml:space="preserve">          </w:t>
      </w:r>
    </w:p>
    <w:p w14:paraId="64E115C2">
      <w:pPr>
        <w:pStyle w:val="45"/>
        <w:spacing w:before="312"/>
        <w:ind w:firstLine="480"/>
        <w:rPr>
          <w:u w:val="single"/>
        </w:rPr>
      </w:pPr>
      <w:r>
        <w:rPr>
          <w:rFonts w:hint="eastAsia"/>
        </w:rPr>
        <w:t>授权代表：</w:t>
      </w:r>
      <w:r>
        <w:rPr>
          <w:rFonts w:hint="eastAsia"/>
          <w:u w:val="single"/>
        </w:rPr>
        <w:t xml:space="preserve">                                                  </w:t>
      </w:r>
    </w:p>
    <w:p w14:paraId="7FADAFB0">
      <w:pPr>
        <w:pStyle w:val="45"/>
        <w:spacing w:before="312"/>
        <w:ind w:firstLine="480"/>
        <w:rPr>
          <w:u w:val="single"/>
        </w:rPr>
      </w:pPr>
      <w:r>
        <w:rPr>
          <w:rFonts w:hint="eastAsia"/>
        </w:rPr>
        <w:t>联系电话：</w:t>
      </w:r>
      <w:r>
        <w:rPr>
          <w:rFonts w:hint="eastAsia"/>
          <w:u w:val="single"/>
        </w:rPr>
        <w:t xml:space="preserve">                                                 </w:t>
      </w:r>
      <w:r>
        <w:rPr>
          <w:u w:val="single"/>
        </w:rPr>
        <w:t xml:space="preserve"> </w:t>
      </w:r>
    </w:p>
    <w:p w14:paraId="1B2C3D60">
      <w:pPr>
        <w:pStyle w:val="45"/>
        <w:spacing w:before="312"/>
        <w:ind w:firstLine="480"/>
      </w:pPr>
      <w:r>
        <w:rPr>
          <w:rFonts w:hint="eastAsia"/>
        </w:rPr>
        <w:t>地址：</w:t>
      </w:r>
      <w:r>
        <w:rPr>
          <w:u w:val="single"/>
        </w:rPr>
        <w:t xml:space="preserve"> </w:t>
      </w:r>
      <w:r>
        <w:rPr>
          <w:rFonts w:hint="eastAsia"/>
          <w:u w:val="single"/>
        </w:rPr>
        <w:t xml:space="preserve">                       </w:t>
      </w:r>
      <w:r>
        <w:rPr>
          <w:rFonts w:hint="eastAsia"/>
        </w:rPr>
        <w:t xml:space="preserve"> 邮编：</w:t>
      </w:r>
      <w:r>
        <w:rPr>
          <w:rFonts w:hint="eastAsia"/>
          <w:u w:val="single"/>
        </w:rPr>
        <w:t xml:space="preserve">                       </w:t>
      </w:r>
      <w:r>
        <w:rPr>
          <w:rFonts w:hint="eastAsia"/>
        </w:rPr>
        <w:t xml:space="preserve">                         </w:t>
      </w:r>
    </w:p>
    <w:p w14:paraId="03D18A0A">
      <w:pPr>
        <w:pStyle w:val="45"/>
        <w:spacing w:before="312"/>
        <w:ind w:firstLine="0" w:firstLineChars="0"/>
        <w:outlineLvl w:val="1"/>
        <w:rPr>
          <w:rFonts w:ascii="黑体" w:hAnsi="黑体" w:eastAsia="黑体" w:cs="黑体"/>
        </w:rPr>
      </w:pPr>
      <w:r>
        <w:rPr>
          <w:rFonts w:hint="eastAsia" w:ascii="黑体" w:hAnsi="黑体" w:eastAsia="黑体" w:cs="黑体"/>
        </w:rPr>
        <w:t>二、质疑项目基本情况</w:t>
      </w:r>
    </w:p>
    <w:p w14:paraId="0FA81D91">
      <w:pPr>
        <w:pStyle w:val="45"/>
        <w:spacing w:before="312"/>
        <w:ind w:firstLine="480"/>
        <w:rPr>
          <w:u w:val="single"/>
        </w:rPr>
      </w:pPr>
      <w:r>
        <w:rPr>
          <w:rFonts w:hint="eastAsia"/>
        </w:rPr>
        <w:t>质疑项目的名称：</w:t>
      </w:r>
      <w:r>
        <w:rPr>
          <w:rFonts w:hint="eastAsia"/>
          <w:u w:val="single"/>
        </w:rPr>
        <w:t xml:space="preserve">                                            </w:t>
      </w:r>
    </w:p>
    <w:p w14:paraId="7666ADA3">
      <w:pPr>
        <w:pStyle w:val="45"/>
        <w:spacing w:before="312"/>
        <w:ind w:firstLine="480"/>
        <w:rPr>
          <w:u w:val="single"/>
        </w:rPr>
      </w:pPr>
      <w:r>
        <w:rPr>
          <w:rFonts w:hint="eastAsia"/>
        </w:rPr>
        <w:t>质疑项目的编号：</w:t>
      </w:r>
      <w:r>
        <w:rPr>
          <w:rFonts w:hint="eastAsia"/>
          <w:u w:val="single"/>
        </w:rPr>
        <w:t xml:space="preserve">              </w:t>
      </w:r>
      <w:r>
        <w:rPr>
          <w:rFonts w:hint="eastAsia"/>
        </w:rPr>
        <w:t xml:space="preserve"> 包号：</w:t>
      </w:r>
      <w:r>
        <w:rPr>
          <w:rFonts w:hint="eastAsia"/>
          <w:u w:val="single"/>
        </w:rPr>
        <w:t xml:space="preserve">                       </w:t>
      </w:r>
    </w:p>
    <w:p w14:paraId="4756C6CE">
      <w:pPr>
        <w:pStyle w:val="45"/>
        <w:spacing w:before="312"/>
        <w:ind w:firstLine="480"/>
        <w:rPr>
          <w:u w:val="single"/>
        </w:rPr>
      </w:pPr>
      <w:r>
        <w:rPr>
          <w:rFonts w:hint="eastAsia"/>
        </w:rPr>
        <w:t>采购人名称：</w:t>
      </w:r>
      <w:r>
        <w:rPr>
          <w:rFonts w:hint="eastAsia"/>
          <w:u w:val="single"/>
        </w:rPr>
        <w:t xml:space="preserve">                                                </w:t>
      </w:r>
    </w:p>
    <w:p w14:paraId="34C6100E">
      <w:pPr>
        <w:pStyle w:val="45"/>
        <w:spacing w:before="312"/>
        <w:ind w:firstLine="480"/>
      </w:pPr>
      <w:r>
        <w:rPr>
          <w:rFonts w:hint="eastAsia"/>
        </w:rPr>
        <w:t>采购文件获取日期：</w:t>
      </w:r>
      <w:r>
        <w:rPr>
          <w:rFonts w:hint="eastAsia"/>
          <w:u w:val="single"/>
        </w:rPr>
        <w:t xml:space="preserve">                                          </w:t>
      </w:r>
      <w:r>
        <w:rPr>
          <w:rFonts w:hint="eastAsia"/>
        </w:rPr>
        <w:t xml:space="preserve"> </w:t>
      </w:r>
    </w:p>
    <w:p w14:paraId="2E63E12B">
      <w:pPr>
        <w:pStyle w:val="45"/>
        <w:spacing w:before="312"/>
        <w:ind w:firstLine="0" w:firstLineChars="0"/>
        <w:outlineLvl w:val="1"/>
        <w:rPr>
          <w:rFonts w:ascii="黑体" w:hAnsi="黑体" w:eastAsia="黑体" w:cs="黑体"/>
        </w:rPr>
      </w:pPr>
      <w:r>
        <w:rPr>
          <w:rFonts w:hint="eastAsia" w:ascii="黑体" w:hAnsi="黑体" w:eastAsia="黑体" w:cs="黑体"/>
        </w:rPr>
        <w:t>三、质疑事项具体内容</w:t>
      </w:r>
    </w:p>
    <w:p w14:paraId="484AE46D">
      <w:pPr>
        <w:pStyle w:val="45"/>
        <w:spacing w:before="312"/>
        <w:ind w:firstLine="480"/>
      </w:pPr>
      <w:r>
        <w:rPr>
          <w:rFonts w:hint="eastAsia"/>
        </w:rPr>
        <w:t xml:space="preserve">质疑事项1：                                         </w:t>
      </w:r>
    </w:p>
    <w:p w14:paraId="1C6C874A">
      <w:pPr>
        <w:pStyle w:val="45"/>
        <w:spacing w:before="312"/>
        <w:ind w:firstLine="480"/>
      </w:pPr>
      <w:r>
        <w:rPr>
          <w:rFonts w:hint="eastAsia"/>
        </w:rPr>
        <w:t xml:space="preserve">事实依据：                                          </w:t>
      </w:r>
    </w:p>
    <w:p w14:paraId="580A6F2C">
      <w:pPr>
        <w:pStyle w:val="45"/>
        <w:spacing w:before="312"/>
        <w:ind w:firstLine="480"/>
      </w:pPr>
      <w:r>
        <w:rPr>
          <w:rFonts w:hint="eastAsia"/>
        </w:rPr>
        <w:t xml:space="preserve">                                                       </w:t>
      </w:r>
    </w:p>
    <w:p w14:paraId="08B90CCA">
      <w:pPr>
        <w:pStyle w:val="45"/>
        <w:spacing w:before="312"/>
        <w:ind w:firstLine="480"/>
      </w:pPr>
      <w:r>
        <w:rPr>
          <w:rFonts w:hint="eastAsia"/>
        </w:rPr>
        <w:t xml:space="preserve">法律依据：                                          </w:t>
      </w:r>
    </w:p>
    <w:p w14:paraId="0E2BFA41">
      <w:pPr>
        <w:pStyle w:val="45"/>
        <w:spacing w:before="312"/>
        <w:ind w:firstLine="480"/>
      </w:pPr>
      <w:r>
        <w:rPr>
          <w:rFonts w:hint="eastAsia"/>
        </w:rPr>
        <w:t xml:space="preserve">                                                     </w:t>
      </w:r>
    </w:p>
    <w:p w14:paraId="1ACC4EF7">
      <w:pPr>
        <w:pStyle w:val="45"/>
        <w:spacing w:before="312"/>
        <w:ind w:firstLine="480"/>
      </w:pPr>
      <w:r>
        <w:rPr>
          <w:rFonts w:hint="eastAsia"/>
        </w:rPr>
        <w:t>质疑事项2：</w:t>
      </w:r>
    </w:p>
    <w:p w14:paraId="63659C33">
      <w:pPr>
        <w:pStyle w:val="45"/>
        <w:spacing w:before="312"/>
        <w:ind w:firstLine="480"/>
      </w:pPr>
      <w:r>
        <w:rPr>
          <w:rFonts w:hint="eastAsia"/>
        </w:rPr>
        <w:t>……</w:t>
      </w:r>
    </w:p>
    <w:p w14:paraId="06CC9C52">
      <w:pPr>
        <w:pStyle w:val="45"/>
        <w:spacing w:before="312"/>
        <w:ind w:firstLine="0" w:firstLineChars="0"/>
        <w:outlineLvl w:val="1"/>
        <w:rPr>
          <w:rFonts w:ascii="黑体" w:hAnsi="黑体" w:eastAsia="黑体" w:cs="黑体"/>
        </w:rPr>
      </w:pPr>
      <w:r>
        <w:rPr>
          <w:rFonts w:hint="eastAsia" w:ascii="黑体" w:hAnsi="黑体" w:eastAsia="黑体" w:cs="黑体"/>
        </w:rPr>
        <w:t>四、与质疑事项相关的质疑请求</w:t>
      </w:r>
    </w:p>
    <w:p w14:paraId="318DE741">
      <w:pPr>
        <w:pStyle w:val="45"/>
        <w:spacing w:before="312"/>
        <w:ind w:firstLine="480"/>
      </w:pPr>
      <w:r>
        <w:rPr>
          <w:rFonts w:hint="eastAsia"/>
        </w:rPr>
        <w:t xml:space="preserve">请求：                                               </w:t>
      </w:r>
    </w:p>
    <w:p w14:paraId="0A1A7DD0">
      <w:pPr>
        <w:pStyle w:val="45"/>
        <w:spacing w:before="312"/>
        <w:ind w:firstLine="480"/>
      </w:pPr>
    </w:p>
    <w:p w14:paraId="28CBE3D5">
      <w:pPr>
        <w:pStyle w:val="45"/>
        <w:spacing w:before="312"/>
        <w:ind w:firstLine="480"/>
        <w:jc w:val="center"/>
      </w:pPr>
      <w:r>
        <w:rPr>
          <w:rFonts w:hint="eastAsia"/>
        </w:rPr>
        <w:t xml:space="preserve">                                   签字（签章）：                   </w:t>
      </w:r>
    </w:p>
    <w:p w14:paraId="34D577E5">
      <w:pPr>
        <w:pStyle w:val="45"/>
        <w:spacing w:before="312"/>
        <w:ind w:firstLine="480"/>
        <w:jc w:val="center"/>
      </w:pPr>
      <w:r>
        <w:rPr>
          <w:rFonts w:hint="eastAsia"/>
        </w:rPr>
        <w:t xml:space="preserve">                                       单位名称（公章）：                      </w:t>
      </w:r>
    </w:p>
    <w:p w14:paraId="001F3CC4">
      <w:pPr>
        <w:pStyle w:val="45"/>
        <w:spacing w:before="312"/>
        <w:ind w:firstLine="480"/>
        <w:jc w:val="center"/>
        <w:rPr>
          <w:rFonts w:ascii="黑体" w:hAnsi="黑体" w:eastAsia="黑体" w:cs="黑体"/>
        </w:rPr>
      </w:pPr>
      <w:r>
        <w:rPr>
          <w:rFonts w:hint="eastAsia"/>
        </w:rPr>
        <w:t xml:space="preserve">                           日期： </w:t>
      </w:r>
    </w:p>
    <w:p w14:paraId="50801C6E">
      <w:pPr>
        <w:rPr>
          <w:rFonts w:ascii="黑体" w:hAnsi="黑体" w:eastAsia="黑体" w:cs="黑体"/>
          <w:sz w:val="24"/>
        </w:rPr>
      </w:pPr>
    </w:p>
    <w:p w14:paraId="5D503D8B">
      <w:pPr>
        <w:rPr>
          <w:rFonts w:ascii="黑体" w:hAnsi="黑体" w:eastAsia="黑体" w:cs="黑体"/>
          <w:sz w:val="24"/>
        </w:rPr>
      </w:pPr>
    </w:p>
    <w:p w14:paraId="6A4AB7D1">
      <w:pPr>
        <w:rPr>
          <w:rFonts w:ascii="黑体" w:hAnsi="黑体" w:eastAsia="黑体" w:cs="黑体"/>
          <w:sz w:val="24"/>
        </w:rPr>
      </w:pPr>
    </w:p>
    <w:p w14:paraId="78685360">
      <w:pPr>
        <w:rPr>
          <w:rFonts w:ascii="黑体" w:hAnsi="黑体" w:eastAsia="黑体" w:cs="黑体"/>
          <w:sz w:val="24"/>
        </w:rPr>
      </w:pPr>
      <w:r>
        <w:rPr>
          <w:rFonts w:hint="eastAsia" w:ascii="黑体" w:hAnsi="黑体" w:eastAsia="黑体" w:cs="黑体"/>
          <w:sz w:val="24"/>
        </w:rPr>
        <w:t>质疑函制作说明：</w:t>
      </w:r>
    </w:p>
    <w:p w14:paraId="5677D239">
      <w:pPr>
        <w:pStyle w:val="45"/>
        <w:spacing w:before="312"/>
        <w:ind w:firstLine="480"/>
        <w:outlineLvl w:val="9"/>
      </w:pPr>
      <w:r>
        <w:rPr>
          <w:rFonts w:hint="eastAsia"/>
        </w:rPr>
        <w:t>1.供应商提出质疑时，应提交质疑函和必要的证明材料。</w:t>
      </w:r>
    </w:p>
    <w:p w14:paraId="51F0C693">
      <w:pPr>
        <w:pStyle w:val="45"/>
        <w:spacing w:before="312"/>
        <w:ind w:firstLine="480"/>
      </w:pPr>
      <w:r>
        <w:rPr>
          <w:rFonts w:hint="eastAsia"/>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B32A1F">
      <w:pPr>
        <w:pStyle w:val="45"/>
        <w:spacing w:before="312"/>
        <w:ind w:firstLine="480"/>
      </w:pPr>
      <w:r>
        <w:rPr>
          <w:rFonts w:hint="eastAsia"/>
        </w:rPr>
        <w:t>3.质疑供应商若对项目的某一分包进行质疑，质疑函中应列明具体分包号。</w:t>
      </w:r>
    </w:p>
    <w:p w14:paraId="26C43A5B">
      <w:pPr>
        <w:pStyle w:val="45"/>
        <w:spacing w:before="312"/>
        <w:ind w:firstLine="480"/>
      </w:pPr>
      <w:r>
        <w:rPr>
          <w:rFonts w:hint="eastAsia"/>
        </w:rPr>
        <w:t>4.质疑函的质疑事项应具体、明确，并有必要的事实依据和法律依据。</w:t>
      </w:r>
    </w:p>
    <w:p w14:paraId="2A9E6AA2">
      <w:pPr>
        <w:pStyle w:val="45"/>
        <w:spacing w:before="312"/>
        <w:ind w:firstLine="480"/>
        <w:outlineLvl w:val="9"/>
      </w:pPr>
      <w:r>
        <w:rPr>
          <w:rFonts w:hint="eastAsia"/>
        </w:rPr>
        <w:t>5.质疑函的质疑请求应与质疑事项相关。</w:t>
      </w:r>
    </w:p>
    <w:p w14:paraId="399171EC">
      <w:pPr>
        <w:pStyle w:val="45"/>
        <w:spacing w:before="312"/>
        <w:ind w:firstLine="480"/>
      </w:pPr>
      <w:r>
        <w:rPr>
          <w:rFonts w:hint="eastAsia"/>
        </w:rPr>
        <w:t>6.质疑供应商为自然人的，质疑函应由本人签字；质疑供应商为法人或者其他组织的，质疑函应由法定代表人、主要负责人，或者其授权代表签字或者盖章，并加盖公章。</w:t>
      </w:r>
    </w:p>
    <w:p w14:paraId="6D4693F6">
      <w:pPr>
        <w:pStyle w:val="40"/>
        <w:ind w:firstLine="480"/>
        <w:rPr>
          <w:color w:val="auto"/>
          <w:highlight w:val="none"/>
        </w:rPr>
      </w:pPr>
      <w:r>
        <w:rPr>
          <w:color w:val="auto"/>
          <w:highlight w:val="none"/>
        </w:rPr>
        <w:drawing>
          <wp:anchor distT="0" distB="0" distL="0" distR="0" simplePos="0" relativeHeight="251659264" behindDoc="0" locked="0" layoutInCell="1" allowOverlap="1">
            <wp:simplePos x="0" y="0"/>
            <wp:positionH relativeFrom="column">
              <wp:posOffset>4123690</wp:posOffset>
            </wp:positionH>
            <wp:positionV relativeFrom="paragraph">
              <wp:posOffset>7052310</wp:posOffset>
            </wp:positionV>
            <wp:extent cx="2635250" cy="2319655"/>
            <wp:effectExtent l="0" t="0" r="0" b="4445"/>
            <wp:wrapNone/>
            <wp:docPr id="1044" name="图片 18" descr="联系方式"/>
            <wp:cNvGraphicFramePr/>
            <a:graphic xmlns:a="http://schemas.openxmlformats.org/drawingml/2006/main">
              <a:graphicData uri="http://schemas.openxmlformats.org/drawingml/2006/picture">
                <pic:pic xmlns:pic="http://schemas.openxmlformats.org/drawingml/2006/picture">
                  <pic:nvPicPr>
                    <pic:cNvPr id="1044" name="图片 18" descr="联系方式"/>
                    <pic:cNvPicPr/>
                  </pic:nvPicPr>
                  <pic:blipFill>
                    <a:blip r:embed="rId12" cstate="print"/>
                    <a:srcRect/>
                    <a:stretch>
                      <a:fillRect/>
                    </a:stretch>
                  </pic:blipFill>
                  <pic:spPr>
                    <a:xfrm>
                      <a:off x="0" y="0"/>
                      <a:ext cx="2635250" cy="2319655"/>
                    </a:xfrm>
                    <a:prstGeom prst="rect">
                      <a:avLst/>
                    </a:prstGeom>
                  </pic:spPr>
                </pic:pic>
              </a:graphicData>
            </a:graphic>
          </wp:anchor>
        </w:drawing>
      </w:r>
      <w:r>
        <w:rPr>
          <w:color w:val="auto"/>
          <w:sz w:val="21"/>
          <w:highlight w:val="none"/>
        </w:rPr>
        <mc:AlternateContent>
          <mc:Choice Requires="wps">
            <w:drawing>
              <wp:anchor distT="0" distB="0" distL="0" distR="0" simplePos="0" relativeHeight="251660288" behindDoc="0" locked="0" layoutInCell="1" allowOverlap="1">
                <wp:simplePos x="0" y="0"/>
                <wp:positionH relativeFrom="column">
                  <wp:posOffset>-468630</wp:posOffset>
                </wp:positionH>
                <wp:positionV relativeFrom="paragraph">
                  <wp:posOffset>2660015</wp:posOffset>
                </wp:positionV>
                <wp:extent cx="8428990" cy="8381365"/>
                <wp:effectExtent l="0" t="0" r="10160" b="635"/>
                <wp:wrapNone/>
                <wp:docPr id="1045" name="直角三角形 31"/>
                <wp:cNvGraphicFramePr/>
                <a:graphic xmlns:a="http://schemas.openxmlformats.org/drawingml/2006/main">
                  <a:graphicData uri="http://schemas.microsoft.com/office/word/2010/wordprocessingShape">
                    <wps:wsp>
                      <wps:cNvSpPr/>
                      <wps:spPr>
                        <a:xfrm flipH="1">
                          <a:off x="0" y="0"/>
                          <a:ext cx="8428990" cy="8381364"/>
                        </a:xfrm>
                        <a:prstGeom prst="rtTriangle">
                          <a:avLst/>
                        </a:prstGeom>
                        <a:solidFill>
                          <a:srgbClr val="FFFFFF"/>
                        </a:solidFill>
                        <a:ln>
                          <a:noFill/>
                        </a:ln>
                      </wps:spPr>
                      <wps:txbx>
                        <w:txbxContent>
                          <w:p w14:paraId="36478058"/>
                        </w:txbxContent>
                      </wps:txbx>
                      <wps:bodyPr vert="horz" wrap="square" lIns="91440" tIns="45720" rIns="91440" bIns="45720" anchor="ctr">
                        <a:noAutofit/>
                      </wps:bodyPr>
                    </wps:wsp>
                  </a:graphicData>
                </a:graphic>
              </wp:anchor>
            </w:drawing>
          </mc:Choice>
          <mc:Fallback>
            <w:pict>
              <v:shape id="直角三角形 31" o:spid="_x0000_s1026" o:spt="6" type="#_x0000_t6" style="position:absolute;left:0pt;flip:x;margin-left:-36.9pt;margin-top:209.45pt;height:659.95pt;width:663.7pt;z-index:251660288;v-text-anchor:middle;mso-width-relative:page;mso-height-relative:page;" fillcolor="#FFFFFF" filled="t" stroked="f" coordsize="21600,21600" o:gfxdata="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FIHmx3AAAAA0BAAAPAAAAAAAAAAEA&#10;IAAAACIAAABkcnMvZG93bnJldi54bWxQSwECFAAUAAAACACHTuJAZtTvyAsCAADxAwAADgAAAAAA&#10;AAABACAAAAArAQAAZHJzL2Uyb0RvYy54bWxQSwUGAAAAAAYABgBZAQAAqAUAAAAA&#10;">
                <v:fill on="t" focussize="0,0"/>
                <v:stroke on="f"/>
                <v:imagedata o:title=""/>
                <o:lock v:ext="edit" aspectratio="f"/>
                <v:textbox>
                  <w:txbxContent>
                    <w:p w14:paraId="36478058"/>
                  </w:txbxContent>
                </v:textbox>
              </v:shape>
            </w:pict>
          </mc:Fallback>
        </mc:AlternateContent>
      </w: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53056A9-E007-471E-AD2E-93961FB99334}"/>
  </w:font>
  <w:font w:name="Arial">
    <w:panose1 w:val="020B0604020202020204"/>
    <w:charset w:val="01"/>
    <w:family w:val="swiss"/>
    <w:pitch w:val="default"/>
    <w:sig w:usb0="E0002EFF" w:usb1="C000785B" w:usb2="00000009" w:usb3="00000000" w:csb0="400001FF" w:csb1="FFFF0000"/>
    <w:embedRegular r:id="rId2" w:fontKey="{9ECDEF53-13B2-4393-A073-05D260A34E8E}"/>
  </w:font>
  <w:font w:name="黑体">
    <w:panose1 w:val="02010609060101010101"/>
    <w:charset w:val="86"/>
    <w:family w:val="auto"/>
    <w:pitch w:val="default"/>
    <w:sig w:usb0="800002BF" w:usb1="38CF7CFA" w:usb2="00000016" w:usb3="00000000" w:csb0="00040001" w:csb1="00000000"/>
    <w:embedRegular r:id="rId3" w:fontKey="{3B695E25-6384-48DE-BCFC-720C4E5E972C}"/>
  </w:font>
  <w:font w:name="Courier New">
    <w:panose1 w:val="02070309020205020404"/>
    <w:charset w:val="01"/>
    <w:family w:val="modern"/>
    <w:pitch w:val="default"/>
    <w:sig w:usb0="E0002EFF" w:usb1="C0007843" w:usb2="00000009" w:usb3="00000000" w:csb0="400001FF" w:csb1="FFFF0000"/>
    <w:embedRegular r:id="rId4" w:fontKey="{2FC4DA8D-6404-4009-B219-4ABF7E7A99C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7A3C2E5E-A8E9-4BAB-8BEE-61D486685AF1}"/>
  </w:font>
  <w:font w:name="方正小标宋_GBK">
    <w:panose1 w:val="02000000000000000000"/>
    <w:charset w:val="86"/>
    <w:family w:val="auto"/>
    <w:pitch w:val="default"/>
    <w:sig w:usb0="A00002BF" w:usb1="38CF7CFA" w:usb2="00082016" w:usb3="00000000" w:csb0="00040001" w:csb1="00000000"/>
    <w:embedRegular r:id="rId6" w:fontKey="{9F978244-187E-417E-8E95-806B43364691}"/>
  </w:font>
  <w:font w:name="微软雅黑">
    <w:panose1 w:val="020B0503020204020204"/>
    <w:charset w:val="86"/>
    <w:family w:val="auto"/>
    <w:pitch w:val="default"/>
    <w:sig w:usb0="80000287" w:usb1="2ACF3C50" w:usb2="00000016" w:usb3="00000000" w:csb0="0004001F" w:csb1="00000000"/>
    <w:embedRegular r:id="rId7" w:fontKey="{0CAEF190-C175-4F69-9979-B035F8A83295}"/>
  </w:font>
  <w:font w:name="楷体">
    <w:panose1 w:val="02010609060101010101"/>
    <w:charset w:val="86"/>
    <w:family w:val="modern"/>
    <w:pitch w:val="default"/>
    <w:sig w:usb0="800002BF" w:usb1="38CF7CFA" w:usb2="00000016" w:usb3="00000000" w:csb0="00040001" w:csb1="00000000"/>
    <w:embedRegular r:id="rId8" w:fontKey="{0230E66F-741A-429D-941B-C88182C3DA9E}"/>
  </w:font>
  <w:font w:name="Arial Narrow">
    <w:altName w:val="Arial"/>
    <w:panose1 w:val="020B0606020202030204"/>
    <w:charset w:val="00"/>
    <w:family w:val="swiss"/>
    <w:pitch w:val="default"/>
    <w:sig w:usb0="00000000" w:usb1="00000000" w:usb2="00000000" w:usb3="00000000" w:csb0="2000009F" w:csb1="DFD70000"/>
    <w:embedRegular r:id="rId9" w:fontKey="{34C697BC-C773-4C18-9C45-E82D0E6DF25F}"/>
  </w:font>
  <w:font w:name="等线">
    <w:panose1 w:val="02010600030101010101"/>
    <w:charset w:val="86"/>
    <w:family w:val="auto"/>
    <w:pitch w:val="default"/>
    <w:sig w:usb0="A00002BF" w:usb1="38CF7CFA" w:usb2="00000016" w:usb3="00000000" w:csb0="0004000F" w:csb1="00000000"/>
    <w:embedRegular r:id="rId10" w:fontKey="{E0FD498F-1411-4FAB-ABC6-6A9AE8FD9899}"/>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11" w:fontKey="{BCB7E09A-AAEF-42A3-84B4-3A50BCF3405E}"/>
  </w:font>
  <w:font w:name="仿宋_GB2312">
    <w:panose1 w:val="02010609030101010101"/>
    <w:charset w:val="86"/>
    <w:family w:val="auto"/>
    <w:pitch w:val="default"/>
    <w:sig w:usb0="00000001" w:usb1="080E0000" w:usb2="00000000" w:usb3="00000000" w:csb0="00040000" w:csb1="00000000"/>
    <w:embedRegular r:id="rId12" w:fontKey="{279DFCA9-4963-438C-984A-4BFECF1284A5}"/>
  </w:font>
  <w:font w:name="华文中宋">
    <w:altName w:val="宋体"/>
    <w:panose1 w:val="02010600040101010101"/>
    <w:charset w:val="86"/>
    <w:family w:val="auto"/>
    <w:pitch w:val="default"/>
    <w:sig w:usb0="00000000" w:usb1="00000000" w:usb2="00000000" w:usb3="00000000" w:csb0="0004009F" w:csb1="DFD70000"/>
    <w:embedRegular r:id="rId13" w:fontKey="{84D0D3BE-5EC3-4B3B-AB0F-0CA00E4DB596}"/>
  </w:font>
  <w:font w:name="隶书">
    <w:altName w:val="微软雅黑"/>
    <w:panose1 w:val="02010509060101010101"/>
    <w:charset w:val="86"/>
    <w:family w:val="modern"/>
    <w:pitch w:val="default"/>
    <w:sig w:usb0="00000000" w:usb1="00000000" w:usb2="00000000" w:usb3="00000000" w:csb0="00040000" w:csb1="00000000"/>
    <w:embedRegular r:id="rId14" w:fontKey="{42532BC3-F10D-4A0F-B642-F4F3C75FFCAD}"/>
  </w:font>
  <w:font w:name="Tahoma">
    <w:panose1 w:val="020B0604030504040204"/>
    <w:charset w:val="00"/>
    <w:family w:val="swiss"/>
    <w:pitch w:val="default"/>
    <w:sig w:usb0="E1002EFF" w:usb1="C000605B" w:usb2="00000029" w:usb3="00000000" w:csb0="200101FF" w:csb1="20280000"/>
    <w:embedRegular r:id="rId15" w:fontKey="{BA7E76D9-C11B-47C5-A8A7-253C1CA7DB1A}"/>
  </w:font>
  <w:font w:name="方正公文小标宋">
    <w:panose1 w:val="02000500000000000000"/>
    <w:charset w:val="86"/>
    <w:family w:val="auto"/>
    <w:pitch w:val="default"/>
    <w:sig w:usb0="A00002BF" w:usb1="38CF7CFA" w:usb2="00000016" w:usb3="00000000" w:csb0="00040001" w:csb1="00000000"/>
    <w:embedRegular r:id="rId16" w:fontKey="{05F0F7D6-6387-4A3F-866E-12BCB26E9344}"/>
  </w:font>
  <w:font w:name="仿宋">
    <w:panose1 w:val="02010609060101010101"/>
    <w:charset w:val="86"/>
    <w:family w:val="modern"/>
    <w:pitch w:val="default"/>
    <w:sig w:usb0="800002BF" w:usb1="38CF7CFA" w:usb2="00000016" w:usb3="00000000" w:csb0="00040001" w:csb1="00000000"/>
    <w:embedRegular r:id="rId17" w:fontKey="{0532D6F2-847D-4514-B064-3E012AA5F6B1}"/>
  </w:font>
  <w:font w:name="Segoe UI">
    <w:panose1 w:val="020B0502040204020203"/>
    <w:charset w:val="00"/>
    <w:family w:val="auto"/>
    <w:pitch w:val="default"/>
    <w:sig w:usb0="E4002EFF" w:usb1="C000E47F" w:usb2="00000009" w:usb3="00000000" w:csb0="200001FF" w:csb1="00000000"/>
    <w:embedRegular r:id="rId18" w:fontKey="{26FD7D84-8723-44D8-9F84-F79652C03903}"/>
  </w:font>
  <w:font w:name="Wingdings 2">
    <w:altName w:val="Wingdings"/>
    <w:panose1 w:val="05020102010507070707"/>
    <w:charset w:val="02"/>
    <w:family w:val="roman"/>
    <w:pitch w:val="default"/>
    <w:sig w:usb0="00000000" w:usb1="00000000" w:usb2="00000000" w:usb3="00000000" w:csb0="80000000" w:csb1="00000000"/>
    <w:embedRegular r:id="rId19" w:fontKey="{8986DFFD-E11C-4B48-A625-B223283494FE}"/>
  </w:font>
  <w:font w:name="WPSEMBED110">
    <w:panose1 w:val="02010609030101010101"/>
    <w:charset w:val="86"/>
    <w:family w:val="auto"/>
    <w:pitch w:val="default"/>
    <w:sig w:usb0="00000001" w:usb1="080E0000" w:usb2="00000000" w:usb3="00000000" w:csb0="00040000" w:csb1="00000000"/>
  </w:font>
  <w:font w:name="WPSEMBED111">
    <w:panose1 w:val="02000500000000000000"/>
    <w:charset w:val="86"/>
    <w:family w:val="auto"/>
    <w:pitch w:val="default"/>
    <w:sig w:usb0="A00002BF" w:usb1="38CF7CFA" w:usb2="00000016" w:usb3="00000000" w:csb0="00040001" w:csb1="00000000"/>
  </w:font>
  <w:font w:name="WPSEMBED108">
    <w:panose1 w:val="02000000000000000000"/>
    <w:charset w:val="86"/>
    <w:family w:val="auto"/>
    <w:pitch w:val="default"/>
    <w:sig w:usb0="A00002BF" w:usb1="38CF7CFA" w:usb2="00082016" w:usb3="00000000" w:csb0="00040001" w:csb1="00000000"/>
  </w:font>
  <w:font w:name="WPSEMBED109">
    <w:panose1 w:val="02010609030101010101"/>
    <w:charset w:val="86"/>
    <w:family w:val="auto"/>
    <w:pitch w:val="default"/>
    <w:sig w:usb0="00000001" w:usb1="080E0000" w:usb2="00000000" w:usb3="00000000" w:csb0="00040000" w:csb1="00000000"/>
  </w:font>
  <w:font w:name="KSOF3D47F291">
    <w:panose1 w:val="020B0604020202020204"/>
    <w:charset w:val="00"/>
    <w:family w:val="auto"/>
    <w:pitch w:val="default"/>
    <w:sig w:usb0="00000001" w:usb1="00000000" w:usb2="00000000" w:usb3="00000000" w:csb0="00000001" w:csb1="00000000"/>
  </w:font>
  <w:font w:name="KSOF722E2DD2">
    <w:panose1 w:val="020B0704020202020204"/>
    <w:charset w:val="00"/>
    <w:family w:val="auto"/>
    <w:pitch w:val="default"/>
    <w:sig w:usb0="00000001" w:usb1="00000000" w:usb2="00000000" w:usb3="00000000" w:csb0="0000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embedRegular r:id="rId20" w:fontKey="{26C75F4B-A0EA-4996-AD29-B31A56B13F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91D49">
    <w:pPr>
      <w:widowControl w:val="0"/>
      <w:snapToGrid w:val="0"/>
      <w:spacing w:line="440" w:lineRule="exact"/>
      <w:jc w:val="left"/>
      <w:rPr>
        <w:rFonts w:hint="eastAsia" w:ascii="仿宋_GB2312" w:hAnsi="Calibri" w:eastAsia="仿宋_GB2312" w:cs="宋体"/>
        <w:kern w:val="2"/>
        <w:sz w:val="18"/>
        <w:szCs w:val="24"/>
        <w:lang w:val="en-US" w:eastAsia="zh-CN" w:bidi="ar-SA"/>
      </w:rPr>
    </w:pPr>
    <w:r>
      <w:rPr>
        <w:rFonts w:ascii="Calibri" w:hAnsi="Calibri" w:eastAsia="宋体" w:cs="宋体"/>
        <w:kern w:val="2"/>
        <w:sz w:val="18"/>
        <w:szCs w:val="24"/>
        <w:lang w:val="en-US" w:eastAsia="zh-CN" w:bidi="ar-SA"/>
      </w:rPr>
      <mc:AlternateContent>
        <mc:Choice Requires="wps">
          <w:drawing>
            <wp:anchor distT="0" distB="0" distL="0" distR="0" simplePos="0" relativeHeight="251661312" behindDoc="0" locked="0" layoutInCell="1" allowOverlap="1">
              <wp:simplePos x="0" y="0"/>
              <wp:positionH relativeFrom="column">
                <wp:posOffset>3810</wp:posOffset>
              </wp:positionH>
              <wp:positionV relativeFrom="paragraph">
                <wp:posOffset>-45720</wp:posOffset>
              </wp:positionV>
              <wp:extent cx="6473190" cy="12065"/>
              <wp:effectExtent l="0" t="0" r="0" b="0"/>
              <wp:wrapNone/>
              <wp:docPr id="14"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3pt;margin-top:-3.6pt;height:0.95pt;width:509.7pt;z-index:251661312;mso-width-relative:page;mso-height-relative:page;" filled="f" stroked="t" coordsize="21600,21600" o:gfxdata="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B4//8+0wAAAAcBAAAPAAAAAAAAAAEAIAAA&#10;ACIAAABkcnMvZG93bnJldi54bWxQSwECFAAUAAAACACHTuJANIF9x9gBAACWAwAADgAAAAAAAAAB&#10;ACAAAAAiAQAAZHJzL2Uyb0RvYy54bWxQSwUGAAAAAAYABgBZAQAAbAUAAAAA&#10;">
              <v:fill on="f" focussize="0,0"/>
              <v:stroke weight="1pt" color="#000000" joinstyle="round" dashstyle="1 1"/>
              <v:imagedata o:title=""/>
              <o:lock v:ext="edit" aspectratio="f"/>
            </v:line>
          </w:pict>
        </mc:Fallback>
      </mc:AlternateContent>
    </w:r>
    <w:r>
      <w:rPr>
        <w:rFonts w:ascii="Calibri" w:hAnsi="Calibri" w:eastAsia="宋体" w:cs="宋体"/>
        <w:kern w:val="2"/>
        <w:sz w:val="1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034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034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B022D64">
                          <w:pPr>
                            <w:widowControl w:val="0"/>
                            <w:snapToGrid w:val="0"/>
                            <w:spacing w:line="440" w:lineRule="exact"/>
                            <w:jc w:val="left"/>
                            <w:rPr>
                              <w:rFonts w:ascii="Calibri" w:hAnsi="Calibri" w:eastAsia="宋体" w:cs="宋体"/>
                              <w:kern w:val="2"/>
                              <w:sz w:val="18"/>
                              <w:szCs w:val="24"/>
                              <w:lang w:val="en-US" w:eastAsia="zh-CN" w:bidi="ar-SA"/>
                            </w:rPr>
                          </w:pPr>
                          <w:r>
                            <w:rPr>
                              <w:rFonts w:ascii="Calibri" w:hAnsi="Calibri" w:eastAsia="宋体" w:cs="宋体"/>
                              <w:kern w:val="2"/>
                              <w:sz w:val="18"/>
                              <w:szCs w:val="24"/>
                              <w:lang w:val="en-US" w:eastAsia="zh-CN" w:bidi="ar-SA"/>
                            </w:rPr>
                            <w:fldChar w:fldCharType="begin"/>
                          </w:r>
                          <w:r>
                            <w:rPr>
                              <w:rFonts w:ascii="Calibri" w:hAnsi="Calibri" w:eastAsia="宋体" w:cs="宋体"/>
                              <w:kern w:val="2"/>
                              <w:sz w:val="18"/>
                              <w:szCs w:val="24"/>
                              <w:lang w:val="en-US" w:eastAsia="zh-CN" w:bidi="ar-SA"/>
                            </w:rPr>
                            <w:instrText xml:space="preserve"> PAGE  \* MERGEFORMAT </w:instrText>
                          </w:r>
                          <w:r>
                            <w:rPr>
                              <w:rFonts w:ascii="Calibri" w:hAnsi="Calibri" w:eastAsia="宋体" w:cs="宋体"/>
                              <w:kern w:val="2"/>
                              <w:sz w:val="18"/>
                              <w:szCs w:val="24"/>
                              <w:lang w:val="en-US" w:eastAsia="zh-CN" w:bidi="ar-SA"/>
                            </w:rPr>
                            <w:fldChar w:fldCharType="separate"/>
                          </w:r>
                          <w:r>
                            <w:rPr>
                              <w:rFonts w:ascii="Calibri" w:hAnsi="Calibri" w:eastAsia="宋体" w:cs="宋体"/>
                              <w:kern w:val="2"/>
                              <w:sz w:val="18"/>
                              <w:szCs w:val="24"/>
                              <w:lang w:val="en-US" w:eastAsia="zh-CN" w:bidi="ar-SA"/>
                            </w:rPr>
                            <w:t>1</w:t>
                          </w:r>
                          <w:r>
                            <w:rPr>
                              <w:rFonts w:ascii="Calibri" w:hAnsi="Calibri" w:eastAsia="宋体" w:cs="宋体"/>
                              <w:kern w:val="2"/>
                              <w:sz w:val="18"/>
                              <w:szCs w:val="24"/>
                              <w:lang w:val="en-US" w:eastAsia="zh-CN" w:bidi="ar-SA"/>
                            </w:rP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2pt;mso-position-horizontal:center;mso-position-horizontal-relative:margin;z-index:251662336;mso-width-relative:page;mso-height-relative:page;" filled="f" stroked="f" coordsize="21600,21600" o:gfxdata="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E31XyXSAAAABAEAAA8AAAAAAAAAAQAgAAAAIgAAAGRycy9kb3du&#10;cmV2LnhtbFBLAQIUABQAAAAIAIdO4kDPJIh7PgIAAHIEAAAOAAAAAAAAAAEAIAAAACEBAABkcnMv&#10;ZTJvRG9jLnhtbFBLBQYAAAAABgAGAFkBAADRBQAAAAA=&#10;">
              <v:fill on="f" focussize="0,0"/>
              <v:stroke on="f" weight="0.5pt"/>
              <v:imagedata o:title=""/>
              <o:lock v:ext="edit" aspectratio="f"/>
              <v:textbox inset="0mm,0mm,0mm,0mm" style="mso-fit-shape-to-text:t;">
                <w:txbxContent>
                  <w:p w14:paraId="2B022D64">
                    <w:pPr>
                      <w:widowControl w:val="0"/>
                      <w:snapToGrid w:val="0"/>
                      <w:spacing w:line="440" w:lineRule="exact"/>
                      <w:jc w:val="left"/>
                      <w:rPr>
                        <w:rFonts w:ascii="Calibri" w:hAnsi="Calibri" w:eastAsia="宋体" w:cs="宋体"/>
                        <w:kern w:val="2"/>
                        <w:sz w:val="18"/>
                        <w:szCs w:val="24"/>
                        <w:lang w:val="en-US" w:eastAsia="zh-CN" w:bidi="ar-SA"/>
                      </w:rPr>
                    </w:pPr>
                    <w:r>
                      <w:rPr>
                        <w:rFonts w:ascii="Calibri" w:hAnsi="Calibri" w:eastAsia="宋体" w:cs="宋体"/>
                        <w:kern w:val="2"/>
                        <w:sz w:val="18"/>
                        <w:szCs w:val="24"/>
                        <w:lang w:val="en-US" w:eastAsia="zh-CN" w:bidi="ar-SA"/>
                      </w:rPr>
                      <w:fldChar w:fldCharType="begin"/>
                    </w:r>
                    <w:r>
                      <w:rPr>
                        <w:rFonts w:ascii="Calibri" w:hAnsi="Calibri" w:eastAsia="宋体" w:cs="宋体"/>
                        <w:kern w:val="2"/>
                        <w:sz w:val="18"/>
                        <w:szCs w:val="24"/>
                        <w:lang w:val="en-US" w:eastAsia="zh-CN" w:bidi="ar-SA"/>
                      </w:rPr>
                      <w:instrText xml:space="preserve"> PAGE  \* MERGEFORMAT </w:instrText>
                    </w:r>
                    <w:r>
                      <w:rPr>
                        <w:rFonts w:ascii="Calibri" w:hAnsi="Calibri" w:eastAsia="宋体" w:cs="宋体"/>
                        <w:kern w:val="2"/>
                        <w:sz w:val="18"/>
                        <w:szCs w:val="24"/>
                        <w:lang w:val="en-US" w:eastAsia="zh-CN" w:bidi="ar-SA"/>
                      </w:rPr>
                      <w:fldChar w:fldCharType="separate"/>
                    </w:r>
                    <w:r>
                      <w:rPr>
                        <w:rFonts w:ascii="Calibri" w:hAnsi="Calibri" w:eastAsia="宋体" w:cs="宋体"/>
                        <w:kern w:val="2"/>
                        <w:sz w:val="18"/>
                        <w:szCs w:val="24"/>
                        <w:lang w:val="en-US" w:eastAsia="zh-CN" w:bidi="ar-SA"/>
                      </w:rPr>
                      <w:t>1</w:t>
                    </w:r>
                    <w:r>
                      <w:rPr>
                        <w:rFonts w:ascii="Calibri" w:hAnsi="Calibri" w:eastAsia="宋体" w:cs="宋体"/>
                        <w:kern w:val="2"/>
                        <w:sz w:val="18"/>
                        <w:szCs w:val="24"/>
                        <w:lang w:val="en-US" w:eastAsia="zh-CN" w:bidi="ar-SA"/>
                      </w:rPr>
                      <w:fldChar w:fldCharType="end"/>
                    </w:r>
                  </w:p>
                </w:txbxContent>
              </v:textbox>
            </v:shape>
          </w:pict>
        </mc:Fallback>
      </mc:AlternateContent>
    </w:r>
    <w:r>
      <w:rPr>
        <w:rFonts w:hint="eastAsia" w:ascii="仿宋_GB2312" w:hAnsi="Calibri" w:eastAsia="仿宋_GB2312" w:cs="宋体"/>
        <w:kern w:val="2"/>
        <w:sz w:val="18"/>
        <w:szCs w:val="24"/>
        <w:lang w:val="en-US" w:eastAsia="zh-CN" w:bidi="ar-SA"/>
      </w:rPr>
      <w:t xml:space="preserve">                                          </w:t>
    </w:r>
  </w:p>
  <w:p w14:paraId="5488C58E">
    <w:pPr>
      <w:widowControl w:val="0"/>
      <w:snapToGrid w:val="0"/>
      <w:spacing w:line="440" w:lineRule="exact"/>
      <w:ind w:firstLine="1980" w:firstLineChars="1100"/>
      <w:jc w:val="left"/>
      <w:rPr>
        <w:rFonts w:ascii="Calibri" w:hAnsi="Calibri" w:eastAsia="宋体" w:cs="宋体"/>
        <w:kern w:val="2"/>
        <w:sz w:val="18"/>
        <w:szCs w:val="24"/>
        <w:lang w:val="en-US" w:eastAsia="zh-CN" w:bidi="ar-SA"/>
      </w:rPr>
    </w:pPr>
    <w:r>
      <w:rPr>
        <w:rFonts w:hint="eastAsia" w:ascii="仿宋_GB2312" w:hAnsi="Calibri" w:eastAsia="仿宋_GB2312" w:cs="宋体"/>
        <w:kern w:val="2"/>
        <w:sz w:val="18"/>
        <w:szCs w:val="24"/>
        <w:lang w:val="en-US" w:eastAsia="zh-CN" w:bidi="ar-SA"/>
      </w:rPr>
      <w:t xml:space="preserve">                          </w:t>
    </w:r>
    <w:r>
      <w:rPr>
        <w:rFonts w:hint="eastAsia" w:ascii="楷体" w:hAnsi="楷体" w:eastAsia="楷体" w:cs="楷体"/>
        <w:kern w:val="2"/>
        <w:sz w:val="18"/>
        <w:szCs w:val="11"/>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9D439">
    <w:pPr>
      <w:widowControl w:val="0"/>
      <w:snapToGrid w:val="0"/>
      <w:spacing w:line="440" w:lineRule="exact"/>
      <w:jc w:val="left"/>
      <w:rPr>
        <w:rFonts w:hint="eastAsia" w:ascii="仿宋_GB2312" w:hAnsi="Calibri" w:eastAsia="仿宋_GB2312" w:cs="宋体"/>
        <w:kern w:val="2"/>
        <w:sz w:val="18"/>
        <w:szCs w:val="24"/>
        <w:lang w:val="en-US" w:eastAsia="zh-CN" w:bidi="ar-SA"/>
      </w:rPr>
    </w:pPr>
    <w:r>
      <w:rPr>
        <w:rFonts w:ascii="Calibri" w:hAnsi="Calibri" w:eastAsia="宋体" w:cs="宋体"/>
        <w:kern w:val="2"/>
        <w:sz w:val="18"/>
        <w:szCs w:val="24"/>
        <w:lang w:val="en-US" w:eastAsia="zh-CN" w:bidi="ar-SA"/>
      </w:rPr>
      <mc:AlternateContent>
        <mc:Choice Requires="wps">
          <w:drawing>
            <wp:anchor distT="0" distB="0" distL="0" distR="0" simplePos="0" relativeHeight="251663360" behindDoc="0" locked="0" layoutInCell="1" allowOverlap="1">
              <wp:simplePos x="0" y="0"/>
              <wp:positionH relativeFrom="column">
                <wp:posOffset>3810</wp:posOffset>
              </wp:positionH>
              <wp:positionV relativeFrom="paragraph">
                <wp:posOffset>-45720</wp:posOffset>
              </wp:positionV>
              <wp:extent cx="6473190" cy="12065"/>
              <wp:effectExtent l="0" t="0" r="0" b="0"/>
              <wp:wrapNone/>
              <wp:docPr id="10" name="直接连接符 42"/>
              <wp:cNvGraphicFramePr/>
              <a:graphic xmlns:a="http://schemas.openxmlformats.org/drawingml/2006/main">
                <a:graphicData uri="http://schemas.microsoft.com/office/word/2010/wordprocessingShape">
                  <wps:wsp>
                    <wps:cNvCnPr/>
                    <wps:spPr>
                      <a:xfrm>
                        <a:off x="0" y="0"/>
                        <a:ext cx="6473190" cy="12064"/>
                      </a:xfrm>
                      <a:prstGeom prst="line">
                        <a:avLst/>
                      </a:prstGeom>
                      <a:ln w="12700" cap="flat" cmpd="sng">
                        <a:solidFill>
                          <a:srgbClr val="000000"/>
                        </a:solidFill>
                        <a:prstDash val="sysDot"/>
                        <a:round/>
                      </a:ln>
                    </wps:spPr>
                    <wps:bodyPr/>
                  </wps:wsp>
                </a:graphicData>
              </a:graphic>
            </wp:anchor>
          </w:drawing>
        </mc:Choice>
        <mc:Fallback>
          <w:pict>
            <v:line id="直接连接符 42" o:spid="_x0000_s1026" o:spt="20" style="position:absolute;left:0pt;margin-left:0.3pt;margin-top:-3.6pt;height:0.95pt;width:509.7pt;z-index:251663360;mso-width-relative:page;mso-height-relative:page;" filled="f" stroked="t" coordsize="21600,21600" o:gfxdata="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Hj//z7TAAAABwEAAA8AAAAAAAAAAQAgAAAA&#10;IgAAAGRycy9kb3ducmV2LnhtbFBLAQIUABQAAAAIAIdO4kATy0N+1wEAAJYDAAAOAAAAAAAAAAEA&#10;IAAAACIBAABkcnMvZTJvRG9jLnhtbFBLBQYAAAAABgAGAFkBAABrBQAAAAA=&#10;">
              <v:fill on="f" focussize="0,0"/>
              <v:stroke weight="1pt" color="#000000" joinstyle="round" dashstyle="1 1"/>
              <v:imagedata o:title=""/>
              <o:lock v:ext="edit" aspectratio="f"/>
            </v:line>
          </w:pict>
        </mc:Fallback>
      </mc:AlternateContent>
    </w:r>
    <w:r>
      <w:rPr>
        <w:rFonts w:hint="eastAsia" w:ascii="仿宋_GB2312" w:hAnsi="Calibri" w:eastAsia="仿宋_GB2312" w:cs="宋体"/>
        <w:kern w:val="2"/>
        <w:sz w:val="18"/>
        <w:szCs w:val="24"/>
        <w:lang w:val="en-US" w:eastAsia="zh-CN" w:bidi="ar-SA"/>
      </w:rPr>
      <w:t xml:space="preserve">                                          </w:t>
    </w:r>
  </w:p>
  <w:p w14:paraId="44BAFB0E">
    <w:pPr>
      <w:widowControl w:val="0"/>
      <w:snapToGrid w:val="0"/>
      <w:spacing w:line="440" w:lineRule="exact"/>
      <w:ind w:firstLine="1980" w:firstLineChars="1100"/>
      <w:jc w:val="left"/>
      <w:rPr>
        <w:rFonts w:ascii="Calibri" w:hAnsi="Calibri" w:eastAsia="宋体" w:cs="宋体"/>
        <w:kern w:val="2"/>
        <w:sz w:val="18"/>
        <w:szCs w:val="24"/>
        <w:lang w:val="en-US" w:eastAsia="zh-CN" w:bidi="ar-SA"/>
      </w:rPr>
    </w:pPr>
    <w:r>
      <w:rPr>
        <w:rFonts w:hint="eastAsia" w:ascii="仿宋_GB2312" w:hAnsi="Calibri" w:eastAsia="仿宋_GB2312" w:cs="宋体"/>
        <w:kern w:val="2"/>
        <w:sz w:val="18"/>
        <w:szCs w:val="24"/>
        <w:lang w:val="en-US" w:eastAsia="zh-CN" w:bidi="ar-SA"/>
      </w:rPr>
      <w:t xml:space="preserve">                          </w:t>
    </w:r>
    <w:r>
      <w:rPr>
        <w:rFonts w:hint="eastAsia" w:ascii="楷体" w:hAnsi="楷体" w:eastAsia="楷体" w:cs="楷体"/>
        <w:kern w:val="2"/>
        <w:sz w:val="18"/>
        <w:szCs w:val="11"/>
        <w:lang w:val="en-US" w:eastAsia="zh-CN" w:bidi="ar-S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D7AB8">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27F6B">
    <w:pPr>
      <w:pStyle w:val="2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9886E">
    <w:pPr>
      <w:pStyle w:val="2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967C7">
                          <w:pPr>
                            <w:pStyle w:val="23"/>
                            <w:rPr>
                              <w:b/>
                              <w:bCs/>
                              <w:sz w:val="22"/>
                              <w:szCs w:val="36"/>
                            </w:rPr>
                          </w:pPr>
                          <w:r>
                            <w:rPr>
                              <w:b/>
                              <w:bCs/>
                              <w:sz w:val="22"/>
                              <w:szCs w:val="36"/>
                            </w:rPr>
                            <w:t xml:space="preserve">— </w:t>
                          </w:r>
                          <w:r>
                            <w:rPr>
                              <w:b/>
                              <w:bCs/>
                              <w:sz w:val="22"/>
                              <w:szCs w:val="36"/>
                            </w:rPr>
                            <w:fldChar w:fldCharType="begin"/>
                          </w:r>
                          <w:r>
                            <w:rPr>
                              <w:b/>
                              <w:bCs/>
                              <w:sz w:val="22"/>
                              <w:szCs w:val="36"/>
                            </w:rPr>
                            <w:instrText xml:space="preserve"> PAGE  \* MERGEFORMAT </w:instrText>
                          </w:r>
                          <w:r>
                            <w:rPr>
                              <w:b/>
                              <w:bCs/>
                              <w:sz w:val="22"/>
                              <w:szCs w:val="36"/>
                            </w:rPr>
                            <w:fldChar w:fldCharType="separate"/>
                          </w:r>
                          <w:r>
                            <w:rPr>
                              <w:b/>
                              <w:bCs/>
                              <w:sz w:val="22"/>
                              <w:szCs w:val="36"/>
                            </w:rPr>
                            <w:t>1</w:t>
                          </w:r>
                          <w:r>
                            <w:rPr>
                              <w:b/>
                              <w:bCs/>
                              <w:sz w:val="22"/>
                              <w:szCs w:val="36"/>
                            </w:rPr>
                            <w:fldChar w:fldCharType="end"/>
                          </w:r>
                          <w:r>
                            <w:rPr>
                              <w:b/>
                              <w:bCs/>
                              <w:sz w:val="22"/>
                              <w:szCs w:val="36"/>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A967C7">
                    <w:pPr>
                      <w:pStyle w:val="23"/>
                      <w:rPr>
                        <w:b/>
                        <w:bCs/>
                        <w:sz w:val="22"/>
                        <w:szCs w:val="36"/>
                      </w:rPr>
                    </w:pPr>
                    <w:r>
                      <w:rPr>
                        <w:b/>
                        <w:bCs/>
                        <w:sz w:val="22"/>
                        <w:szCs w:val="36"/>
                      </w:rPr>
                      <w:t xml:space="preserve">— </w:t>
                    </w:r>
                    <w:r>
                      <w:rPr>
                        <w:b/>
                        <w:bCs/>
                        <w:sz w:val="22"/>
                        <w:szCs w:val="36"/>
                      </w:rPr>
                      <w:fldChar w:fldCharType="begin"/>
                    </w:r>
                    <w:r>
                      <w:rPr>
                        <w:b/>
                        <w:bCs/>
                        <w:sz w:val="22"/>
                        <w:szCs w:val="36"/>
                      </w:rPr>
                      <w:instrText xml:space="preserve"> PAGE  \* MERGEFORMAT </w:instrText>
                    </w:r>
                    <w:r>
                      <w:rPr>
                        <w:b/>
                        <w:bCs/>
                        <w:sz w:val="22"/>
                        <w:szCs w:val="36"/>
                      </w:rPr>
                      <w:fldChar w:fldCharType="separate"/>
                    </w:r>
                    <w:r>
                      <w:rPr>
                        <w:b/>
                        <w:bCs/>
                        <w:sz w:val="22"/>
                        <w:szCs w:val="36"/>
                      </w:rPr>
                      <w:t>1</w:t>
                    </w:r>
                    <w:r>
                      <w:rPr>
                        <w:b/>
                        <w:bCs/>
                        <w:sz w:val="22"/>
                        <w:szCs w:val="36"/>
                      </w:rPr>
                      <w:fldChar w:fldCharType="end"/>
                    </w:r>
                    <w:r>
                      <w:rPr>
                        <w:b/>
                        <w:bCs/>
                        <w:sz w:val="22"/>
                        <w:szCs w:val="36"/>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6C1AA">
    <w:pPr>
      <w:pStyle w:val="24"/>
      <w:pBdr>
        <w:bottom w:val="single" w:color="auto" w:sz="4" w:space="1"/>
      </w:pBdr>
      <w:tabs>
        <w:tab w:val="clear" w:pos="4153"/>
      </w:tabs>
      <w:ind w:firstLine="211" w:firstLineChars="100"/>
      <w:jc w:val="both"/>
      <w:rPr>
        <w:rFonts w:hint="default" w:ascii="仿宋" w:hAnsi="仿宋" w:eastAsia="仿宋" w:cs="仿宋"/>
        <w:b/>
        <w:bCs/>
        <w:sz w:val="21"/>
        <w:szCs w:val="21"/>
        <w:lang w:val="en-US" w:eastAsia="zh-CN"/>
      </w:rPr>
    </w:pPr>
    <w:r>
      <w:rPr>
        <w:rFonts w:hint="eastAsia" w:ascii="仿宋" w:hAnsi="仿宋" w:eastAsia="仿宋" w:cs="仿宋"/>
        <w:b/>
        <w:bCs/>
        <w:sz w:val="21"/>
        <w:szCs w:val="21"/>
        <w:lang w:val="en-US" w:eastAsia="zh-CN"/>
      </w:rPr>
      <w:t>第十一届全省少数民族传统运动会自动除颤器（AED）采购项目                    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82AD"/>
    <w:multiLevelType w:val="singleLevel"/>
    <w:tmpl w:val="B3BF82AD"/>
    <w:lvl w:ilvl="0" w:tentative="0">
      <w:start w:val="1"/>
      <w:numFmt w:val="chineseCounting"/>
      <w:suff w:val="nothing"/>
      <w:lvlText w:val="%1、"/>
      <w:lvlJc w:val="left"/>
      <w:rPr>
        <w:rFonts w:hint="eastAsia"/>
      </w:rPr>
    </w:lvl>
  </w:abstractNum>
  <w:abstractNum w:abstractNumId="1">
    <w:nsid w:val="B82D91CE"/>
    <w:multiLevelType w:val="singleLevel"/>
    <w:tmpl w:val="B82D91CE"/>
    <w:lvl w:ilvl="0" w:tentative="0">
      <w:start w:val="1"/>
      <w:numFmt w:val="decimal"/>
      <w:lvlText w:val="(%1)"/>
      <w:lvlJc w:val="left"/>
      <w:pPr>
        <w:ind w:left="425" w:hanging="425"/>
      </w:pPr>
      <w:rPr>
        <w:rFonts w:hint="default"/>
      </w:rPr>
    </w:lvl>
  </w:abstractNum>
  <w:abstractNum w:abstractNumId="2">
    <w:nsid w:val="BAD07DA3"/>
    <w:multiLevelType w:val="singleLevel"/>
    <w:tmpl w:val="BAD07DA3"/>
    <w:lvl w:ilvl="0" w:tentative="0">
      <w:start w:val="1"/>
      <w:numFmt w:val="decimal"/>
      <w:suff w:val="nothing"/>
      <w:lvlText w:val="%1．"/>
      <w:lvlJc w:val="left"/>
      <w:pPr>
        <w:ind w:left="0" w:firstLine="400"/>
      </w:pPr>
      <w:rPr>
        <w:rFonts w:hint="default"/>
      </w:rPr>
    </w:lvl>
  </w:abstractNum>
  <w:abstractNum w:abstractNumId="3">
    <w:nsid w:val="DF5DAB78"/>
    <w:multiLevelType w:val="singleLevel"/>
    <w:tmpl w:val="DF5DAB78"/>
    <w:lvl w:ilvl="0" w:tentative="0">
      <w:start w:val="1"/>
      <w:numFmt w:val="decimal"/>
      <w:suff w:val="nothing"/>
      <w:lvlText w:val="%1．"/>
      <w:lvlJc w:val="left"/>
      <w:pPr>
        <w:ind w:left="0" w:firstLine="400"/>
      </w:pPr>
      <w:rPr>
        <w:rFonts w:hint="default"/>
      </w:rPr>
    </w:lvl>
  </w:abstractNum>
  <w:abstractNum w:abstractNumId="4">
    <w:nsid w:val="F40096D2"/>
    <w:multiLevelType w:val="singleLevel"/>
    <w:tmpl w:val="F40096D2"/>
    <w:lvl w:ilvl="0" w:tentative="0">
      <w:start w:val="1"/>
      <w:numFmt w:val="decimal"/>
      <w:suff w:val="nothing"/>
      <w:lvlText w:val="%1．"/>
      <w:lvlJc w:val="left"/>
      <w:pPr>
        <w:ind w:left="0" w:firstLine="400"/>
      </w:pPr>
      <w:rPr>
        <w:rFonts w:hint="default"/>
      </w:rPr>
    </w:lvl>
  </w:abstractNum>
  <w:abstractNum w:abstractNumId="5">
    <w:nsid w:val="00000001"/>
    <w:multiLevelType w:val="singleLevel"/>
    <w:tmpl w:val="00000001"/>
    <w:lvl w:ilvl="0" w:tentative="0">
      <w:start w:val="1"/>
      <w:numFmt w:val="decimal"/>
      <w:suff w:val="nothing"/>
      <w:lvlText w:val="%1．"/>
      <w:lvlJc w:val="left"/>
      <w:pPr>
        <w:ind w:left="0" w:firstLine="400"/>
      </w:pPr>
      <w:rPr>
        <w:rFonts w:hint="default"/>
      </w:rPr>
    </w:lvl>
  </w:abstractNum>
  <w:abstractNum w:abstractNumId="6">
    <w:nsid w:val="00000005"/>
    <w:multiLevelType w:val="singleLevel"/>
    <w:tmpl w:val="00000005"/>
    <w:lvl w:ilvl="0" w:tentative="0">
      <w:start w:val="1"/>
      <w:numFmt w:val="decimal"/>
      <w:suff w:val="nothing"/>
      <w:lvlText w:val="%1．"/>
      <w:lvlJc w:val="left"/>
      <w:pPr>
        <w:ind w:left="0" w:firstLine="400"/>
      </w:pPr>
      <w:rPr>
        <w:rFonts w:hint="default"/>
      </w:rPr>
    </w:lvl>
  </w:abstractNum>
  <w:abstractNum w:abstractNumId="7">
    <w:nsid w:val="00000007"/>
    <w:multiLevelType w:val="multilevel"/>
    <w:tmpl w:val="00000007"/>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宋体" w:hAnsi="宋体" w:eastAsia="宋体" w:cs="宋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pStyle w:val="11"/>
      <w:suff w:val="nothing"/>
      <w:lvlText w:val="%3.%4.%5.%6.%7.%8.%9"/>
      <w:lvlJc w:val="left"/>
      <w:pPr>
        <w:ind w:left="0" w:firstLine="402"/>
      </w:pPr>
      <w:rPr>
        <w:rFonts w:hint="eastAsia" w:ascii="宋体" w:hAnsi="宋体" w:eastAsia="宋体" w:cs="宋体"/>
      </w:rPr>
    </w:lvl>
  </w:abstractNum>
  <w:abstractNum w:abstractNumId="8">
    <w:nsid w:val="00000009"/>
    <w:multiLevelType w:val="multilevel"/>
    <w:tmpl w:val="00000009"/>
    <w:lvl w:ilvl="0" w:tentative="0">
      <w:start w:val="1"/>
      <w:numFmt w:val="decimal"/>
      <w:suff w:val="nothing"/>
      <w:lvlText w:val="（%1）"/>
      <w:lvlJc w:val="left"/>
      <w:pPr>
        <w:ind w:left="0" w:firstLine="403"/>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A"/>
    <w:multiLevelType w:val="singleLevel"/>
    <w:tmpl w:val="0000000A"/>
    <w:lvl w:ilvl="0" w:tentative="0">
      <w:start w:val="1"/>
      <w:numFmt w:val="decimal"/>
      <w:suff w:val="nothing"/>
      <w:lvlText w:val="%1"/>
      <w:lvlJc w:val="center"/>
      <w:pPr>
        <w:ind w:left="0" w:firstLine="0"/>
      </w:pPr>
      <w:rPr>
        <w:rFonts w:hint="default"/>
      </w:rPr>
    </w:lvl>
  </w:abstractNum>
  <w:abstractNum w:abstractNumId="10">
    <w:nsid w:val="0000000C"/>
    <w:multiLevelType w:val="singleLevel"/>
    <w:tmpl w:val="0000000C"/>
    <w:lvl w:ilvl="0" w:tentative="0">
      <w:start w:val="1"/>
      <w:numFmt w:val="decimal"/>
      <w:lvlText w:val="%1."/>
      <w:lvlJc w:val="left"/>
      <w:pPr>
        <w:ind w:left="425" w:hanging="425"/>
      </w:pPr>
      <w:rPr>
        <w:rFonts w:hint="default"/>
      </w:rPr>
    </w:lvl>
  </w:abstractNum>
  <w:abstractNum w:abstractNumId="11">
    <w:nsid w:val="0000000D"/>
    <w:multiLevelType w:val="singleLevel"/>
    <w:tmpl w:val="0000000D"/>
    <w:lvl w:ilvl="0" w:tentative="0">
      <w:start w:val="1"/>
      <w:numFmt w:val="decimal"/>
      <w:suff w:val="nothing"/>
      <w:lvlText w:val="%1．"/>
      <w:lvlJc w:val="left"/>
      <w:pPr>
        <w:ind w:left="0" w:firstLine="400"/>
      </w:pPr>
      <w:rPr>
        <w:rFonts w:hint="default"/>
      </w:rPr>
    </w:lvl>
  </w:abstractNum>
  <w:abstractNum w:abstractNumId="12">
    <w:nsid w:val="0000000E"/>
    <w:multiLevelType w:val="singleLevel"/>
    <w:tmpl w:val="0000000E"/>
    <w:lvl w:ilvl="0" w:tentative="0">
      <w:start w:val="1"/>
      <w:numFmt w:val="decimal"/>
      <w:suff w:val="nothing"/>
      <w:lvlText w:val="%1．"/>
      <w:lvlJc w:val="left"/>
      <w:pPr>
        <w:ind w:left="0" w:firstLine="400"/>
      </w:pPr>
      <w:rPr>
        <w:rFonts w:hint="default"/>
      </w:rPr>
    </w:lvl>
  </w:abstractNum>
  <w:abstractNum w:abstractNumId="13">
    <w:nsid w:val="0000000F"/>
    <w:multiLevelType w:val="singleLevel"/>
    <w:tmpl w:val="0000000F"/>
    <w:lvl w:ilvl="0" w:tentative="0">
      <w:start w:val="1"/>
      <w:numFmt w:val="decimal"/>
      <w:suff w:val="nothing"/>
      <w:lvlText w:val="%1．"/>
      <w:lvlJc w:val="left"/>
      <w:pPr>
        <w:ind w:left="0" w:firstLine="400"/>
      </w:pPr>
      <w:rPr>
        <w:rFonts w:hint="default"/>
      </w:rPr>
    </w:lvl>
  </w:abstractNum>
  <w:abstractNum w:abstractNumId="14">
    <w:nsid w:val="00000010"/>
    <w:multiLevelType w:val="singleLevel"/>
    <w:tmpl w:val="00000010"/>
    <w:lvl w:ilvl="0" w:tentative="0">
      <w:start w:val="1"/>
      <w:numFmt w:val="decimalEnclosedCircleChinese"/>
      <w:suff w:val="nothing"/>
      <w:lvlText w:val="%1　"/>
      <w:lvlJc w:val="left"/>
      <w:pPr>
        <w:ind w:left="0" w:firstLine="400"/>
      </w:pPr>
      <w:rPr>
        <w:rFonts w:hint="eastAsia"/>
      </w:rPr>
    </w:lvl>
  </w:abstractNum>
  <w:abstractNum w:abstractNumId="15">
    <w:nsid w:val="00000011"/>
    <w:multiLevelType w:val="singleLevel"/>
    <w:tmpl w:val="00000011"/>
    <w:lvl w:ilvl="0" w:tentative="0">
      <w:start w:val="1"/>
      <w:numFmt w:val="decimal"/>
      <w:suff w:val="nothing"/>
      <w:lvlText w:val="%1．"/>
      <w:lvlJc w:val="left"/>
      <w:pPr>
        <w:ind w:left="0" w:firstLine="400"/>
      </w:pPr>
      <w:rPr>
        <w:rFonts w:hint="default"/>
      </w:rPr>
    </w:lvl>
  </w:abstractNum>
  <w:abstractNum w:abstractNumId="16">
    <w:nsid w:val="00000013"/>
    <w:multiLevelType w:val="singleLevel"/>
    <w:tmpl w:val="00000013"/>
    <w:lvl w:ilvl="0" w:tentative="0">
      <w:start w:val="1"/>
      <w:numFmt w:val="decimal"/>
      <w:suff w:val="nothing"/>
      <w:lvlText w:val="%1．"/>
      <w:lvlJc w:val="left"/>
      <w:pPr>
        <w:ind w:left="0" w:firstLine="400"/>
      </w:pPr>
      <w:rPr>
        <w:rFonts w:hint="default"/>
      </w:rPr>
    </w:lvl>
  </w:abstractNum>
  <w:abstractNum w:abstractNumId="17">
    <w:nsid w:val="00000014"/>
    <w:multiLevelType w:val="singleLevel"/>
    <w:tmpl w:val="00000014"/>
    <w:lvl w:ilvl="0" w:tentative="0">
      <w:start w:val="1"/>
      <w:numFmt w:val="decimal"/>
      <w:suff w:val="nothing"/>
      <w:lvlText w:val="%1"/>
      <w:lvlJc w:val="center"/>
      <w:pPr>
        <w:ind w:left="0" w:firstLine="0"/>
      </w:pPr>
      <w:rPr>
        <w:rFonts w:hint="default"/>
      </w:rPr>
    </w:lvl>
  </w:abstractNum>
  <w:abstractNum w:abstractNumId="18">
    <w:nsid w:val="00000018"/>
    <w:multiLevelType w:val="singleLevel"/>
    <w:tmpl w:val="00000018"/>
    <w:lvl w:ilvl="0" w:tentative="0">
      <w:start w:val="1"/>
      <w:numFmt w:val="decimal"/>
      <w:suff w:val="nothing"/>
      <w:lvlText w:val="%1．"/>
      <w:lvlJc w:val="left"/>
      <w:pPr>
        <w:ind w:left="0" w:firstLine="400"/>
      </w:pPr>
      <w:rPr>
        <w:rFonts w:hint="default"/>
      </w:rPr>
    </w:lvl>
  </w:abstractNum>
  <w:abstractNum w:abstractNumId="19">
    <w:nsid w:val="00000019"/>
    <w:multiLevelType w:val="singleLevel"/>
    <w:tmpl w:val="00000019"/>
    <w:lvl w:ilvl="0" w:tentative="0">
      <w:start w:val="1"/>
      <w:numFmt w:val="decimal"/>
      <w:suff w:val="nothing"/>
      <w:lvlText w:val="（%1）"/>
      <w:lvlJc w:val="left"/>
      <w:pPr>
        <w:ind w:left="0" w:firstLine="403"/>
      </w:pPr>
      <w:rPr>
        <w:rFonts w:hint="default"/>
      </w:rPr>
    </w:lvl>
  </w:abstractNum>
  <w:abstractNum w:abstractNumId="20">
    <w:nsid w:val="0000001B"/>
    <w:multiLevelType w:val="singleLevel"/>
    <w:tmpl w:val="0000001B"/>
    <w:lvl w:ilvl="0" w:tentative="0">
      <w:start w:val="1"/>
      <w:numFmt w:val="decimal"/>
      <w:pStyle w:val="72"/>
      <w:suff w:val="nothing"/>
      <w:lvlText w:val="%1"/>
      <w:lvlJc w:val="center"/>
      <w:pPr>
        <w:tabs>
          <w:tab w:val="left" w:pos="0"/>
        </w:tabs>
        <w:ind w:left="0" w:firstLine="0"/>
      </w:pPr>
      <w:rPr>
        <w:rFonts w:hint="default"/>
      </w:rPr>
    </w:lvl>
  </w:abstractNum>
  <w:abstractNum w:abstractNumId="21">
    <w:nsid w:val="0000001D"/>
    <w:multiLevelType w:val="singleLevel"/>
    <w:tmpl w:val="0000001D"/>
    <w:lvl w:ilvl="0" w:tentative="0">
      <w:start w:val="1"/>
      <w:numFmt w:val="decimal"/>
      <w:suff w:val="nothing"/>
      <w:lvlText w:val="%1．"/>
      <w:lvlJc w:val="left"/>
      <w:pPr>
        <w:ind w:left="0" w:firstLine="400"/>
      </w:pPr>
      <w:rPr>
        <w:rFonts w:hint="default"/>
      </w:rPr>
    </w:lvl>
  </w:abstractNum>
  <w:abstractNum w:abstractNumId="22">
    <w:nsid w:val="0000001F"/>
    <w:multiLevelType w:val="singleLevel"/>
    <w:tmpl w:val="0000001F"/>
    <w:lvl w:ilvl="0" w:tentative="0">
      <w:start w:val="1"/>
      <w:numFmt w:val="decimal"/>
      <w:suff w:val="nothing"/>
      <w:lvlText w:val="%1．"/>
      <w:lvlJc w:val="left"/>
      <w:pPr>
        <w:ind w:left="0" w:firstLine="400"/>
      </w:pPr>
      <w:rPr>
        <w:rFonts w:hint="default"/>
      </w:rPr>
    </w:lvl>
  </w:abstractNum>
  <w:abstractNum w:abstractNumId="23">
    <w:nsid w:val="00000020"/>
    <w:multiLevelType w:val="multilevel"/>
    <w:tmpl w:val="00000020"/>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pStyle w:val="7"/>
      <w:suff w:val="nothing"/>
      <w:lvlText w:val="%3.%4.%5 "/>
      <w:lvlJc w:val="left"/>
      <w:pPr>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24">
    <w:nsid w:val="00000021"/>
    <w:multiLevelType w:val="singleLevel"/>
    <w:tmpl w:val="00000021"/>
    <w:lvl w:ilvl="0" w:tentative="0">
      <w:start w:val="1"/>
      <w:numFmt w:val="decimal"/>
      <w:suff w:val="nothing"/>
      <w:lvlText w:val="%1．"/>
      <w:lvlJc w:val="left"/>
      <w:pPr>
        <w:ind w:left="0" w:firstLine="400"/>
      </w:pPr>
      <w:rPr>
        <w:rFonts w:hint="default"/>
      </w:rPr>
    </w:lvl>
  </w:abstractNum>
  <w:abstractNum w:abstractNumId="25">
    <w:nsid w:val="00000025"/>
    <w:multiLevelType w:val="singleLevel"/>
    <w:tmpl w:val="00000025"/>
    <w:lvl w:ilvl="0" w:tentative="0">
      <w:start w:val="1"/>
      <w:numFmt w:val="decimal"/>
      <w:suff w:val="nothing"/>
      <w:lvlText w:val="%1．"/>
      <w:lvlJc w:val="left"/>
      <w:pPr>
        <w:ind w:left="0" w:firstLine="400"/>
      </w:pPr>
      <w:rPr>
        <w:rFonts w:hint="default"/>
      </w:rPr>
    </w:lvl>
  </w:abstractNum>
  <w:abstractNum w:abstractNumId="26">
    <w:nsid w:val="00000029"/>
    <w:multiLevelType w:val="singleLevel"/>
    <w:tmpl w:val="00000029"/>
    <w:lvl w:ilvl="0" w:tentative="0">
      <w:start w:val="1"/>
      <w:numFmt w:val="decimal"/>
      <w:suff w:val="nothing"/>
      <w:lvlText w:val="（%1）"/>
      <w:lvlJc w:val="left"/>
      <w:pPr>
        <w:ind w:left="0" w:firstLine="403"/>
      </w:pPr>
      <w:rPr>
        <w:rFonts w:hint="default"/>
      </w:rPr>
    </w:lvl>
  </w:abstractNum>
  <w:abstractNum w:abstractNumId="27">
    <w:nsid w:val="0000002E"/>
    <w:multiLevelType w:val="singleLevel"/>
    <w:tmpl w:val="0000002E"/>
    <w:lvl w:ilvl="0" w:tentative="0">
      <w:start w:val="1"/>
      <w:numFmt w:val="decimal"/>
      <w:suff w:val="nothing"/>
      <w:lvlText w:val="%1．"/>
      <w:lvlJc w:val="left"/>
      <w:pPr>
        <w:ind w:left="0" w:firstLine="400"/>
      </w:pPr>
      <w:rPr>
        <w:rFonts w:hint="default"/>
      </w:rPr>
    </w:lvl>
  </w:abstractNum>
  <w:abstractNum w:abstractNumId="28">
    <w:nsid w:val="0000002F"/>
    <w:multiLevelType w:val="singleLevel"/>
    <w:tmpl w:val="0000002F"/>
    <w:lvl w:ilvl="0" w:tentative="0">
      <w:start w:val="1"/>
      <w:numFmt w:val="decimal"/>
      <w:suff w:val="nothing"/>
      <w:lvlText w:val="%1．"/>
      <w:lvlJc w:val="left"/>
      <w:pPr>
        <w:ind w:left="0" w:firstLine="400"/>
      </w:pPr>
      <w:rPr>
        <w:rFonts w:hint="default"/>
      </w:rPr>
    </w:lvl>
  </w:abstractNum>
  <w:abstractNum w:abstractNumId="29">
    <w:nsid w:val="00000030"/>
    <w:multiLevelType w:val="singleLevel"/>
    <w:tmpl w:val="00000030"/>
    <w:lvl w:ilvl="0" w:tentative="0">
      <w:start w:val="1"/>
      <w:numFmt w:val="decimal"/>
      <w:suff w:val="nothing"/>
      <w:lvlText w:val="%1．"/>
      <w:lvlJc w:val="left"/>
      <w:pPr>
        <w:ind w:left="0" w:firstLine="400"/>
      </w:pPr>
      <w:rPr>
        <w:rFonts w:hint="default"/>
      </w:rPr>
    </w:lvl>
  </w:abstractNum>
  <w:abstractNum w:abstractNumId="30">
    <w:nsid w:val="00000032"/>
    <w:multiLevelType w:val="singleLevel"/>
    <w:tmpl w:val="00000032"/>
    <w:lvl w:ilvl="0" w:tentative="0">
      <w:start w:val="1"/>
      <w:numFmt w:val="decimal"/>
      <w:suff w:val="nothing"/>
      <w:lvlText w:val="%1．"/>
      <w:lvlJc w:val="left"/>
      <w:pPr>
        <w:ind w:left="0" w:firstLine="400"/>
      </w:pPr>
      <w:rPr>
        <w:rFonts w:hint="default"/>
      </w:rPr>
    </w:lvl>
  </w:abstractNum>
  <w:abstractNum w:abstractNumId="31">
    <w:nsid w:val="00000034"/>
    <w:multiLevelType w:val="singleLevel"/>
    <w:tmpl w:val="00000034"/>
    <w:lvl w:ilvl="0" w:tentative="0">
      <w:start w:val="1"/>
      <w:numFmt w:val="decimal"/>
      <w:suff w:val="nothing"/>
      <w:lvlText w:val="%1．"/>
      <w:lvlJc w:val="left"/>
      <w:pPr>
        <w:ind w:left="0" w:firstLine="400"/>
      </w:pPr>
      <w:rPr>
        <w:rFonts w:hint="default"/>
      </w:rPr>
    </w:lvl>
  </w:abstractNum>
  <w:abstractNum w:abstractNumId="32">
    <w:nsid w:val="00000036"/>
    <w:multiLevelType w:val="singleLevel"/>
    <w:tmpl w:val="00000036"/>
    <w:lvl w:ilvl="0" w:tentative="0">
      <w:start w:val="1"/>
      <w:numFmt w:val="decimal"/>
      <w:suff w:val="nothing"/>
      <w:lvlText w:val="%1．"/>
      <w:lvlJc w:val="left"/>
      <w:pPr>
        <w:ind w:left="0" w:firstLine="400"/>
      </w:pPr>
      <w:rPr>
        <w:rFonts w:hint="default"/>
      </w:rPr>
    </w:lvl>
  </w:abstractNum>
  <w:abstractNum w:abstractNumId="33">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34">
    <w:nsid w:val="0000003A"/>
    <w:multiLevelType w:val="singleLevel"/>
    <w:tmpl w:val="0000003A"/>
    <w:lvl w:ilvl="0" w:tentative="0">
      <w:start w:val="1"/>
      <w:numFmt w:val="decimal"/>
      <w:suff w:val="nothing"/>
      <w:lvlText w:val="%1．"/>
      <w:lvlJc w:val="left"/>
      <w:pPr>
        <w:ind w:left="0" w:firstLine="400"/>
      </w:pPr>
      <w:rPr>
        <w:rFonts w:hint="default"/>
      </w:rPr>
    </w:lvl>
  </w:abstractNum>
  <w:abstractNum w:abstractNumId="35">
    <w:nsid w:val="0000003B"/>
    <w:multiLevelType w:val="singleLevel"/>
    <w:tmpl w:val="0000003B"/>
    <w:lvl w:ilvl="0" w:tentative="0">
      <w:start w:val="1"/>
      <w:numFmt w:val="chineseCounting"/>
      <w:suff w:val="nothing"/>
      <w:lvlText w:val="%1、"/>
      <w:lvlJc w:val="left"/>
      <w:pPr>
        <w:ind w:left="0" w:firstLine="420"/>
      </w:pPr>
      <w:rPr>
        <w:rFonts w:hint="eastAsia"/>
      </w:rPr>
    </w:lvl>
  </w:abstractNum>
  <w:abstractNum w:abstractNumId="36">
    <w:nsid w:val="0000003C"/>
    <w:multiLevelType w:val="multilevel"/>
    <w:tmpl w:val="0000003C"/>
    <w:lvl w:ilvl="0" w:tentative="0">
      <w:start w:val="1"/>
      <w:numFmt w:val="chineseCounting"/>
      <w:suff w:val="nothing"/>
      <w:lvlText w:val="第%1章 "/>
      <w:lvlJc w:val="left"/>
      <w:pPr>
        <w:tabs>
          <w:tab w:val="left" w:pos="0"/>
        </w:tabs>
        <w:ind w:left="0" w:firstLine="402"/>
      </w:pPr>
      <w:rPr>
        <w:rFonts w:hint="eastAsia" w:ascii="微软雅黑" w:hAnsi="微软雅黑" w:eastAsia="微软雅黑" w:cs="微软雅黑"/>
        <w:sz w:val="36"/>
        <w:szCs w:val="36"/>
      </w:rPr>
    </w:lvl>
    <w:lvl w:ilvl="1" w:tentative="0">
      <w:start w:val="1"/>
      <w:numFmt w:val="chineseCounting"/>
      <w:suff w:val="nothing"/>
      <w:lvlText w:val="%2、"/>
      <w:lvlJc w:val="left"/>
      <w:pPr>
        <w:ind w:left="0" w:firstLine="402"/>
      </w:pPr>
      <w:rPr>
        <w:rFonts w:hint="eastAsia" w:ascii="黑体" w:hAnsi="黑体" w:eastAsia="黑体" w:cs="黑体"/>
      </w:rPr>
    </w:lvl>
    <w:lvl w:ilvl="2" w:tentative="0">
      <w:start w:val="1"/>
      <w:numFmt w:val="decimal"/>
      <w:pStyle w:val="5"/>
      <w:suff w:val="nothing"/>
      <w:lvlText w:val="%3．"/>
      <w:lvlJc w:val="left"/>
      <w:pPr>
        <w:ind w:left="0" w:firstLine="402"/>
      </w:pPr>
      <w:rPr>
        <w:rFonts w:hint="eastAsia" w:ascii="宋体" w:hAnsi="宋体" w:eastAsia="宋体" w:cs="宋体"/>
      </w:rPr>
    </w:lvl>
    <w:lvl w:ilvl="3" w:tentative="0">
      <w:start w:val="1"/>
      <w:numFmt w:val="decimal"/>
      <w:suff w:val="nothing"/>
      <w:lvlText w:val="%3.%4"/>
      <w:lvlJc w:val="left"/>
      <w:pPr>
        <w:ind w:left="0" w:firstLine="402"/>
      </w:pPr>
      <w:rPr>
        <w:rFonts w:hint="eastAsia" w:ascii="黑体" w:hAnsi="黑体" w:eastAsia="黑体" w:cs="黑体"/>
        <w:sz w:val="24"/>
        <w:szCs w:val="24"/>
      </w:rPr>
    </w:lvl>
    <w:lvl w:ilvl="4" w:tentative="0">
      <w:start w:val="1"/>
      <w:numFmt w:val="decimal"/>
      <w:suff w:val="nothing"/>
      <w:lvlText w:val="%3.%4.%5 "/>
      <w:lvlJc w:val="left"/>
      <w:pPr>
        <w:tabs>
          <w:tab w:val="left" w:pos="0"/>
        </w:tabs>
        <w:ind w:left="0" w:firstLine="402"/>
      </w:pPr>
      <w:rPr>
        <w:rFonts w:hint="eastAsia" w:ascii="宋体" w:hAnsi="宋体" w:eastAsia="宋体" w:cs="宋体"/>
      </w:rPr>
    </w:lvl>
    <w:lvl w:ilvl="5" w:tentative="0">
      <w:start w:val="1"/>
      <w:numFmt w:val="decimal"/>
      <w:suff w:val="nothing"/>
      <w:lvlText w:val="%3.%4.%5.%6"/>
      <w:lvlJc w:val="left"/>
      <w:pPr>
        <w:ind w:left="0" w:firstLine="402"/>
      </w:pPr>
      <w:rPr>
        <w:rFonts w:hint="eastAsia" w:ascii="宋体" w:hAnsi="宋体" w:eastAsia="宋体" w:cs="宋体"/>
      </w:rPr>
    </w:lvl>
    <w:lvl w:ilvl="6" w:tentative="0">
      <w:start w:val="1"/>
      <w:numFmt w:val="decimal"/>
      <w:suff w:val="nothing"/>
      <w:lvlText w:val="%3.%4.%5.%6.%7"/>
      <w:lvlJc w:val="left"/>
      <w:pPr>
        <w:ind w:left="0" w:firstLine="402"/>
      </w:pPr>
      <w:rPr>
        <w:rFonts w:hint="eastAsia" w:ascii="宋体" w:hAnsi="宋体" w:eastAsia="宋体" w:cs="宋体"/>
      </w:rPr>
    </w:lvl>
    <w:lvl w:ilvl="7" w:tentative="0">
      <w:start w:val="1"/>
      <w:numFmt w:val="decimal"/>
      <w:pStyle w:val="10"/>
      <w:suff w:val="nothing"/>
      <w:lvlText w:val="%3.%4.%5.%6.%7.%8"/>
      <w:lvlJc w:val="left"/>
      <w:pPr>
        <w:ind w:left="0" w:firstLine="402"/>
      </w:pPr>
      <w:rPr>
        <w:rFonts w:hint="eastAsia" w:ascii="宋体" w:hAnsi="宋体" w:eastAsia="宋体" w:cs="宋体"/>
      </w:rPr>
    </w:lvl>
    <w:lvl w:ilvl="8" w:tentative="0">
      <w:start w:val="1"/>
      <w:numFmt w:val="decimal"/>
      <w:suff w:val="nothing"/>
      <w:lvlText w:val="%3.%4.%5.%6.%7.%8.%9"/>
      <w:lvlJc w:val="left"/>
      <w:pPr>
        <w:ind w:left="0" w:firstLine="402"/>
      </w:pPr>
      <w:rPr>
        <w:rFonts w:hint="eastAsia" w:ascii="宋体" w:hAnsi="宋体" w:eastAsia="宋体" w:cs="宋体"/>
      </w:rPr>
    </w:lvl>
  </w:abstractNum>
  <w:abstractNum w:abstractNumId="37">
    <w:nsid w:val="0000003D"/>
    <w:multiLevelType w:val="singleLevel"/>
    <w:tmpl w:val="0000003D"/>
    <w:lvl w:ilvl="0" w:tentative="0">
      <w:start w:val="1"/>
      <w:numFmt w:val="decimal"/>
      <w:suff w:val="nothing"/>
      <w:lvlText w:val="%1．"/>
      <w:lvlJc w:val="left"/>
      <w:pPr>
        <w:ind w:left="0" w:firstLine="400"/>
      </w:pPr>
      <w:rPr>
        <w:rFonts w:hint="default"/>
      </w:rPr>
    </w:lvl>
  </w:abstractNum>
  <w:abstractNum w:abstractNumId="38">
    <w:nsid w:val="0000003E"/>
    <w:multiLevelType w:val="singleLevel"/>
    <w:tmpl w:val="0000003E"/>
    <w:lvl w:ilvl="0" w:tentative="0">
      <w:start w:val="1"/>
      <w:numFmt w:val="decimal"/>
      <w:suff w:val="nothing"/>
      <w:lvlText w:val="%1．"/>
      <w:lvlJc w:val="left"/>
      <w:pPr>
        <w:ind w:left="0" w:firstLine="400"/>
      </w:pPr>
      <w:rPr>
        <w:rFonts w:hint="default"/>
      </w:rPr>
    </w:lvl>
  </w:abstractNum>
  <w:abstractNum w:abstractNumId="39">
    <w:nsid w:val="0000003F"/>
    <w:multiLevelType w:val="singleLevel"/>
    <w:tmpl w:val="0000003F"/>
    <w:lvl w:ilvl="0" w:tentative="0">
      <w:start w:val="1"/>
      <w:numFmt w:val="decimal"/>
      <w:suff w:val="nothing"/>
      <w:lvlText w:val="%1"/>
      <w:lvlJc w:val="center"/>
      <w:pPr>
        <w:ind w:left="0" w:firstLine="0"/>
      </w:pPr>
      <w:rPr>
        <w:rFonts w:hint="default"/>
      </w:rPr>
    </w:lvl>
  </w:abstractNum>
  <w:abstractNum w:abstractNumId="40">
    <w:nsid w:val="00000041"/>
    <w:multiLevelType w:val="singleLevel"/>
    <w:tmpl w:val="00000041"/>
    <w:lvl w:ilvl="0" w:tentative="0">
      <w:start w:val="1"/>
      <w:numFmt w:val="decimal"/>
      <w:suff w:val="nothing"/>
      <w:lvlText w:val="%1．"/>
      <w:lvlJc w:val="left"/>
      <w:pPr>
        <w:ind w:left="0" w:firstLine="400"/>
      </w:pPr>
      <w:rPr>
        <w:rFonts w:hint="default" w:ascii="微软雅黑" w:hAnsi="微软雅黑" w:eastAsia="微软雅黑" w:cs="微软雅黑"/>
      </w:rPr>
    </w:lvl>
  </w:abstractNum>
  <w:abstractNum w:abstractNumId="41">
    <w:nsid w:val="0018F634"/>
    <w:multiLevelType w:val="singleLevel"/>
    <w:tmpl w:val="0018F634"/>
    <w:lvl w:ilvl="0" w:tentative="0">
      <w:start w:val="1"/>
      <w:numFmt w:val="decimal"/>
      <w:lvlText w:val="(%1)"/>
      <w:lvlJc w:val="left"/>
      <w:pPr>
        <w:ind w:left="425" w:hanging="425"/>
      </w:pPr>
      <w:rPr>
        <w:rFonts w:hint="default"/>
      </w:rPr>
    </w:lvl>
  </w:abstractNum>
  <w:abstractNum w:abstractNumId="42">
    <w:nsid w:val="0D8AABEB"/>
    <w:multiLevelType w:val="singleLevel"/>
    <w:tmpl w:val="0D8AABEB"/>
    <w:lvl w:ilvl="0" w:tentative="0">
      <w:start w:val="1"/>
      <w:numFmt w:val="decimal"/>
      <w:suff w:val="nothing"/>
      <w:lvlText w:val="%1"/>
      <w:lvlJc w:val="center"/>
      <w:rPr>
        <w:rFonts w:hint="default"/>
      </w:rPr>
    </w:lvl>
  </w:abstractNum>
  <w:abstractNum w:abstractNumId="43">
    <w:nsid w:val="2618B967"/>
    <w:multiLevelType w:val="singleLevel"/>
    <w:tmpl w:val="2618B967"/>
    <w:lvl w:ilvl="0" w:tentative="0">
      <w:start w:val="1"/>
      <w:numFmt w:val="chineseCounting"/>
      <w:suff w:val="nothing"/>
      <w:lvlText w:val="（%1）"/>
      <w:lvlJc w:val="left"/>
      <w:pPr>
        <w:ind w:left="0" w:firstLine="420"/>
      </w:pPr>
      <w:rPr>
        <w:rFonts w:hint="eastAsia"/>
      </w:rPr>
    </w:lvl>
  </w:abstractNum>
  <w:abstractNum w:abstractNumId="44">
    <w:nsid w:val="5A2AE820"/>
    <w:multiLevelType w:val="singleLevel"/>
    <w:tmpl w:val="5A2AE820"/>
    <w:lvl w:ilvl="0" w:tentative="0">
      <w:start w:val="1"/>
      <w:numFmt w:val="decimal"/>
      <w:lvlText w:val="(%1)"/>
      <w:lvlJc w:val="left"/>
      <w:pPr>
        <w:ind w:left="425" w:hanging="425"/>
      </w:pPr>
      <w:rPr>
        <w:rFonts w:hint="default"/>
      </w:rPr>
    </w:lvl>
  </w:abstractNum>
  <w:abstractNum w:abstractNumId="45">
    <w:nsid w:val="61440EBE"/>
    <w:multiLevelType w:val="singleLevel"/>
    <w:tmpl w:val="61440EBE"/>
    <w:lvl w:ilvl="0" w:tentative="0">
      <w:start w:val="1"/>
      <w:numFmt w:val="decimal"/>
      <w:suff w:val="nothing"/>
      <w:lvlText w:val="%1．"/>
      <w:lvlJc w:val="left"/>
      <w:pPr>
        <w:ind w:left="0" w:firstLine="400"/>
      </w:pPr>
      <w:rPr>
        <w:rFonts w:hint="default"/>
      </w:rPr>
    </w:lvl>
  </w:abstractNum>
  <w:abstractNum w:abstractNumId="46">
    <w:nsid w:val="629D9AA3"/>
    <w:multiLevelType w:val="singleLevel"/>
    <w:tmpl w:val="629D9AA3"/>
    <w:lvl w:ilvl="0" w:tentative="0">
      <w:start w:val="1"/>
      <w:numFmt w:val="decimal"/>
      <w:suff w:val="nothing"/>
      <w:lvlText w:val="%1．"/>
      <w:lvlJc w:val="left"/>
      <w:pPr>
        <w:ind w:left="0" w:firstLine="400"/>
      </w:pPr>
      <w:rPr>
        <w:rFonts w:hint="default"/>
      </w:rPr>
    </w:lvl>
  </w:abstractNum>
  <w:abstractNum w:abstractNumId="47">
    <w:nsid w:val="62C42735"/>
    <w:multiLevelType w:val="singleLevel"/>
    <w:tmpl w:val="62C42735"/>
    <w:lvl w:ilvl="0" w:tentative="0">
      <w:start w:val="1"/>
      <w:numFmt w:val="decimal"/>
      <w:lvlText w:val="(%1)"/>
      <w:lvlJc w:val="left"/>
      <w:pPr>
        <w:ind w:left="425" w:hanging="425"/>
      </w:pPr>
      <w:rPr>
        <w:rFonts w:hint="default"/>
      </w:rPr>
    </w:lvl>
  </w:abstractNum>
  <w:abstractNum w:abstractNumId="48">
    <w:nsid w:val="6A14D99C"/>
    <w:multiLevelType w:val="singleLevel"/>
    <w:tmpl w:val="6A14D99C"/>
    <w:lvl w:ilvl="0" w:tentative="0">
      <w:start w:val="1"/>
      <w:numFmt w:val="decimal"/>
      <w:suff w:val="nothing"/>
      <w:lvlText w:val="%1．"/>
      <w:lvlJc w:val="left"/>
      <w:pPr>
        <w:ind w:left="-62" w:firstLine="400"/>
      </w:pPr>
      <w:rPr>
        <w:rFonts w:hint="default"/>
      </w:rPr>
    </w:lvl>
  </w:abstractNum>
  <w:abstractNum w:abstractNumId="49">
    <w:nsid w:val="6B5DA771"/>
    <w:multiLevelType w:val="singleLevel"/>
    <w:tmpl w:val="6B5DA771"/>
    <w:lvl w:ilvl="0" w:tentative="0">
      <w:start w:val="1"/>
      <w:numFmt w:val="decimal"/>
      <w:suff w:val="nothing"/>
      <w:lvlText w:val="%1．"/>
      <w:lvlJc w:val="left"/>
      <w:pPr>
        <w:ind w:left="0" w:firstLine="400"/>
      </w:pPr>
      <w:rPr>
        <w:rFonts w:hint="default"/>
      </w:rPr>
    </w:lvl>
  </w:abstractNum>
  <w:num w:numId="1">
    <w:abstractNumId w:val="36"/>
  </w:num>
  <w:num w:numId="2">
    <w:abstractNumId w:val="23"/>
  </w:num>
  <w:num w:numId="3">
    <w:abstractNumId w:val="7"/>
  </w:num>
  <w:num w:numId="4">
    <w:abstractNumId w:val="20"/>
  </w:num>
  <w:num w:numId="5">
    <w:abstractNumId w:val="3"/>
  </w:num>
  <w:num w:numId="6">
    <w:abstractNumId w:val="45"/>
  </w:num>
  <w:num w:numId="7">
    <w:abstractNumId w:val="40"/>
  </w:num>
  <w:num w:numId="8">
    <w:abstractNumId w:val="35"/>
  </w:num>
  <w:num w:numId="9">
    <w:abstractNumId w:val="13"/>
  </w:num>
  <w:num w:numId="10">
    <w:abstractNumId w:val="21"/>
  </w:num>
  <w:num w:numId="11">
    <w:abstractNumId w:val="25"/>
  </w:num>
  <w:num w:numId="12">
    <w:abstractNumId w:val="41"/>
  </w:num>
  <w:num w:numId="13">
    <w:abstractNumId w:val="47"/>
  </w:num>
  <w:num w:numId="14">
    <w:abstractNumId w:val="18"/>
  </w:num>
  <w:num w:numId="15">
    <w:abstractNumId w:val="16"/>
  </w:num>
  <w:num w:numId="16">
    <w:abstractNumId w:val="44"/>
  </w:num>
  <w:num w:numId="17">
    <w:abstractNumId w:val="15"/>
  </w:num>
  <w:num w:numId="18">
    <w:abstractNumId w:val="5"/>
  </w:num>
  <w:num w:numId="19">
    <w:abstractNumId w:val="30"/>
  </w:num>
  <w:num w:numId="20">
    <w:abstractNumId w:val="11"/>
  </w:num>
  <w:num w:numId="21">
    <w:abstractNumId w:val="31"/>
  </w:num>
  <w:num w:numId="22">
    <w:abstractNumId w:val="34"/>
  </w:num>
  <w:num w:numId="23">
    <w:abstractNumId w:val="6"/>
  </w:num>
  <w:num w:numId="24">
    <w:abstractNumId w:val="26"/>
  </w:num>
  <w:num w:numId="25">
    <w:abstractNumId w:val="19"/>
  </w:num>
  <w:num w:numId="26">
    <w:abstractNumId w:val="4"/>
  </w:num>
  <w:num w:numId="27">
    <w:abstractNumId w:val="27"/>
  </w:num>
  <w:num w:numId="28">
    <w:abstractNumId w:val="12"/>
  </w:num>
  <w:num w:numId="29">
    <w:abstractNumId w:val="32"/>
  </w:num>
  <w:num w:numId="30">
    <w:abstractNumId w:val="22"/>
  </w:num>
  <w:num w:numId="31">
    <w:abstractNumId w:val="33"/>
  </w:num>
  <w:num w:numId="32">
    <w:abstractNumId w:val="8"/>
  </w:num>
  <w:num w:numId="33">
    <w:abstractNumId w:val="14"/>
  </w:num>
  <w:num w:numId="34">
    <w:abstractNumId w:val="46"/>
  </w:num>
  <w:num w:numId="35">
    <w:abstractNumId w:val="24"/>
  </w:num>
  <w:num w:numId="36">
    <w:abstractNumId w:val="29"/>
  </w:num>
  <w:num w:numId="37">
    <w:abstractNumId w:val="37"/>
  </w:num>
  <w:num w:numId="38">
    <w:abstractNumId w:val="28"/>
  </w:num>
  <w:num w:numId="39">
    <w:abstractNumId w:val="49"/>
  </w:num>
  <w:num w:numId="40">
    <w:abstractNumId w:val="10"/>
  </w:num>
  <w:num w:numId="41">
    <w:abstractNumId w:val="2"/>
  </w:num>
  <w:num w:numId="42">
    <w:abstractNumId w:val="43"/>
  </w:num>
  <w:num w:numId="43">
    <w:abstractNumId w:val="42"/>
  </w:num>
  <w:num w:numId="44">
    <w:abstractNumId w:val="0"/>
  </w:num>
  <w:num w:numId="45">
    <w:abstractNumId w:val="39"/>
  </w:num>
  <w:num w:numId="46">
    <w:abstractNumId w:val="17"/>
  </w:num>
  <w:num w:numId="47">
    <w:abstractNumId w:val="48"/>
  </w:num>
  <w:num w:numId="48">
    <w:abstractNumId w:val="1"/>
  </w:num>
  <w:num w:numId="49">
    <w:abstractNumId w:val="9"/>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wNjBhYzI0NjVlY2FkYzkyODA0ODYwODkzZTA5OTgifQ=="/>
  </w:docVars>
  <w:rsids>
    <w:rsidRoot w:val="00F3115D"/>
    <w:rsid w:val="00151B76"/>
    <w:rsid w:val="001941FE"/>
    <w:rsid w:val="001D0F5A"/>
    <w:rsid w:val="00557FBF"/>
    <w:rsid w:val="005C51D8"/>
    <w:rsid w:val="00647CAE"/>
    <w:rsid w:val="0081194E"/>
    <w:rsid w:val="008922ED"/>
    <w:rsid w:val="00A31899"/>
    <w:rsid w:val="00AC2394"/>
    <w:rsid w:val="00BB31B1"/>
    <w:rsid w:val="00BD403B"/>
    <w:rsid w:val="00CB22D5"/>
    <w:rsid w:val="00DE4B0C"/>
    <w:rsid w:val="00F3115D"/>
    <w:rsid w:val="00F50089"/>
    <w:rsid w:val="01293E41"/>
    <w:rsid w:val="02D504A8"/>
    <w:rsid w:val="03724869"/>
    <w:rsid w:val="03DF1EFE"/>
    <w:rsid w:val="03DF675E"/>
    <w:rsid w:val="04531FA4"/>
    <w:rsid w:val="048B526D"/>
    <w:rsid w:val="04B049A0"/>
    <w:rsid w:val="052F5146"/>
    <w:rsid w:val="054257FA"/>
    <w:rsid w:val="057F6DC9"/>
    <w:rsid w:val="058F0456"/>
    <w:rsid w:val="05B20F4D"/>
    <w:rsid w:val="05E43D31"/>
    <w:rsid w:val="05EB778A"/>
    <w:rsid w:val="05EF6892"/>
    <w:rsid w:val="06281C39"/>
    <w:rsid w:val="0660735B"/>
    <w:rsid w:val="06AE3E0A"/>
    <w:rsid w:val="06EC0B8F"/>
    <w:rsid w:val="079733E9"/>
    <w:rsid w:val="07CD4F5E"/>
    <w:rsid w:val="08053065"/>
    <w:rsid w:val="0805514C"/>
    <w:rsid w:val="082A3964"/>
    <w:rsid w:val="089C65F4"/>
    <w:rsid w:val="08A97DBC"/>
    <w:rsid w:val="09116497"/>
    <w:rsid w:val="09263E2D"/>
    <w:rsid w:val="096D1D5A"/>
    <w:rsid w:val="09C236BE"/>
    <w:rsid w:val="0A271791"/>
    <w:rsid w:val="0A8F14B1"/>
    <w:rsid w:val="0AB56E10"/>
    <w:rsid w:val="0B1103B5"/>
    <w:rsid w:val="0B26315C"/>
    <w:rsid w:val="0B7A250D"/>
    <w:rsid w:val="0B896BF3"/>
    <w:rsid w:val="0BA43884"/>
    <w:rsid w:val="0BF4479D"/>
    <w:rsid w:val="0C41302A"/>
    <w:rsid w:val="0C8953F6"/>
    <w:rsid w:val="0C956608"/>
    <w:rsid w:val="0CC51EAD"/>
    <w:rsid w:val="0DD85997"/>
    <w:rsid w:val="0E3F1933"/>
    <w:rsid w:val="0E5344D6"/>
    <w:rsid w:val="0E8D679C"/>
    <w:rsid w:val="0F7F6343"/>
    <w:rsid w:val="0FC74213"/>
    <w:rsid w:val="10AB4F16"/>
    <w:rsid w:val="10B55BD2"/>
    <w:rsid w:val="10E441B6"/>
    <w:rsid w:val="112A22DF"/>
    <w:rsid w:val="1164374F"/>
    <w:rsid w:val="1175397F"/>
    <w:rsid w:val="11B524F0"/>
    <w:rsid w:val="11D3679D"/>
    <w:rsid w:val="11F96840"/>
    <w:rsid w:val="120140F9"/>
    <w:rsid w:val="122F1D74"/>
    <w:rsid w:val="130859A2"/>
    <w:rsid w:val="13B7543B"/>
    <w:rsid w:val="1436550F"/>
    <w:rsid w:val="14454A92"/>
    <w:rsid w:val="14975EDD"/>
    <w:rsid w:val="14D3467C"/>
    <w:rsid w:val="14E87AD6"/>
    <w:rsid w:val="14EF3AE4"/>
    <w:rsid w:val="15224BB0"/>
    <w:rsid w:val="153575CA"/>
    <w:rsid w:val="153764A0"/>
    <w:rsid w:val="15703208"/>
    <w:rsid w:val="157D6194"/>
    <w:rsid w:val="15C8768B"/>
    <w:rsid w:val="15D93B67"/>
    <w:rsid w:val="16E04661"/>
    <w:rsid w:val="16E11692"/>
    <w:rsid w:val="17401A29"/>
    <w:rsid w:val="174A73CA"/>
    <w:rsid w:val="176F4EEF"/>
    <w:rsid w:val="177111B1"/>
    <w:rsid w:val="179C05AF"/>
    <w:rsid w:val="17DF02C7"/>
    <w:rsid w:val="18247C8E"/>
    <w:rsid w:val="18556AC8"/>
    <w:rsid w:val="18F254A3"/>
    <w:rsid w:val="19216A2E"/>
    <w:rsid w:val="1971087C"/>
    <w:rsid w:val="19A55AB5"/>
    <w:rsid w:val="1A341A7A"/>
    <w:rsid w:val="1A4F0A8E"/>
    <w:rsid w:val="1AEF6A73"/>
    <w:rsid w:val="1B2852E2"/>
    <w:rsid w:val="1BD31307"/>
    <w:rsid w:val="1C6559B2"/>
    <w:rsid w:val="1CC21F65"/>
    <w:rsid w:val="1D4903B1"/>
    <w:rsid w:val="1D5D053C"/>
    <w:rsid w:val="1D886D0B"/>
    <w:rsid w:val="1D947D9F"/>
    <w:rsid w:val="1DCC3DA9"/>
    <w:rsid w:val="1DEA55C4"/>
    <w:rsid w:val="1F42113B"/>
    <w:rsid w:val="1F976DBF"/>
    <w:rsid w:val="1FFE30D2"/>
    <w:rsid w:val="2028696C"/>
    <w:rsid w:val="209255E7"/>
    <w:rsid w:val="20D411E4"/>
    <w:rsid w:val="20FC0F22"/>
    <w:rsid w:val="210B598D"/>
    <w:rsid w:val="21713385"/>
    <w:rsid w:val="21747CD2"/>
    <w:rsid w:val="221D369C"/>
    <w:rsid w:val="2240066A"/>
    <w:rsid w:val="228E4DC3"/>
    <w:rsid w:val="22E569AE"/>
    <w:rsid w:val="23056708"/>
    <w:rsid w:val="232D2A3C"/>
    <w:rsid w:val="233C25F2"/>
    <w:rsid w:val="234B1694"/>
    <w:rsid w:val="237E26B4"/>
    <w:rsid w:val="23E63A1E"/>
    <w:rsid w:val="24AB6FD6"/>
    <w:rsid w:val="24EA1376"/>
    <w:rsid w:val="24FB1A63"/>
    <w:rsid w:val="25034EC9"/>
    <w:rsid w:val="251A3D20"/>
    <w:rsid w:val="253616DD"/>
    <w:rsid w:val="255C1232"/>
    <w:rsid w:val="259328E9"/>
    <w:rsid w:val="25A42208"/>
    <w:rsid w:val="25CD5C03"/>
    <w:rsid w:val="27392E24"/>
    <w:rsid w:val="275FB3FC"/>
    <w:rsid w:val="27CA1DF8"/>
    <w:rsid w:val="27CE5C62"/>
    <w:rsid w:val="28017DE6"/>
    <w:rsid w:val="28724840"/>
    <w:rsid w:val="28D434F1"/>
    <w:rsid w:val="292D0766"/>
    <w:rsid w:val="295F57ED"/>
    <w:rsid w:val="2A005E7B"/>
    <w:rsid w:val="2A111C6E"/>
    <w:rsid w:val="2B6C7A10"/>
    <w:rsid w:val="2B852653"/>
    <w:rsid w:val="2BA2543C"/>
    <w:rsid w:val="2BBB1936"/>
    <w:rsid w:val="2BD355F5"/>
    <w:rsid w:val="2BDD3BF2"/>
    <w:rsid w:val="2C110B9D"/>
    <w:rsid w:val="2D053ED4"/>
    <w:rsid w:val="2D890DC1"/>
    <w:rsid w:val="2DF61FC5"/>
    <w:rsid w:val="2E180404"/>
    <w:rsid w:val="2E5244E0"/>
    <w:rsid w:val="2E75463C"/>
    <w:rsid w:val="2F561738"/>
    <w:rsid w:val="2FAF15D1"/>
    <w:rsid w:val="2FDA3DCC"/>
    <w:rsid w:val="30225597"/>
    <w:rsid w:val="30363872"/>
    <w:rsid w:val="30601421"/>
    <w:rsid w:val="30987F2A"/>
    <w:rsid w:val="31CF685F"/>
    <w:rsid w:val="31EA5447"/>
    <w:rsid w:val="321015F3"/>
    <w:rsid w:val="32367471"/>
    <w:rsid w:val="32C71C2C"/>
    <w:rsid w:val="32E33E8A"/>
    <w:rsid w:val="332309C0"/>
    <w:rsid w:val="33633282"/>
    <w:rsid w:val="337B1DBF"/>
    <w:rsid w:val="33CC79AA"/>
    <w:rsid w:val="33ED182B"/>
    <w:rsid w:val="340A429E"/>
    <w:rsid w:val="340D366E"/>
    <w:rsid w:val="3411315F"/>
    <w:rsid w:val="3412408C"/>
    <w:rsid w:val="341E3ACD"/>
    <w:rsid w:val="3421024E"/>
    <w:rsid w:val="34451FE8"/>
    <w:rsid w:val="345D2848"/>
    <w:rsid w:val="346239BA"/>
    <w:rsid w:val="348E09F7"/>
    <w:rsid w:val="34906F78"/>
    <w:rsid w:val="34BB756E"/>
    <w:rsid w:val="352528EA"/>
    <w:rsid w:val="356D6999"/>
    <w:rsid w:val="35753BC1"/>
    <w:rsid w:val="35C50501"/>
    <w:rsid w:val="361D69CE"/>
    <w:rsid w:val="36721EAF"/>
    <w:rsid w:val="36772336"/>
    <w:rsid w:val="36877708"/>
    <w:rsid w:val="36897924"/>
    <w:rsid w:val="36973C9B"/>
    <w:rsid w:val="36D66745"/>
    <w:rsid w:val="36DF0D3C"/>
    <w:rsid w:val="36F6488E"/>
    <w:rsid w:val="37B00EE0"/>
    <w:rsid w:val="38736649"/>
    <w:rsid w:val="38FF40CB"/>
    <w:rsid w:val="3923472B"/>
    <w:rsid w:val="39525A78"/>
    <w:rsid w:val="3A1B478A"/>
    <w:rsid w:val="3B023A74"/>
    <w:rsid w:val="3B563B4D"/>
    <w:rsid w:val="3B7A6996"/>
    <w:rsid w:val="3B8C5339"/>
    <w:rsid w:val="3C3025F0"/>
    <w:rsid w:val="3C325BBB"/>
    <w:rsid w:val="3C597D99"/>
    <w:rsid w:val="3CFC07CD"/>
    <w:rsid w:val="3D7926F2"/>
    <w:rsid w:val="3DBD76C3"/>
    <w:rsid w:val="3DC079A3"/>
    <w:rsid w:val="3E18158D"/>
    <w:rsid w:val="3E2A51F1"/>
    <w:rsid w:val="3E4156FE"/>
    <w:rsid w:val="3E500E6F"/>
    <w:rsid w:val="3E5315DD"/>
    <w:rsid w:val="3E6D1292"/>
    <w:rsid w:val="3F114E13"/>
    <w:rsid w:val="3F7E47C0"/>
    <w:rsid w:val="3F9EE5CC"/>
    <w:rsid w:val="3FD97261"/>
    <w:rsid w:val="3FFA750E"/>
    <w:rsid w:val="40406CE3"/>
    <w:rsid w:val="404C38A4"/>
    <w:rsid w:val="41870F04"/>
    <w:rsid w:val="42224789"/>
    <w:rsid w:val="423229B8"/>
    <w:rsid w:val="423746D8"/>
    <w:rsid w:val="42586BFE"/>
    <w:rsid w:val="4287784D"/>
    <w:rsid w:val="42F36125"/>
    <w:rsid w:val="43060E0A"/>
    <w:rsid w:val="43081BD1"/>
    <w:rsid w:val="430A6FB1"/>
    <w:rsid w:val="431762B8"/>
    <w:rsid w:val="436D0043"/>
    <w:rsid w:val="43AC4894"/>
    <w:rsid w:val="44043EE8"/>
    <w:rsid w:val="4411288A"/>
    <w:rsid w:val="444F55DD"/>
    <w:rsid w:val="448434D9"/>
    <w:rsid w:val="45717F85"/>
    <w:rsid w:val="458D5615"/>
    <w:rsid w:val="47513E2B"/>
    <w:rsid w:val="47D82229"/>
    <w:rsid w:val="47DA2175"/>
    <w:rsid w:val="47FA5757"/>
    <w:rsid w:val="48154613"/>
    <w:rsid w:val="48DF5182"/>
    <w:rsid w:val="48FE1133"/>
    <w:rsid w:val="4981448B"/>
    <w:rsid w:val="499526A9"/>
    <w:rsid w:val="49D84F8F"/>
    <w:rsid w:val="49F4055F"/>
    <w:rsid w:val="49F44C5D"/>
    <w:rsid w:val="4B14389F"/>
    <w:rsid w:val="4B172DAA"/>
    <w:rsid w:val="4B4D0A0F"/>
    <w:rsid w:val="4B5C4859"/>
    <w:rsid w:val="4B7E0C3D"/>
    <w:rsid w:val="4BFFF28B"/>
    <w:rsid w:val="4C171BF2"/>
    <w:rsid w:val="4C366D3F"/>
    <w:rsid w:val="4C4F261E"/>
    <w:rsid w:val="4CCB417C"/>
    <w:rsid w:val="4D1C24B3"/>
    <w:rsid w:val="4D573E80"/>
    <w:rsid w:val="4DA83F00"/>
    <w:rsid w:val="4DAF6810"/>
    <w:rsid w:val="4DF848C3"/>
    <w:rsid w:val="4E375A60"/>
    <w:rsid w:val="4E754C02"/>
    <w:rsid w:val="4E8E1E17"/>
    <w:rsid w:val="4ECE73F3"/>
    <w:rsid w:val="4F043B94"/>
    <w:rsid w:val="4F363E84"/>
    <w:rsid w:val="507B7E86"/>
    <w:rsid w:val="50BA6931"/>
    <w:rsid w:val="50C74B41"/>
    <w:rsid w:val="50D61560"/>
    <w:rsid w:val="51AE7DE7"/>
    <w:rsid w:val="51BA2C30"/>
    <w:rsid w:val="520D7A81"/>
    <w:rsid w:val="52413FC7"/>
    <w:rsid w:val="52ED2A79"/>
    <w:rsid w:val="53225FC9"/>
    <w:rsid w:val="53617C4A"/>
    <w:rsid w:val="53D00839"/>
    <w:rsid w:val="54EE07AE"/>
    <w:rsid w:val="55147323"/>
    <w:rsid w:val="552F379A"/>
    <w:rsid w:val="55577701"/>
    <w:rsid w:val="55614891"/>
    <w:rsid w:val="55B22150"/>
    <w:rsid w:val="566110D2"/>
    <w:rsid w:val="56617B1E"/>
    <w:rsid w:val="56857D03"/>
    <w:rsid w:val="56AE1F72"/>
    <w:rsid w:val="56E42240"/>
    <w:rsid w:val="56F664B8"/>
    <w:rsid w:val="571C57F3"/>
    <w:rsid w:val="57911D3D"/>
    <w:rsid w:val="57BFCEE1"/>
    <w:rsid w:val="57FF631C"/>
    <w:rsid w:val="58551595"/>
    <w:rsid w:val="58953AFB"/>
    <w:rsid w:val="58C00D70"/>
    <w:rsid w:val="58CD149A"/>
    <w:rsid w:val="598F28FD"/>
    <w:rsid w:val="59DD53DB"/>
    <w:rsid w:val="5A4A21E8"/>
    <w:rsid w:val="5A567809"/>
    <w:rsid w:val="5A7726D5"/>
    <w:rsid w:val="5B007C03"/>
    <w:rsid w:val="5B24111A"/>
    <w:rsid w:val="5B8B7741"/>
    <w:rsid w:val="5BB12DD0"/>
    <w:rsid w:val="5BCA1CC1"/>
    <w:rsid w:val="5C3C7888"/>
    <w:rsid w:val="5C533382"/>
    <w:rsid w:val="5C7C7343"/>
    <w:rsid w:val="5CDD77D2"/>
    <w:rsid w:val="5CED0090"/>
    <w:rsid w:val="5CF21813"/>
    <w:rsid w:val="5D1C4012"/>
    <w:rsid w:val="5D2C1D22"/>
    <w:rsid w:val="5D76544C"/>
    <w:rsid w:val="5E4430AE"/>
    <w:rsid w:val="5E8E034B"/>
    <w:rsid w:val="5F031778"/>
    <w:rsid w:val="5F053371"/>
    <w:rsid w:val="5F5A47A5"/>
    <w:rsid w:val="5FBA1AF2"/>
    <w:rsid w:val="5FC44C79"/>
    <w:rsid w:val="5FE01AB3"/>
    <w:rsid w:val="5FE67464"/>
    <w:rsid w:val="60732330"/>
    <w:rsid w:val="60F577E0"/>
    <w:rsid w:val="60FC1E89"/>
    <w:rsid w:val="61074674"/>
    <w:rsid w:val="61270B3A"/>
    <w:rsid w:val="61A02CF3"/>
    <w:rsid w:val="628139F1"/>
    <w:rsid w:val="62815132"/>
    <w:rsid w:val="629E3E30"/>
    <w:rsid w:val="62DD4CB8"/>
    <w:rsid w:val="63155E2C"/>
    <w:rsid w:val="636805AA"/>
    <w:rsid w:val="64064FA8"/>
    <w:rsid w:val="64CA12C2"/>
    <w:rsid w:val="653B3C30"/>
    <w:rsid w:val="65482496"/>
    <w:rsid w:val="657D1B52"/>
    <w:rsid w:val="65B07422"/>
    <w:rsid w:val="661835D9"/>
    <w:rsid w:val="661E5B72"/>
    <w:rsid w:val="666B7198"/>
    <w:rsid w:val="666E2AF9"/>
    <w:rsid w:val="66976C44"/>
    <w:rsid w:val="66B25966"/>
    <w:rsid w:val="67346B89"/>
    <w:rsid w:val="674A5980"/>
    <w:rsid w:val="6764746E"/>
    <w:rsid w:val="67BAD176"/>
    <w:rsid w:val="681257CE"/>
    <w:rsid w:val="681B213F"/>
    <w:rsid w:val="68935947"/>
    <w:rsid w:val="692204B0"/>
    <w:rsid w:val="69283EDF"/>
    <w:rsid w:val="692F2F5C"/>
    <w:rsid w:val="69672EB6"/>
    <w:rsid w:val="697C2E5E"/>
    <w:rsid w:val="69821E2D"/>
    <w:rsid w:val="69B53FB1"/>
    <w:rsid w:val="6A050368"/>
    <w:rsid w:val="6A174AB0"/>
    <w:rsid w:val="6A674B7F"/>
    <w:rsid w:val="6A701C86"/>
    <w:rsid w:val="6B396C2A"/>
    <w:rsid w:val="6B6D27CD"/>
    <w:rsid w:val="6BA22313"/>
    <w:rsid w:val="6C3D203B"/>
    <w:rsid w:val="6C5E3C8E"/>
    <w:rsid w:val="6C656D0F"/>
    <w:rsid w:val="6C7B4F81"/>
    <w:rsid w:val="6C841F60"/>
    <w:rsid w:val="6CA17546"/>
    <w:rsid w:val="6CCB003B"/>
    <w:rsid w:val="6E3C31B1"/>
    <w:rsid w:val="6E425ED2"/>
    <w:rsid w:val="6E545574"/>
    <w:rsid w:val="6E744457"/>
    <w:rsid w:val="6F745D74"/>
    <w:rsid w:val="6F833A36"/>
    <w:rsid w:val="6FC50CC6"/>
    <w:rsid w:val="700A66D9"/>
    <w:rsid w:val="704D3DDE"/>
    <w:rsid w:val="70983CE4"/>
    <w:rsid w:val="70B83602"/>
    <w:rsid w:val="70D016D0"/>
    <w:rsid w:val="70DE01AB"/>
    <w:rsid w:val="721A5B23"/>
    <w:rsid w:val="72444475"/>
    <w:rsid w:val="72842772"/>
    <w:rsid w:val="72BB3CBA"/>
    <w:rsid w:val="72DA7AAD"/>
    <w:rsid w:val="7329199C"/>
    <w:rsid w:val="736D487B"/>
    <w:rsid w:val="73734595"/>
    <w:rsid w:val="737A4131"/>
    <w:rsid w:val="73E603C4"/>
    <w:rsid w:val="745A3736"/>
    <w:rsid w:val="74F6722B"/>
    <w:rsid w:val="7552541C"/>
    <w:rsid w:val="766B0EA6"/>
    <w:rsid w:val="766F7295"/>
    <w:rsid w:val="76D40657"/>
    <w:rsid w:val="76E3678B"/>
    <w:rsid w:val="77FF2438"/>
    <w:rsid w:val="793E72D7"/>
    <w:rsid w:val="7947610B"/>
    <w:rsid w:val="7AE5221C"/>
    <w:rsid w:val="7B0A3A31"/>
    <w:rsid w:val="7B1B7576"/>
    <w:rsid w:val="7B3429AD"/>
    <w:rsid w:val="7BC44369"/>
    <w:rsid w:val="7BC71922"/>
    <w:rsid w:val="7C8A4E29"/>
    <w:rsid w:val="7D4C20DE"/>
    <w:rsid w:val="7D7F2912"/>
    <w:rsid w:val="7D832B2D"/>
    <w:rsid w:val="7D9677FD"/>
    <w:rsid w:val="7DAB7532"/>
    <w:rsid w:val="7DD65E4C"/>
    <w:rsid w:val="7E0C09F5"/>
    <w:rsid w:val="7E462FD2"/>
    <w:rsid w:val="7EE3341B"/>
    <w:rsid w:val="7EFE4FED"/>
    <w:rsid w:val="7F7229C6"/>
    <w:rsid w:val="7F7E8930"/>
    <w:rsid w:val="7FCE3133"/>
    <w:rsid w:val="7FDC8DC7"/>
    <w:rsid w:val="7FED996A"/>
    <w:rsid w:val="A977086F"/>
    <w:rsid w:val="AACB3DDE"/>
    <w:rsid w:val="BDFF25D7"/>
    <w:rsid w:val="D7F78984"/>
    <w:rsid w:val="D7FE62B1"/>
    <w:rsid w:val="DFBF0F64"/>
    <w:rsid w:val="DFFA7058"/>
    <w:rsid w:val="EBDFF31C"/>
    <w:rsid w:val="EEACB670"/>
    <w:rsid w:val="F577ECA2"/>
    <w:rsid w:val="F75FFD34"/>
    <w:rsid w:val="FA670B0D"/>
    <w:rsid w:val="FC0FD203"/>
    <w:rsid w:val="FFFBEF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99"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40" w:lineRule="exact"/>
      <w:jc w:val="both"/>
    </w:pPr>
    <w:rPr>
      <w:rFonts w:ascii="Calibri" w:hAnsi="Calibri" w:eastAsia="宋体" w:cs="宋体"/>
      <w:kern w:val="2"/>
      <w:sz w:val="24"/>
      <w:szCs w:val="24"/>
      <w:lang w:val="en-US" w:eastAsia="zh-CN" w:bidi="ar-SA"/>
    </w:rPr>
  </w:style>
  <w:style w:type="paragraph" w:styleId="3">
    <w:name w:val="heading 1"/>
    <w:basedOn w:val="1"/>
    <w:next w:val="1"/>
    <w:link w:val="43"/>
    <w:qFormat/>
    <w:uiPriority w:val="0"/>
    <w:pPr>
      <w:spacing w:before="50" w:beforeLines="50" w:after="50" w:afterLines="50" w:line="560" w:lineRule="exact"/>
      <w:jc w:val="center"/>
      <w:outlineLvl w:val="0"/>
    </w:pPr>
    <w:rPr>
      <w:rFonts w:hint="eastAsia" w:ascii="宋体" w:hAnsi="宋体" w:eastAsia="方正小标宋_GBK"/>
      <w:bCs/>
      <w:kern w:val="44"/>
      <w:sz w:val="36"/>
      <w:szCs w:val="48"/>
    </w:rPr>
  </w:style>
  <w:style w:type="paragraph" w:styleId="4">
    <w:name w:val="heading 2"/>
    <w:basedOn w:val="1"/>
    <w:next w:val="1"/>
    <w:link w:val="50"/>
    <w:qFormat/>
    <w:uiPriority w:val="0"/>
    <w:pPr>
      <w:keepNext/>
      <w:keepLines/>
      <w:tabs>
        <w:tab w:val="left" w:pos="0"/>
      </w:tabs>
      <w:spacing w:before="50" w:beforeLines="50" w:after="10" w:line="560" w:lineRule="exact"/>
      <w:jc w:val="left"/>
      <w:outlineLvl w:val="1"/>
    </w:pPr>
    <w:rPr>
      <w:rFonts w:ascii="Arial" w:hAnsi="Arial" w:eastAsia="黑体" w:cs="Times New Roman"/>
      <w:sz w:val="30"/>
    </w:rPr>
  </w:style>
  <w:style w:type="paragraph" w:styleId="5">
    <w:name w:val="heading 3"/>
    <w:basedOn w:val="1"/>
    <w:next w:val="1"/>
    <w:link w:val="51"/>
    <w:qFormat/>
    <w:uiPriority w:val="0"/>
    <w:pPr>
      <w:keepNext/>
      <w:keepLines/>
      <w:numPr>
        <w:ilvl w:val="2"/>
        <w:numId w:val="1"/>
      </w:numPr>
      <w:tabs>
        <w:tab w:val="left" w:pos="0"/>
      </w:tabs>
      <w:spacing w:before="10" w:after="10" w:line="600" w:lineRule="exact"/>
      <w:outlineLvl w:val="2"/>
    </w:pPr>
    <w:rPr>
      <w:rFonts w:ascii="Times New Roman" w:hAnsi="Times New Roman" w:eastAsia="楷体" w:cs="Times New Roman"/>
      <w:b/>
      <w:sz w:val="28"/>
      <w:szCs w:val="20"/>
    </w:rPr>
  </w:style>
  <w:style w:type="paragraph" w:styleId="6">
    <w:name w:val="heading 4"/>
    <w:basedOn w:val="1"/>
    <w:next w:val="1"/>
    <w:link w:val="52"/>
    <w:qFormat/>
    <w:uiPriority w:val="0"/>
    <w:pPr>
      <w:keepNext/>
      <w:keepLines/>
      <w:spacing w:before="280" w:after="290" w:line="377" w:lineRule="auto"/>
      <w:ind w:firstLine="420" w:firstLineChars="200"/>
      <w:outlineLvl w:val="3"/>
    </w:pPr>
    <w:rPr>
      <w:rFonts w:ascii="黑体" w:hAnsi="黑体" w:eastAsia="黑体"/>
      <w:bCs/>
      <w:szCs w:val="28"/>
    </w:rPr>
  </w:style>
  <w:style w:type="paragraph" w:styleId="7">
    <w:name w:val="heading 5"/>
    <w:basedOn w:val="1"/>
    <w:next w:val="1"/>
    <w:link w:val="53"/>
    <w:qFormat/>
    <w:uiPriority w:val="0"/>
    <w:pPr>
      <w:keepNext/>
      <w:keepLines/>
      <w:numPr>
        <w:ilvl w:val="4"/>
        <w:numId w:val="2"/>
      </w:numPr>
      <w:tabs>
        <w:tab w:val="left" w:pos="0"/>
      </w:tabs>
      <w:spacing w:before="160" w:after="290" w:line="240" w:lineRule="auto"/>
      <w:outlineLvl w:val="4"/>
    </w:pPr>
    <w:rPr>
      <w:rFonts w:ascii="Times New Roman" w:hAnsi="Times New Roman" w:eastAsia="黑体" w:cs="Times New Roman"/>
    </w:rPr>
  </w:style>
  <w:style w:type="paragraph" w:styleId="8">
    <w:name w:val="heading 6"/>
    <w:basedOn w:val="1"/>
    <w:next w:val="1"/>
    <w:qFormat/>
    <w:uiPriority w:val="0"/>
    <w:pPr>
      <w:keepNext/>
      <w:keepLines/>
      <w:spacing w:before="240" w:after="64" w:line="317" w:lineRule="auto"/>
      <w:ind w:firstLine="1440" w:firstLineChars="200"/>
      <w:outlineLvl w:val="5"/>
    </w:pPr>
    <w:rPr>
      <w:rFonts w:ascii="Arial" w:hAnsi="Arial" w:eastAsia="黑体"/>
      <w:b/>
      <w:szCs w:val="22"/>
    </w:rPr>
  </w:style>
  <w:style w:type="paragraph" w:styleId="9">
    <w:name w:val="heading 7"/>
    <w:basedOn w:val="1"/>
    <w:next w:val="1"/>
    <w:unhideWhenUsed/>
    <w:qFormat/>
    <w:uiPriority w:val="0"/>
    <w:pPr>
      <w:keepNext/>
      <w:keepLines/>
      <w:spacing w:line="317" w:lineRule="auto"/>
      <w:outlineLvl w:val="6"/>
    </w:pPr>
    <w:rPr>
      <w:b/>
      <w:sz w:val="24"/>
    </w:rPr>
  </w:style>
  <w:style w:type="paragraph" w:styleId="10">
    <w:name w:val="heading 8"/>
    <w:basedOn w:val="1"/>
    <w:next w:val="1"/>
    <w:qFormat/>
    <w:uiPriority w:val="0"/>
    <w:pPr>
      <w:keepNext/>
      <w:keepLines/>
      <w:numPr>
        <w:ilvl w:val="7"/>
        <w:numId w:val="1"/>
      </w:numPr>
      <w:tabs>
        <w:tab w:val="left" w:pos="0"/>
      </w:tabs>
      <w:spacing w:before="240" w:after="64" w:line="317" w:lineRule="auto"/>
      <w:outlineLvl w:val="7"/>
    </w:pPr>
    <w:rPr>
      <w:rFonts w:ascii="Arial" w:hAnsi="Arial" w:eastAsia="黑体"/>
    </w:rPr>
  </w:style>
  <w:style w:type="paragraph" w:styleId="11">
    <w:name w:val="heading 9"/>
    <w:basedOn w:val="1"/>
    <w:next w:val="1"/>
    <w:qFormat/>
    <w:uiPriority w:val="0"/>
    <w:pPr>
      <w:keepNext/>
      <w:keepLines/>
      <w:numPr>
        <w:ilvl w:val="8"/>
        <w:numId w:val="3"/>
      </w:numPr>
      <w:tabs>
        <w:tab w:val="left" w:pos="0"/>
      </w:tabs>
      <w:spacing w:before="240" w:after="64" w:line="317" w:lineRule="auto"/>
      <w:outlineLvl w:val="8"/>
    </w:pPr>
    <w:rPr>
      <w:rFonts w:ascii="Arial" w:hAnsi="Arial" w:eastAsia="黑体"/>
      <w:sz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List 2"/>
    <w:basedOn w:val="1"/>
    <w:unhideWhenUsed/>
    <w:qFormat/>
    <w:uiPriority w:val="99"/>
    <w:pPr>
      <w:ind w:left="100" w:leftChars="200" w:hanging="200" w:hangingChars="200"/>
      <w:contextualSpacing/>
    </w:pPr>
  </w:style>
  <w:style w:type="paragraph" w:styleId="12">
    <w:name w:val="index 8"/>
    <w:basedOn w:val="1"/>
    <w:next w:val="1"/>
    <w:qFormat/>
    <w:uiPriority w:val="0"/>
    <w:pPr>
      <w:widowControl/>
      <w:overflowPunct w:val="0"/>
      <w:autoSpaceDE w:val="0"/>
      <w:autoSpaceDN w:val="0"/>
      <w:adjustRightInd w:val="0"/>
      <w:ind w:left="1400" w:leftChars="1400"/>
      <w:textAlignment w:val="baseline"/>
    </w:pPr>
    <w:rPr>
      <w:rFonts w:ascii="Times New Roman" w:hAnsi="Times New Roman" w:eastAsia="宋体" w:cs="Times New Roman"/>
      <w:kern w:val="0"/>
      <w:szCs w:val="20"/>
    </w:rPr>
  </w:style>
  <w:style w:type="paragraph" w:styleId="13">
    <w:name w:val="Normal Indent"/>
    <w:basedOn w:val="1"/>
    <w:next w:val="14"/>
    <w:qFormat/>
    <w:uiPriority w:val="0"/>
    <w:pPr>
      <w:ind w:firstLine="420" w:firstLineChars="200"/>
    </w:pPr>
  </w:style>
  <w:style w:type="paragraph" w:styleId="14">
    <w:name w:val="Body Text First Indent 2"/>
    <w:basedOn w:val="15"/>
    <w:next w:val="1"/>
    <w:qFormat/>
    <w:uiPriority w:val="99"/>
    <w:pPr>
      <w:autoSpaceDE w:val="0"/>
      <w:autoSpaceDN w:val="0"/>
      <w:adjustRightInd w:val="0"/>
      <w:ind w:firstLine="420"/>
      <w:jc w:val="left"/>
    </w:pPr>
    <w:rPr>
      <w:rFonts w:cs="Times New Roman"/>
      <w:kern w:val="0"/>
    </w:rPr>
  </w:style>
  <w:style w:type="paragraph" w:styleId="15">
    <w:name w:val="Body Text Indent"/>
    <w:basedOn w:val="1"/>
    <w:qFormat/>
    <w:uiPriority w:val="0"/>
    <w:pPr>
      <w:spacing w:after="120"/>
      <w:ind w:left="420" w:leftChars="200"/>
    </w:pPr>
  </w:style>
  <w:style w:type="paragraph" w:styleId="16">
    <w:name w:val="caption"/>
    <w:basedOn w:val="1"/>
    <w:next w:val="1"/>
    <w:qFormat/>
    <w:uiPriority w:val="0"/>
    <w:pPr>
      <w:tabs>
        <w:tab w:val="left" w:pos="0"/>
      </w:tabs>
    </w:pPr>
    <w:rPr>
      <w:rFonts w:ascii="Arial" w:hAnsi="Arial" w:eastAsia="黑体"/>
      <w:sz w:val="20"/>
    </w:rPr>
  </w:style>
  <w:style w:type="paragraph" w:styleId="17">
    <w:name w:val="index 5"/>
    <w:basedOn w:val="1"/>
    <w:next w:val="1"/>
    <w:qFormat/>
    <w:uiPriority w:val="99"/>
    <w:pPr>
      <w:snapToGrid w:val="0"/>
      <w:ind w:left="800" w:leftChars="800"/>
    </w:pPr>
    <w:rPr>
      <w:rFonts w:ascii="Arial Narrow" w:hAnsi="Arial Narrow"/>
      <w:kern w:val="0"/>
      <w:szCs w:val="20"/>
    </w:rPr>
  </w:style>
  <w:style w:type="paragraph" w:styleId="18">
    <w:name w:val="annotation text"/>
    <w:basedOn w:val="1"/>
    <w:qFormat/>
    <w:uiPriority w:val="0"/>
    <w:pPr>
      <w:jc w:val="left"/>
    </w:pPr>
  </w:style>
  <w:style w:type="paragraph" w:styleId="19">
    <w:name w:val="Body Text"/>
    <w:basedOn w:val="1"/>
    <w:qFormat/>
    <w:uiPriority w:val="99"/>
    <w:pPr>
      <w:tabs>
        <w:tab w:val="left" w:pos="0"/>
      </w:tabs>
      <w:spacing w:after="120"/>
    </w:pPr>
  </w:style>
  <w:style w:type="paragraph" w:styleId="20">
    <w:name w:val="Plain Text"/>
    <w:basedOn w:val="1"/>
    <w:qFormat/>
    <w:uiPriority w:val="0"/>
    <w:rPr>
      <w:rFonts w:ascii="宋体" w:hAnsi="Courier New" w:cs="Courier New"/>
      <w:szCs w:val="21"/>
    </w:rPr>
  </w:style>
  <w:style w:type="paragraph" w:styleId="21">
    <w:name w:val="Date"/>
    <w:next w:val="1"/>
    <w:qFormat/>
    <w:uiPriority w:val="0"/>
    <w:pPr>
      <w:widowControl w:val="0"/>
      <w:jc w:val="both"/>
    </w:pPr>
    <w:rPr>
      <w:rFonts w:ascii="Times New Roman" w:hAnsi="Times New Roman" w:eastAsia="宋体" w:cs="Times New Roman"/>
      <w:kern w:val="2"/>
      <w:sz w:val="24"/>
      <w:lang w:val="en-US" w:eastAsia="zh-CN" w:bidi="ar-SA"/>
    </w:rPr>
  </w:style>
  <w:style w:type="paragraph" w:styleId="22">
    <w:name w:val="Body Text Indent 2"/>
    <w:basedOn w:val="1"/>
    <w:qFormat/>
    <w:uiPriority w:val="0"/>
    <w:pPr>
      <w:ind w:firstLine="680"/>
    </w:pPr>
    <w:rPr>
      <w:rFonts w:ascii="宋体" w:hAnsi="宋体"/>
      <w:sz w:val="28"/>
    </w:rPr>
  </w:style>
  <w:style w:type="paragraph" w:styleId="23">
    <w:name w:val="footer"/>
    <w:basedOn w:val="1"/>
    <w:qFormat/>
    <w:uiPriority w:val="0"/>
    <w:pPr>
      <w:tabs>
        <w:tab w:val="center" w:pos="4153"/>
        <w:tab w:val="right" w:pos="8306"/>
      </w:tabs>
      <w:snapToGrid w:val="0"/>
      <w:jc w:val="left"/>
    </w:pPr>
    <w:rPr>
      <w:sz w:val="18"/>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5">
    <w:name w:val="toc 1"/>
    <w:basedOn w:val="1"/>
    <w:next w:val="1"/>
    <w:qFormat/>
    <w:uiPriority w:val="0"/>
    <w:pPr>
      <w:tabs>
        <w:tab w:val="left" w:pos="0"/>
      </w:tabs>
      <w:jc w:val="left"/>
    </w:pPr>
    <w:rPr>
      <w:rFonts w:ascii="等线" w:hAnsi="等线" w:eastAsia="微软雅黑"/>
      <w:b/>
      <w:szCs w:val="22"/>
    </w:rPr>
  </w:style>
  <w:style w:type="paragraph" w:styleId="26">
    <w:name w:val="footnote text"/>
    <w:basedOn w:val="1"/>
    <w:next w:val="17"/>
    <w:qFormat/>
    <w:uiPriority w:val="99"/>
    <w:pPr>
      <w:snapToGrid w:val="0"/>
      <w:spacing w:line="240" w:lineRule="auto"/>
    </w:pPr>
    <w:rPr>
      <w:sz w:val="18"/>
    </w:rPr>
  </w:style>
  <w:style w:type="paragraph" w:styleId="27">
    <w:name w:val="toc 2"/>
    <w:basedOn w:val="1"/>
    <w:next w:val="1"/>
    <w:qFormat/>
    <w:uiPriority w:val="0"/>
    <w:pPr>
      <w:ind w:left="420" w:leftChars="200"/>
    </w:pPr>
  </w:style>
  <w:style w:type="paragraph" w:styleId="28">
    <w:name w:val="Body Text 2"/>
    <w:basedOn w:val="1"/>
    <w:next w:val="19"/>
    <w:qFormat/>
    <w:uiPriority w:val="99"/>
    <w:pPr>
      <w:spacing w:after="120" w:line="480" w:lineRule="auto"/>
    </w:pPr>
  </w:style>
  <w:style w:type="paragraph" w:styleId="2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30">
    <w:name w:val="Normal (Web)"/>
    <w:basedOn w:val="1"/>
    <w:qFormat/>
    <w:uiPriority w:val="0"/>
  </w:style>
  <w:style w:type="paragraph" w:styleId="31">
    <w:name w:val="Title"/>
    <w:basedOn w:val="1"/>
    <w:next w:val="1"/>
    <w:qFormat/>
    <w:uiPriority w:val="0"/>
    <w:pPr>
      <w:spacing w:before="240" w:after="60"/>
      <w:jc w:val="center"/>
      <w:outlineLvl w:val="0"/>
    </w:pPr>
    <w:rPr>
      <w:rFonts w:ascii="Cambria" w:hAnsi="Cambria" w:eastAsia="宋体" w:cs="Times New Roman"/>
      <w:b/>
      <w:sz w:val="32"/>
    </w:rPr>
  </w:style>
  <w:style w:type="paragraph" w:styleId="32">
    <w:name w:val="annotation subject"/>
    <w:basedOn w:val="18"/>
    <w:next w:val="1"/>
    <w:qFormat/>
    <w:uiPriority w:val="0"/>
    <w:rPr>
      <w:b/>
      <w:bCs/>
    </w:rPr>
  </w:style>
  <w:style w:type="paragraph" w:styleId="33">
    <w:name w:val="Body Text First Indent"/>
    <w:basedOn w:val="19"/>
    <w:qFormat/>
    <w:uiPriority w:val="99"/>
    <w:pPr>
      <w:ind w:firstLine="100" w:firstLineChars="100"/>
    </w:pPr>
  </w:style>
  <w:style w:type="table" w:styleId="35">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7">
    <w:name w:val="Strong"/>
    <w:basedOn w:val="36"/>
    <w:qFormat/>
    <w:uiPriority w:val="0"/>
    <w:rPr>
      <w:b/>
    </w:rPr>
  </w:style>
  <w:style w:type="character" w:styleId="38">
    <w:name w:val="Hyperlink"/>
    <w:basedOn w:val="36"/>
    <w:qFormat/>
    <w:uiPriority w:val="0"/>
    <w:rPr>
      <w:rFonts w:ascii="Times New Roman" w:hAnsi="Times New Roman" w:eastAsia="宋体" w:cs="Times New Roman"/>
      <w:color w:val="0000FF"/>
      <w:u w:val="single"/>
    </w:rPr>
  </w:style>
  <w:style w:type="paragraph" w:customStyle="1" w:styleId="39">
    <w:name w:val="Default"/>
    <w:qFormat/>
    <w:uiPriority w:val="0"/>
    <w:pPr>
      <w:widowControl w:val="0"/>
      <w:autoSpaceDE w:val="0"/>
      <w:autoSpaceDN w:val="0"/>
      <w:adjustRightInd w:val="0"/>
    </w:pPr>
    <w:rPr>
      <w:rFonts w:ascii="楷体_GB2312" w:hAnsi="Times New Roman" w:eastAsia="楷体_GB2312" w:cs="楷体_GB2312"/>
      <w:color w:val="000000"/>
      <w:sz w:val="24"/>
      <w:szCs w:val="24"/>
      <w:lang w:val="en-US" w:eastAsia="zh-CN" w:bidi="ar-SA"/>
    </w:rPr>
  </w:style>
  <w:style w:type="paragraph" w:customStyle="1" w:styleId="40">
    <w:name w:val="列出段落1"/>
    <w:basedOn w:val="41"/>
    <w:qFormat/>
    <w:uiPriority w:val="34"/>
    <w:pPr>
      <w:tabs>
        <w:tab w:val="left" w:pos="0"/>
      </w:tabs>
      <w:ind w:firstLine="420" w:firstLineChars="200"/>
    </w:pPr>
    <w:rPr>
      <w:szCs w:val="22"/>
    </w:rPr>
  </w:style>
  <w:style w:type="paragraph" w:customStyle="1" w:styleId="41">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样式2"/>
    <w:basedOn w:val="3"/>
    <w:qFormat/>
    <w:uiPriority w:val="0"/>
  </w:style>
  <w:style w:type="character" w:customStyle="1" w:styleId="43">
    <w:name w:val="标题 1 Char"/>
    <w:link w:val="3"/>
    <w:qFormat/>
    <w:uiPriority w:val="0"/>
    <w:rPr>
      <w:rFonts w:ascii="宋体" w:hAnsi="宋体" w:eastAsia="方正小标宋_GBK" w:cs="宋体"/>
      <w:spacing w:val="28"/>
      <w:kern w:val="36"/>
      <w:sz w:val="36"/>
      <w:szCs w:val="20"/>
    </w:rPr>
  </w:style>
  <w:style w:type="paragraph" w:customStyle="1" w:styleId="44">
    <w:name w:val="表头"/>
    <w:basedOn w:val="16"/>
    <w:qFormat/>
    <w:uiPriority w:val="0"/>
    <w:pPr>
      <w:spacing w:line="300" w:lineRule="exact"/>
      <w:jc w:val="center"/>
    </w:pPr>
    <w:rPr>
      <w:rFonts w:ascii="Times New Roman" w:hAnsi="Times New Roman" w:eastAsia="微软雅黑" w:cs="Times New Roman"/>
      <w:b/>
      <w:sz w:val="22"/>
      <w:szCs w:val="20"/>
    </w:rPr>
  </w:style>
  <w:style w:type="paragraph" w:customStyle="1" w:styleId="45">
    <w:name w:val="文章正文"/>
    <w:link w:val="46"/>
    <w:qFormat/>
    <w:uiPriority w:val="0"/>
    <w:pPr>
      <w:widowControl w:val="0"/>
      <w:adjustRightInd w:val="0"/>
      <w:snapToGrid w:val="0"/>
      <w:spacing w:before="50" w:beforeLines="5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6">
    <w:name w:val="文章正文 Char"/>
    <w:basedOn w:val="36"/>
    <w:link w:val="45"/>
    <w:qFormat/>
    <w:uiPriority w:val="0"/>
    <w:rPr>
      <w:rFonts w:ascii="Times New Roman" w:hAnsi="Times New Roman" w:eastAsia="宋体" w:cs="Times New Roman"/>
      <w:kern w:val="2"/>
      <w:sz w:val="24"/>
      <w:szCs w:val="22"/>
      <w:lang w:val="en-US" w:eastAsia="zh-CN" w:bidi="ar-SA"/>
    </w:rPr>
  </w:style>
  <w:style w:type="character" w:customStyle="1" w:styleId="47">
    <w:name w:val="标题 5 Char1"/>
    <w:basedOn w:val="36"/>
    <w:qFormat/>
    <w:uiPriority w:val="0"/>
    <w:rPr>
      <w:rFonts w:ascii="Times New Roman" w:hAnsi="Times New Roman" w:eastAsia="黑体" w:cs="Times New Roman"/>
      <w:sz w:val="24"/>
      <w:szCs w:val="24"/>
    </w:rPr>
  </w:style>
  <w:style w:type="paragraph" w:customStyle="1" w:styleId="48">
    <w:name w:val="表格1"/>
    <w:qFormat/>
    <w:uiPriority w:val="0"/>
    <w:pPr>
      <w:widowControl w:val="0"/>
      <w:spacing w:line="300" w:lineRule="exact"/>
      <w:jc w:val="center"/>
    </w:pPr>
    <w:rPr>
      <w:rFonts w:ascii="Times New Roman" w:hAnsi="Times New Roman" w:eastAsia="微软雅黑" w:cs="Times New Roman"/>
      <w:b/>
      <w:kern w:val="2"/>
      <w:sz w:val="22"/>
      <w:szCs w:val="24"/>
      <w:lang w:val="en-US" w:eastAsia="zh-CN" w:bidi="ar-SA"/>
    </w:rPr>
  </w:style>
  <w:style w:type="paragraph" w:customStyle="1" w:styleId="49">
    <w:name w:val="表格2"/>
    <w:qFormat/>
    <w:uiPriority w:val="0"/>
    <w:pPr>
      <w:widowControl w:val="0"/>
      <w:spacing w:line="300" w:lineRule="exact"/>
      <w:ind w:firstLine="420" w:firstLineChars="200"/>
    </w:pPr>
    <w:rPr>
      <w:rFonts w:ascii="Times New Roman" w:hAnsi="Times New Roman" w:eastAsia="微软雅黑" w:cs="Times New Roman"/>
      <w:kern w:val="2"/>
      <w:szCs w:val="24"/>
      <w:lang w:val="en-US" w:eastAsia="zh-CN" w:bidi="ar-SA"/>
    </w:rPr>
  </w:style>
  <w:style w:type="character" w:customStyle="1" w:styleId="50">
    <w:name w:val="标题 2 Char"/>
    <w:link w:val="4"/>
    <w:qFormat/>
    <w:uiPriority w:val="0"/>
    <w:rPr>
      <w:rFonts w:ascii="Arial" w:hAnsi="Arial" w:eastAsia="黑体" w:cs="Times New Roman"/>
      <w:sz w:val="28"/>
      <w:szCs w:val="24"/>
    </w:rPr>
  </w:style>
  <w:style w:type="character" w:customStyle="1" w:styleId="51">
    <w:name w:val="标题 3 Char"/>
    <w:basedOn w:val="36"/>
    <w:link w:val="5"/>
    <w:qFormat/>
    <w:uiPriority w:val="0"/>
    <w:rPr>
      <w:rFonts w:ascii="Times New Roman" w:hAnsi="Times New Roman" w:eastAsia="楷体" w:cs="Times New Roman"/>
      <w:b/>
      <w:sz w:val="28"/>
      <w:szCs w:val="20"/>
    </w:rPr>
  </w:style>
  <w:style w:type="character" w:customStyle="1" w:styleId="52">
    <w:name w:val="标题 4 Char"/>
    <w:link w:val="6"/>
    <w:qFormat/>
    <w:uiPriority w:val="0"/>
    <w:rPr>
      <w:rFonts w:eastAsia="黑体" w:cs="Times New Roman"/>
      <w:sz w:val="24"/>
      <w:szCs w:val="28"/>
    </w:rPr>
  </w:style>
  <w:style w:type="character" w:customStyle="1" w:styleId="53">
    <w:name w:val="标题 5 Char"/>
    <w:link w:val="7"/>
    <w:qFormat/>
    <w:uiPriority w:val="0"/>
    <w:rPr>
      <w:rFonts w:ascii="Times New Roman" w:hAnsi="Times New Roman" w:eastAsia="黑体" w:cs="Times New Roman"/>
      <w:kern w:val="2"/>
      <w:sz w:val="24"/>
      <w:szCs w:val="24"/>
      <w:lang w:val="en-US" w:eastAsia="zh-CN" w:bidi="ar-SA"/>
    </w:rPr>
  </w:style>
  <w:style w:type="paragraph" w:customStyle="1" w:styleId="54">
    <w:name w:val="Body Text First Indent 21"/>
    <w:basedOn w:val="55"/>
    <w:qFormat/>
    <w:uiPriority w:val="0"/>
    <w:pPr>
      <w:ind w:firstLine="420" w:firstLineChars="200"/>
    </w:pPr>
  </w:style>
  <w:style w:type="paragraph" w:customStyle="1" w:styleId="55">
    <w:name w:val="Body Text Indent1"/>
    <w:basedOn w:val="1"/>
    <w:next w:val="56"/>
    <w:qFormat/>
    <w:uiPriority w:val="0"/>
    <w:pPr>
      <w:ind w:left="420" w:leftChars="200"/>
    </w:pPr>
  </w:style>
  <w:style w:type="paragraph" w:customStyle="1" w:styleId="56">
    <w:name w:val="Body Text Indent 21"/>
    <w:basedOn w:val="1"/>
    <w:qFormat/>
    <w:uiPriority w:val="0"/>
    <w:pPr>
      <w:spacing w:line="480" w:lineRule="auto"/>
      <w:ind w:left="420" w:leftChars="200"/>
    </w:pPr>
    <w:rPr>
      <w:kern w:val="0"/>
      <w:sz w:val="20"/>
    </w:rPr>
  </w:style>
  <w:style w:type="paragraph" w:customStyle="1" w:styleId="57">
    <w:name w:val="表格内标题行"/>
    <w:basedOn w:val="1"/>
    <w:qFormat/>
    <w:uiPriority w:val="0"/>
    <w:pPr>
      <w:widowControl/>
      <w:tabs>
        <w:tab w:val="left" w:pos="0"/>
        <w:tab w:val="left" w:pos="33"/>
      </w:tabs>
      <w:spacing w:line="480" w:lineRule="auto"/>
      <w:ind w:firstLine="920" w:firstLineChars="100"/>
      <w:jc w:val="center"/>
    </w:pPr>
    <w:rPr>
      <w:rFonts w:ascii="宋体" w:hAnsi="宋体" w:eastAsia="黑体"/>
      <w:b/>
    </w:rPr>
  </w:style>
  <w:style w:type="paragraph" w:customStyle="1" w:styleId="58">
    <w:name w:val="表格内容左对齐"/>
    <w:basedOn w:val="1"/>
    <w:qFormat/>
    <w:uiPriority w:val="0"/>
    <w:pPr>
      <w:widowControl/>
      <w:tabs>
        <w:tab w:val="left" w:pos="0"/>
        <w:tab w:val="left" w:pos="33"/>
      </w:tabs>
      <w:spacing w:line="300" w:lineRule="exact"/>
      <w:ind w:firstLine="420" w:firstLineChars="200"/>
      <w:jc w:val="left"/>
    </w:pPr>
    <w:rPr>
      <w:rFonts w:ascii="宋体" w:hAnsi="宋体" w:eastAsia="微软雅黑"/>
      <w:sz w:val="22"/>
    </w:rPr>
  </w:style>
  <w:style w:type="paragraph" w:customStyle="1" w:styleId="59">
    <w:name w:val="正文(首行缩进)"/>
    <w:basedOn w:val="1"/>
    <w:qFormat/>
    <w:uiPriority w:val="0"/>
    <w:pPr>
      <w:widowControl/>
      <w:tabs>
        <w:tab w:val="left" w:pos="0"/>
      </w:tabs>
      <w:ind w:firstLine="1840" w:firstLineChars="200"/>
      <w:jc w:val="left"/>
    </w:pPr>
    <w:rPr>
      <w:rFonts w:ascii="Arial Narrow" w:hAnsi="Arial Narrow"/>
    </w:rPr>
  </w:style>
  <w:style w:type="paragraph" w:customStyle="1" w:styleId="60">
    <w:name w:val="正文四号"/>
    <w:basedOn w:val="1"/>
    <w:link w:val="61"/>
    <w:qFormat/>
    <w:uiPriority w:val="0"/>
    <w:pPr>
      <w:tabs>
        <w:tab w:val="left" w:pos="0"/>
      </w:tabs>
    </w:pPr>
    <w:rPr>
      <w:rFonts w:eastAsia="仿宋_GB2312"/>
      <w:sz w:val="28"/>
      <w:szCs w:val="28"/>
    </w:rPr>
  </w:style>
  <w:style w:type="character" w:customStyle="1" w:styleId="61">
    <w:name w:val="正文四号 字符"/>
    <w:basedOn w:val="62"/>
    <w:link w:val="60"/>
    <w:qFormat/>
    <w:uiPriority w:val="0"/>
    <w:rPr>
      <w:rFonts w:ascii="Calibri" w:hAnsi="Calibri" w:eastAsia="仿宋_GB2312"/>
      <w:sz w:val="28"/>
      <w:szCs w:val="28"/>
    </w:rPr>
  </w:style>
  <w:style w:type="character" w:customStyle="1" w:styleId="62">
    <w:name w:val="列出段落 字符"/>
    <w:basedOn w:val="36"/>
    <w:qFormat/>
    <w:uiPriority w:val="34"/>
  </w:style>
  <w:style w:type="paragraph" w:styleId="63">
    <w:name w:val="List Paragraph"/>
    <w:basedOn w:val="1"/>
    <w:qFormat/>
    <w:uiPriority w:val="34"/>
    <w:pPr>
      <w:ind w:firstLine="420" w:firstLineChars="200"/>
    </w:pPr>
  </w:style>
  <w:style w:type="character" w:customStyle="1" w:styleId="64">
    <w:name w:val="列出段落 字符1"/>
    <w:basedOn w:val="36"/>
    <w:link w:val="65"/>
    <w:qFormat/>
    <w:uiPriority w:val="34"/>
  </w:style>
  <w:style w:type="paragraph" w:customStyle="1" w:styleId="65">
    <w:name w:val="List Paragraph11"/>
    <w:basedOn w:val="1"/>
    <w:link w:val="64"/>
    <w:qFormat/>
    <w:uiPriority w:val="34"/>
    <w:pPr>
      <w:tabs>
        <w:tab w:val="left" w:pos="0"/>
      </w:tabs>
      <w:ind w:firstLine="420" w:firstLineChars="200"/>
    </w:pPr>
  </w:style>
  <w:style w:type="paragraph" w:customStyle="1" w:styleId="66">
    <w:name w:val="采购文件章节标题"/>
    <w:basedOn w:val="1"/>
    <w:qFormat/>
    <w:uiPriority w:val="0"/>
    <w:pPr>
      <w:tabs>
        <w:tab w:val="left" w:pos="0"/>
      </w:tabs>
      <w:spacing w:after="120" w:line="500" w:lineRule="exact"/>
      <w:jc w:val="center"/>
      <w:outlineLvl w:val="0"/>
    </w:pPr>
    <w:rPr>
      <w:rFonts w:eastAsia="微软雅黑"/>
      <w:spacing w:val="28"/>
      <w:sz w:val="44"/>
    </w:rPr>
  </w:style>
  <w:style w:type="paragraph" w:customStyle="1" w:styleId="67">
    <w:name w:val="表格正文（首行缩进）"/>
    <w:qFormat/>
    <w:uiPriority w:val="0"/>
    <w:pPr>
      <w:spacing w:line="300" w:lineRule="exact"/>
      <w:ind w:firstLine="788" w:firstLineChars="200"/>
    </w:pPr>
    <w:rPr>
      <w:rFonts w:ascii="Calibri" w:hAnsi="Calibri" w:eastAsia="微软雅黑" w:cs="宋体"/>
      <w:sz w:val="21"/>
      <w:lang w:val="en-US" w:eastAsia="zh-CN" w:bidi="ar-SA"/>
    </w:rPr>
  </w:style>
  <w:style w:type="paragraph" w:customStyle="1" w:styleId="68">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paragraph" w:customStyle="1" w:styleId="69">
    <w:name w:val="二级"/>
    <w:basedOn w:val="1"/>
    <w:qFormat/>
    <w:uiPriority w:val="0"/>
    <w:pPr>
      <w:widowControl/>
      <w:ind w:firstLine="482" w:firstLineChars="200"/>
      <w:jc w:val="left"/>
      <w:outlineLvl w:val="1"/>
    </w:pPr>
    <w:rPr>
      <w:rFonts w:hint="eastAsia" w:ascii="Arial Narrow" w:hAnsi="Arial Narrow"/>
      <w:b/>
      <w:bCs/>
    </w:rPr>
  </w:style>
  <w:style w:type="paragraph" w:customStyle="1" w:styleId="70">
    <w:name w:val="三级"/>
    <w:basedOn w:val="1"/>
    <w:next w:val="1"/>
    <w:qFormat/>
    <w:uiPriority w:val="0"/>
    <w:pPr>
      <w:keepNext/>
      <w:keepLines/>
      <w:spacing w:before="260" w:after="260" w:line="360" w:lineRule="auto"/>
      <w:outlineLvl w:val="2"/>
    </w:pPr>
    <w:rPr>
      <w:rFonts w:hint="eastAsia" w:ascii="Times New Roman" w:hAnsi="Times New Roman" w:eastAsia="楷体" w:cs="Times New Roman"/>
      <w:b/>
      <w:sz w:val="28"/>
      <w:szCs w:val="18"/>
    </w:rPr>
  </w:style>
  <w:style w:type="paragraph" w:customStyle="1" w:styleId="71">
    <w:name w:val="List Paragraph1"/>
    <w:basedOn w:val="1"/>
    <w:qFormat/>
    <w:uiPriority w:val="34"/>
    <w:pPr>
      <w:ind w:firstLine="420" w:firstLineChars="200"/>
    </w:pPr>
  </w:style>
  <w:style w:type="paragraph" w:customStyle="1" w:styleId="72">
    <w:name w:val="招标文件编号"/>
    <w:qFormat/>
    <w:uiPriority w:val="0"/>
    <w:pPr>
      <w:widowControl w:val="0"/>
      <w:numPr>
        <w:ilvl w:val="0"/>
        <w:numId w:val="4"/>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73">
    <w:name w:val="Table Paragraph"/>
    <w:basedOn w:val="1"/>
    <w:qFormat/>
    <w:uiPriority w:val="1"/>
    <w:rPr>
      <w:rFonts w:ascii="宋体" w:hAnsi="宋体"/>
      <w:lang w:val="zh-CN" w:bidi="zh-CN"/>
    </w:rPr>
  </w:style>
  <w:style w:type="paragraph" w:customStyle="1" w:styleId="74">
    <w:name w:val="WPSOffice手动目录 1"/>
    <w:qFormat/>
    <w:uiPriority w:val="0"/>
    <w:rPr>
      <w:rFonts w:ascii="Calibri" w:hAnsi="Calibri" w:eastAsia="宋体" w:cs="宋体"/>
      <w:lang w:val="en-US" w:eastAsia="zh-CN" w:bidi="ar-SA"/>
    </w:rPr>
  </w:style>
  <w:style w:type="paragraph" w:customStyle="1" w:styleId="75">
    <w:name w:val="WPSOffice手动目录 2"/>
    <w:qFormat/>
    <w:uiPriority w:val="0"/>
    <w:pPr>
      <w:ind w:left="200" w:leftChars="200"/>
    </w:pPr>
    <w:rPr>
      <w:rFonts w:ascii="Calibri" w:hAnsi="Calibri" w:eastAsia="宋体" w:cs="宋体"/>
      <w:lang w:val="en-US" w:eastAsia="zh-CN" w:bidi="ar-SA"/>
    </w:rPr>
  </w:style>
  <w:style w:type="paragraph" w:customStyle="1" w:styleId="76">
    <w:name w:val="Other|1"/>
    <w:basedOn w:val="1"/>
    <w:qFormat/>
    <w:uiPriority w:val="0"/>
    <w:pPr>
      <w:spacing w:line="396" w:lineRule="auto"/>
      <w:ind w:firstLine="400"/>
    </w:pPr>
    <w:rPr>
      <w:rFonts w:ascii="宋体" w:hAnsi="宋体"/>
      <w:sz w:val="30"/>
      <w:szCs w:val="30"/>
      <w:lang w:val="zh-TW" w:eastAsia="zh-TW" w:bidi="zh-TW"/>
    </w:rPr>
  </w:style>
  <w:style w:type="paragraph" w:customStyle="1" w:styleId="77">
    <w:name w:val="章节题目"/>
    <w:basedOn w:val="1"/>
    <w:next w:val="1"/>
    <w:qFormat/>
    <w:uiPriority w:val="0"/>
    <w:pPr>
      <w:spacing w:line="360" w:lineRule="auto"/>
      <w:jc w:val="left"/>
    </w:pPr>
    <w:rPr>
      <w:rFonts w:ascii="Times New Roman" w:hAnsi="Times New Roman"/>
      <w:spacing w:val="-40"/>
    </w:rPr>
  </w:style>
  <w:style w:type="paragraph" w:customStyle="1" w:styleId="78">
    <w:name w:val="列出段落2"/>
    <w:basedOn w:val="1"/>
    <w:qFormat/>
    <w:uiPriority w:val="0"/>
    <w:pPr>
      <w:spacing w:line="360" w:lineRule="auto"/>
      <w:ind w:firstLine="420" w:firstLineChars="200"/>
    </w:pPr>
    <w:rPr>
      <w:rFonts w:hint="eastAsia" w:cs="Times New Roman"/>
      <w:kern w:val="0"/>
      <w:sz w:val="20"/>
      <w:szCs w:val="20"/>
    </w:rPr>
  </w:style>
  <w:style w:type="paragraph" w:customStyle="1" w:styleId="7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80">
    <w:name w:val="四级"/>
    <w:basedOn w:val="1"/>
    <w:next w:val="1"/>
    <w:qFormat/>
    <w:uiPriority w:val="0"/>
    <w:pPr>
      <w:keepNext/>
      <w:keepLines/>
      <w:spacing w:before="240" w:after="64" w:line="372" w:lineRule="auto"/>
      <w:ind w:left="862" w:hanging="862"/>
      <w:outlineLvl w:val="4"/>
    </w:pPr>
    <w:rPr>
      <w:rFonts w:hint="eastAsia" w:ascii="Times New Roman" w:hAnsi="Times New Roman" w:eastAsia="黑体" w:cs="Times New Roman"/>
      <w:b/>
      <w:bCs/>
    </w:rPr>
  </w:style>
  <w:style w:type="paragraph" w:customStyle="1" w:styleId="81">
    <w:name w:val="正文1"/>
    <w:basedOn w:val="1"/>
    <w:qFormat/>
    <w:uiPriority w:val="0"/>
    <w:pPr>
      <w:widowControl/>
      <w:ind w:left="200" w:leftChars="200" w:firstLine="480" w:firstLineChars="200"/>
      <w:jc w:val="left"/>
    </w:pPr>
  </w:style>
  <w:style w:type="paragraph" w:customStyle="1" w:styleId="82">
    <w:name w:val="招标文件表格表头"/>
    <w:basedOn w:val="1"/>
    <w:qFormat/>
    <w:uiPriority w:val="0"/>
    <w:pPr>
      <w:jc w:val="center"/>
    </w:pPr>
    <w:rPr>
      <w:rFonts w:eastAsia="黑体" w:cs="Times New Roman"/>
      <w:b/>
    </w:rPr>
  </w:style>
  <w:style w:type="paragraph" w:customStyle="1" w:styleId="83">
    <w:name w:val="招标文件表格主内容"/>
    <w:basedOn w:val="1"/>
    <w:qFormat/>
    <w:uiPriority w:val="0"/>
    <w:pPr>
      <w:spacing w:line="240" w:lineRule="exact"/>
      <w:jc w:val="center"/>
    </w:pPr>
    <w:rPr>
      <w:rFonts w:hint="eastAsia" w:eastAsia="微软雅黑"/>
      <w:sz w:val="22"/>
    </w:rPr>
  </w:style>
  <w:style w:type="paragraph" w:customStyle="1" w:styleId="84">
    <w:name w:val="招标文件表格多段内容"/>
    <w:basedOn w:val="1"/>
    <w:qFormat/>
    <w:uiPriority w:val="0"/>
    <w:pPr>
      <w:spacing w:before="10" w:beforeLines="10" w:line="240" w:lineRule="exact"/>
      <w:ind w:firstLine="400" w:firstLineChars="200"/>
      <w:jc w:val="left"/>
    </w:pPr>
    <w:rPr>
      <w:rFonts w:hint="eastAsia" w:eastAsia="微软雅黑" w:cs="Times New Roman"/>
      <w:sz w:val="20"/>
    </w:rPr>
  </w:style>
  <w:style w:type="paragraph" w:customStyle="1" w:styleId="85">
    <w:name w:val="五级"/>
    <w:basedOn w:val="1"/>
    <w:qFormat/>
    <w:uiPriority w:val="0"/>
    <w:pPr>
      <w:spacing w:after="50" w:afterLines="50"/>
      <w:ind w:firstLine="480" w:firstLineChars="200"/>
      <w:outlineLvl w:val="5"/>
    </w:pPr>
    <w:rPr>
      <w:rFonts w:hint="eastAsia" w:ascii="Times New Roman" w:hAnsi="Times New Roman" w:eastAsia="黑体" w:cs="Times New Roman"/>
    </w:rPr>
  </w:style>
  <w:style w:type="paragraph" w:customStyle="1" w:styleId="86">
    <w:name w:val="GP正文(无首行缩进)"/>
    <w:basedOn w:val="1"/>
    <w:qFormat/>
    <w:uiPriority w:val="0"/>
    <w:pPr>
      <w:spacing w:line="360" w:lineRule="auto"/>
      <w:ind w:firstLine="480" w:firstLineChars="200"/>
      <w:jc w:val="left"/>
    </w:pPr>
    <w:rPr>
      <w:rFonts w:hAnsi="宋体"/>
    </w:rPr>
  </w:style>
  <w:style w:type="character" w:customStyle="1" w:styleId="87">
    <w:name w:val="font11"/>
    <w:basedOn w:val="36"/>
    <w:qFormat/>
    <w:uiPriority w:val="0"/>
    <w:rPr>
      <w:rFonts w:hint="eastAsia" w:ascii="微软雅黑" w:hAnsi="微软雅黑" w:eastAsia="微软雅黑" w:cs="微软雅黑"/>
      <w:b/>
      <w:bCs/>
      <w:color w:val="000000"/>
      <w:sz w:val="22"/>
      <w:szCs w:val="22"/>
      <w:u w:val="none"/>
    </w:rPr>
  </w:style>
  <w:style w:type="character" w:customStyle="1" w:styleId="88">
    <w:name w:val="font31"/>
    <w:basedOn w:val="36"/>
    <w:qFormat/>
    <w:uiPriority w:val="0"/>
    <w:rPr>
      <w:rFonts w:hint="default" w:ascii="Times New Roman" w:hAnsi="Times New Roman" w:cs="Times New Roman"/>
      <w:color w:val="000000"/>
      <w:sz w:val="24"/>
      <w:szCs w:val="24"/>
      <w:u w:val="none"/>
    </w:rPr>
  </w:style>
  <w:style w:type="character" w:customStyle="1" w:styleId="89">
    <w:name w:val="font01"/>
    <w:qFormat/>
    <w:uiPriority w:val="0"/>
    <w:rPr>
      <w:rFonts w:hint="eastAsia" w:ascii="宋体" w:hAnsi="宋体" w:eastAsia="宋体" w:cs="宋体"/>
      <w:color w:val="000000"/>
      <w:sz w:val="24"/>
      <w:szCs w:val="24"/>
      <w:u w:val="none"/>
    </w:rPr>
  </w:style>
  <w:style w:type="character" w:customStyle="1" w:styleId="90">
    <w:name w:val="font81"/>
    <w:basedOn w:val="36"/>
    <w:qFormat/>
    <w:uiPriority w:val="0"/>
    <w:rPr>
      <w:rFonts w:hint="eastAsia" w:ascii="宋体" w:hAnsi="宋体" w:eastAsia="宋体" w:cs="宋体"/>
      <w:b/>
      <w:bCs/>
      <w:color w:val="000000"/>
      <w:sz w:val="18"/>
      <w:szCs w:val="18"/>
      <w:u w:val="none"/>
    </w:rPr>
  </w:style>
  <w:style w:type="character" w:customStyle="1" w:styleId="91">
    <w:name w:val="font21"/>
    <w:basedOn w:val="36"/>
    <w:qFormat/>
    <w:uiPriority w:val="0"/>
    <w:rPr>
      <w:rFonts w:hint="eastAsia" w:ascii="宋体" w:hAnsi="宋体" w:eastAsia="宋体" w:cs="宋体"/>
      <w:color w:val="000000"/>
      <w:sz w:val="18"/>
      <w:szCs w:val="18"/>
      <w:u w:val="none"/>
    </w:rPr>
  </w:style>
  <w:style w:type="character" w:customStyle="1" w:styleId="92">
    <w:name w:val="font131"/>
    <w:basedOn w:val="36"/>
    <w:qFormat/>
    <w:uiPriority w:val="0"/>
    <w:rPr>
      <w:rFonts w:hint="eastAsia" w:ascii="宋体" w:hAnsi="宋体" w:eastAsia="宋体" w:cs="宋体"/>
      <w:color w:val="FF0000"/>
      <w:sz w:val="18"/>
      <w:szCs w:val="18"/>
      <w:u w:val="none"/>
    </w:rPr>
  </w:style>
  <w:style w:type="character" w:customStyle="1" w:styleId="93">
    <w:name w:val="font41"/>
    <w:basedOn w:val="36"/>
    <w:qFormat/>
    <w:uiPriority w:val="0"/>
    <w:rPr>
      <w:rFonts w:hint="default" w:ascii="Times New Roman" w:hAnsi="Times New Roman" w:cs="Times New Roman"/>
      <w:color w:val="FF0000"/>
      <w:sz w:val="20"/>
      <w:szCs w:val="20"/>
      <w:u w:val="none"/>
    </w:rPr>
  </w:style>
  <w:style w:type="paragraph" w:customStyle="1" w:styleId="94">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paragraph" w:customStyle="1" w:styleId="95">
    <w:name w:val="正文格式"/>
    <w:qFormat/>
    <w:uiPriority w:val="0"/>
    <w:pPr>
      <w:widowControl/>
      <w:adjustRightInd w:val="0"/>
      <w:snapToGrid w:val="0"/>
      <w:spacing w:line="400" w:lineRule="atLeast"/>
      <w:ind w:firstLine="482"/>
      <w:jc w:val="both"/>
      <w:textAlignment w:val="baseline"/>
    </w:pPr>
    <w:rPr>
      <w:rFonts w:ascii="Times New Roman" w:hAnsi="Times New Roman" w:eastAsia="宋体" w:cs="Times New Roman"/>
      <w:kern w:val="0"/>
      <w:sz w:val="24"/>
      <w:szCs w:val="24"/>
      <w:lang w:val="en-US" w:eastAsia="zh-CN" w:bidi="ar-SA"/>
    </w:rPr>
  </w:style>
  <w:style w:type="table" w:customStyle="1" w:styleId="96">
    <w:name w:val="Table Normal"/>
    <w:semiHidden/>
    <w:unhideWhenUsed/>
    <w:qFormat/>
    <w:uiPriority w:val="0"/>
    <w:tblPr>
      <w:tblCellMar>
        <w:top w:w="0" w:type="dxa"/>
        <w:left w:w="0" w:type="dxa"/>
        <w:bottom w:w="0" w:type="dxa"/>
        <w:right w:w="0" w:type="dxa"/>
      </w:tblCellMar>
    </w:tblPr>
  </w:style>
  <w:style w:type="table" w:customStyle="1" w:styleId="97">
    <w:name w:val="Table Normal2"/>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0" Type="http://schemas.openxmlformats.org/officeDocument/2006/relationships/font" Target="fonts/font20.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72</Pages>
  <Words>6924</Words>
  <Characters>7397</Characters>
  <Lines>475</Lines>
  <Paragraphs>133</Paragraphs>
  <TotalTime>26</TotalTime>
  <ScaleCrop>false</ScaleCrop>
  <LinksUpToDate>false</LinksUpToDate>
  <CharactersWithSpaces>7651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2023-02-26T14:45:00Z</dcterms:created>
  <dc:creator>Sugar</dc:creator>
  <cp:lastModifiedBy>admin</cp:lastModifiedBy>
  <cp:lastPrinted>2026-07-03T06:29:00Z</cp:lastPrinted>
  <dcterms:modified xsi:type="dcterms:W3CDTF">2026-09-18T02:52:35Z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89514C2C6AB347C2BEDE40294B9DE481_13</vt:lpwstr>
  </property>
  <property fmtid="{D5CDD505-2E9C-101B-9397-08002B2CF9AE}" pid="4" name="KSOTemplateDocerSaveRecord">
    <vt:lpwstr>eyJoZGlkIjoiOTM5YTA3OTI5YWI0NDJlM2RjYTMyMTJkNTM5ZThjY2EiLCJ1c2VySWQiOiI0OTc2OTY1ODMifQ==</vt:lpwstr>
  </property>
</Properties>
</file>