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C0E32">
      <w:pPr>
        <w:jc w:val="center"/>
        <w:rPr>
          <w:rFonts w:ascii="隶书" w:hAnsi="华文中宋" w:eastAsia="隶书" w:cs="Courier New"/>
          <w:color w:val="auto"/>
          <w:sz w:val="84"/>
          <w:szCs w:val="84"/>
          <w:highlight w:val="none"/>
        </w:rPr>
      </w:pPr>
    </w:p>
    <w:p w14:paraId="446B4C20">
      <w:pPr>
        <w:jc w:val="center"/>
        <w:rPr>
          <w:rFonts w:ascii="隶书" w:hAnsi="华文中宋" w:eastAsia="隶书" w:cs="Courier New"/>
          <w:bCs/>
          <w:color w:val="auto"/>
          <w:sz w:val="84"/>
          <w:szCs w:val="84"/>
          <w:highlight w:val="none"/>
        </w:rPr>
      </w:pPr>
      <w:r>
        <w:rPr>
          <w:rFonts w:hint="eastAsia" w:ascii="隶书" w:hAnsi="华文中宋" w:eastAsia="隶书" w:cs="Courier New"/>
          <w:color w:val="auto"/>
          <w:sz w:val="84"/>
          <w:szCs w:val="84"/>
          <w:highlight w:val="none"/>
        </w:rPr>
        <w:t>政府采购</w:t>
      </w:r>
    </w:p>
    <w:p w14:paraId="4C8DBB2E">
      <w:pPr>
        <w:adjustRightInd w:val="0"/>
        <w:snapToGrid w:val="0"/>
        <w:spacing w:line="360" w:lineRule="auto"/>
        <w:jc w:val="center"/>
        <w:rPr>
          <w:rFonts w:ascii="隶书" w:hAnsi="华文中宋" w:eastAsia="隶书" w:cs="Courier New"/>
          <w:color w:val="auto"/>
          <w:sz w:val="84"/>
          <w:szCs w:val="84"/>
          <w:highlight w:val="none"/>
        </w:rPr>
      </w:pPr>
      <w:r>
        <w:rPr>
          <w:rFonts w:hint="eastAsia" w:ascii="隶书" w:hAnsi="华文中宋" w:eastAsia="隶书" w:cs="Courier New"/>
          <w:color w:val="auto"/>
          <w:sz w:val="84"/>
          <w:szCs w:val="84"/>
          <w:highlight w:val="none"/>
        </w:rPr>
        <w:t>竞争性谈判文件</w:t>
      </w:r>
    </w:p>
    <w:p w14:paraId="1B01359A">
      <w:pPr>
        <w:pStyle w:val="29"/>
        <w:ind w:left="0" w:leftChars="0" w:firstLine="0" w:firstLineChars="0"/>
        <w:rPr>
          <w:rFonts w:ascii="Tahoma" w:hAnsi="Tahoma" w:cs="Tahoma"/>
          <w:color w:val="auto"/>
          <w:sz w:val="20"/>
          <w:szCs w:val="20"/>
          <w:highlight w:val="none"/>
        </w:rPr>
      </w:pPr>
    </w:p>
    <w:p w14:paraId="2BCE0209">
      <w:pPr>
        <w:pStyle w:val="29"/>
        <w:rPr>
          <w:rFonts w:ascii="Tahoma" w:hAnsi="Tahoma" w:cs="Tahoma"/>
          <w:color w:val="auto"/>
          <w:sz w:val="20"/>
          <w:szCs w:val="20"/>
          <w:highlight w:val="none"/>
        </w:rPr>
      </w:pPr>
    </w:p>
    <w:p w14:paraId="5A6F6A0D">
      <w:pPr>
        <w:pStyle w:val="29"/>
        <w:spacing w:line="480" w:lineRule="auto"/>
        <w:jc w:val="left"/>
        <w:rPr>
          <w:rFonts w:hint="eastAsia" w:ascii="宋体" w:hAnsi="宋体" w:eastAsia="宋体" w:cs="宋体"/>
          <w:color w:val="auto"/>
          <w:sz w:val="32"/>
          <w:szCs w:val="32"/>
          <w:highlight w:val="none"/>
        </w:rPr>
      </w:pPr>
    </w:p>
    <w:p w14:paraId="4EEA8B5C">
      <w:pPr>
        <w:adjustRightInd w:val="0"/>
        <w:snapToGrid w:val="0"/>
        <w:spacing w:line="480" w:lineRule="auto"/>
        <w:jc w:val="left"/>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rPr>
        <w:t>采购项目名称：</w:t>
      </w:r>
      <w:r>
        <w:rPr>
          <w:rFonts w:hint="eastAsia" w:ascii="宋体" w:hAnsi="宋体" w:cs="宋体"/>
          <w:b/>
          <w:color w:val="auto"/>
          <w:sz w:val="30"/>
          <w:szCs w:val="30"/>
          <w:highlight w:val="none"/>
          <w:lang w:eastAsia="zh-CN"/>
        </w:rPr>
        <w:t>辰溪县修溪镇中心卫生院血液透析室建设项目</w:t>
      </w:r>
    </w:p>
    <w:p w14:paraId="4E31FF2E">
      <w:pPr>
        <w:adjustRightInd w:val="0"/>
        <w:snapToGrid w:val="0"/>
        <w:spacing w:line="480" w:lineRule="auto"/>
        <w:jc w:val="left"/>
        <w:rPr>
          <w:rFonts w:hint="default"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rPr>
        <w:t>政府采购计划编号：(2026)431223000015-1</w:t>
      </w:r>
    </w:p>
    <w:p w14:paraId="3C6EF2C7">
      <w:pPr>
        <w:adjustRightInd w:val="0"/>
        <w:snapToGrid w:val="0"/>
        <w:spacing w:line="480" w:lineRule="auto"/>
        <w:jc w:val="left"/>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rPr>
        <w:t>委托代理编号：</w:t>
      </w:r>
      <w:r>
        <w:rPr>
          <w:rFonts w:hint="eastAsia" w:ascii="宋体" w:hAnsi="宋体" w:cs="宋体"/>
          <w:b/>
          <w:color w:val="auto"/>
          <w:sz w:val="30"/>
          <w:szCs w:val="30"/>
          <w:highlight w:val="none"/>
          <w:lang w:val="en-US" w:eastAsia="zh-CN"/>
        </w:rPr>
        <w:t>HZY-ZC-26338</w:t>
      </w:r>
    </w:p>
    <w:p w14:paraId="4999D6BA">
      <w:pPr>
        <w:adjustRightInd w:val="0"/>
        <w:snapToGrid w:val="0"/>
        <w:spacing w:line="480" w:lineRule="auto"/>
        <w:jc w:val="left"/>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rPr>
        <w:t>采   购   人：</w:t>
      </w:r>
      <w:r>
        <w:rPr>
          <w:rFonts w:hint="eastAsia" w:ascii="宋体" w:hAnsi="宋体" w:cs="宋体"/>
          <w:b/>
          <w:color w:val="auto"/>
          <w:sz w:val="30"/>
          <w:szCs w:val="30"/>
          <w:highlight w:val="none"/>
          <w:lang w:val="en-US" w:eastAsia="zh-CN"/>
        </w:rPr>
        <w:t>辰溪县卫生健康局</w:t>
      </w:r>
    </w:p>
    <w:p w14:paraId="0CB64439">
      <w:pPr>
        <w:adjustRightInd w:val="0"/>
        <w:snapToGrid w:val="0"/>
        <w:spacing w:line="480" w:lineRule="auto"/>
        <w:jc w:val="left"/>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rPr>
        <w:t>采购代理机构：</w:t>
      </w:r>
      <w:r>
        <w:rPr>
          <w:rFonts w:hint="eastAsia" w:ascii="宋体" w:hAnsi="宋体" w:cs="宋体"/>
          <w:b/>
          <w:color w:val="auto"/>
          <w:sz w:val="30"/>
          <w:szCs w:val="30"/>
          <w:highlight w:val="none"/>
          <w:lang w:val="en-US" w:eastAsia="zh-CN"/>
        </w:rPr>
        <w:t>湖南华中源工程项目管理有限公司</w:t>
      </w:r>
    </w:p>
    <w:p w14:paraId="0CF82412">
      <w:pPr>
        <w:adjustRightInd w:val="0"/>
        <w:snapToGrid w:val="0"/>
        <w:spacing w:line="360" w:lineRule="auto"/>
        <w:ind w:left="645" w:leftChars="307"/>
        <w:jc w:val="center"/>
        <w:rPr>
          <w:rFonts w:hint="eastAsia" w:ascii="宋体" w:hAnsi="宋体" w:eastAsia="宋体" w:cs="宋体"/>
          <w:b/>
          <w:color w:val="auto"/>
          <w:sz w:val="32"/>
          <w:szCs w:val="32"/>
          <w:highlight w:val="none"/>
        </w:rPr>
      </w:pPr>
    </w:p>
    <w:p w14:paraId="55E27B50">
      <w:pPr>
        <w:adjustRightInd w:val="0"/>
        <w:snapToGrid w:val="0"/>
        <w:spacing w:line="360" w:lineRule="auto"/>
        <w:jc w:val="center"/>
        <w:rPr>
          <w:rFonts w:hint="eastAsia" w:ascii="宋体" w:hAnsi="宋体" w:cs="Courier New"/>
          <w:b/>
          <w:color w:val="auto"/>
          <w:sz w:val="32"/>
          <w:szCs w:val="21"/>
          <w:highlight w:val="none"/>
          <w:lang w:val="en-US" w:eastAsia="zh-CN"/>
        </w:rPr>
      </w:pPr>
    </w:p>
    <w:p w14:paraId="2230DBE8">
      <w:pPr>
        <w:adjustRightInd w:val="0"/>
        <w:snapToGrid w:val="0"/>
        <w:spacing w:line="360" w:lineRule="auto"/>
        <w:jc w:val="center"/>
        <w:rPr>
          <w:rFonts w:ascii="宋体" w:hAnsi="宋体" w:cs="Courier New"/>
          <w:b/>
          <w:color w:val="auto"/>
          <w:sz w:val="32"/>
          <w:szCs w:val="21"/>
          <w:highlight w:val="none"/>
        </w:rPr>
      </w:pPr>
      <w:r>
        <w:rPr>
          <w:rFonts w:hint="eastAsia" w:ascii="宋体" w:hAnsi="宋体" w:cs="Courier New"/>
          <w:b/>
          <w:color w:val="auto"/>
          <w:sz w:val="32"/>
          <w:szCs w:val="21"/>
          <w:highlight w:val="none"/>
          <w:lang w:val="en-US" w:eastAsia="zh-CN"/>
        </w:rPr>
        <w:t>二0二六</w:t>
      </w:r>
      <w:r>
        <w:rPr>
          <w:rFonts w:hint="eastAsia" w:ascii="宋体" w:hAnsi="宋体" w:cs="Courier New"/>
          <w:b/>
          <w:color w:val="auto"/>
          <w:sz w:val="32"/>
          <w:szCs w:val="21"/>
          <w:highlight w:val="none"/>
        </w:rPr>
        <w:t>年</w:t>
      </w:r>
      <w:r>
        <w:rPr>
          <w:rFonts w:hint="eastAsia" w:ascii="宋体" w:hAnsi="宋体" w:cs="Courier New"/>
          <w:b/>
          <w:color w:val="auto"/>
          <w:sz w:val="32"/>
          <w:szCs w:val="21"/>
          <w:highlight w:val="none"/>
          <w:lang w:val="en-US" w:eastAsia="zh-CN"/>
        </w:rPr>
        <w:t>九</w:t>
      </w:r>
      <w:r>
        <w:rPr>
          <w:rFonts w:hint="eastAsia" w:ascii="宋体" w:hAnsi="宋体" w:cs="Courier New"/>
          <w:b/>
          <w:color w:val="auto"/>
          <w:sz w:val="32"/>
          <w:szCs w:val="21"/>
          <w:highlight w:val="none"/>
        </w:rPr>
        <w:t>月</w:t>
      </w:r>
    </w:p>
    <w:p w14:paraId="0D2D33A2">
      <w:pPr>
        <w:adjustRightInd w:val="0"/>
        <w:snapToGrid w:val="0"/>
        <w:spacing w:line="360" w:lineRule="auto"/>
        <w:jc w:val="center"/>
        <w:rPr>
          <w:rFonts w:ascii="黑体" w:hAnsi="宋体" w:eastAsia="黑体" w:cs="Courier New"/>
          <w:b/>
          <w:color w:val="auto"/>
          <w:spacing w:val="160"/>
          <w:sz w:val="32"/>
          <w:szCs w:val="32"/>
          <w:highlight w:val="none"/>
        </w:rPr>
        <w:sectPr>
          <w:footerReference r:id="rId3" w:type="default"/>
          <w:pgSz w:w="11906" w:h="16838"/>
          <w:pgMar w:top="1474" w:right="1474" w:bottom="1474" w:left="1588" w:header="851" w:footer="992" w:gutter="0"/>
          <w:cols w:space="720" w:num="1"/>
          <w:docGrid w:type="lines" w:linePitch="312" w:charSpace="0"/>
        </w:sectPr>
      </w:pPr>
    </w:p>
    <w:p w14:paraId="5DEE4D47">
      <w:pPr>
        <w:adjustRightInd w:val="0"/>
        <w:snapToGrid w:val="0"/>
        <w:spacing w:line="360" w:lineRule="auto"/>
        <w:jc w:val="center"/>
        <w:rPr>
          <w:rFonts w:ascii="黑体" w:hAnsi="宋体" w:eastAsia="黑体" w:cs="Courier New"/>
          <w:b/>
          <w:color w:val="auto"/>
          <w:spacing w:val="160"/>
          <w:sz w:val="32"/>
          <w:szCs w:val="32"/>
          <w:highlight w:val="none"/>
        </w:rPr>
      </w:pPr>
      <w:r>
        <w:rPr>
          <w:rFonts w:hint="eastAsia" w:ascii="黑体" w:hAnsi="宋体" w:eastAsia="黑体" w:cs="Courier New"/>
          <w:b/>
          <w:color w:val="auto"/>
          <w:spacing w:val="160"/>
          <w:sz w:val="32"/>
          <w:szCs w:val="32"/>
          <w:highlight w:val="none"/>
        </w:rPr>
        <w:t>目录</w:t>
      </w:r>
    </w:p>
    <w:p w14:paraId="2045A7C2">
      <w:pPr>
        <w:pStyle w:val="17"/>
        <w:tabs>
          <w:tab w:val="right" w:leader="dot" w:pos="8844"/>
        </w:tabs>
        <w:spacing w:line="480" w:lineRule="auto"/>
        <w:rPr>
          <w:color w:val="auto"/>
          <w:highlight w:val="none"/>
        </w:rPr>
      </w:pPr>
      <w:r>
        <w:rPr>
          <w:rFonts w:hAnsi="宋体"/>
          <w:bCs/>
          <w:color w:val="auto"/>
          <w:sz w:val="28"/>
          <w:highlight w:val="none"/>
        </w:rPr>
        <w:fldChar w:fldCharType="begin"/>
      </w:r>
      <w:r>
        <w:rPr>
          <w:rFonts w:hAnsi="宋体"/>
          <w:bCs/>
          <w:color w:val="auto"/>
          <w:sz w:val="28"/>
          <w:highlight w:val="none"/>
        </w:rPr>
        <w:instrText xml:space="preserve"> TOC \o "1-3" \h \z \u </w:instrText>
      </w:r>
      <w:r>
        <w:rPr>
          <w:rFonts w:hAnsi="宋体"/>
          <w:bCs/>
          <w:color w:val="auto"/>
          <w:sz w:val="28"/>
          <w:highlight w:val="none"/>
        </w:rPr>
        <w:fldChar w:fldCharType="separate"/>
      </w:r>
      <w:r>
        <w:rPr>
          <w:rFonts w:hAnsi="宋体"/>
          <w:bCs/>
          <w:color w:val="auto"/>
          <w:highlight w:val="none"/>
        </w:rPr>
        <w:fldChar w:fldCharType="begin"/>
      </w:r>
      <w:r>
        <w:rPr>
          <w:rFonts w:hAnsi="宋体"/>
          <w:bCs/>
          <w:color w:val="auto"/>
          <w:highlight w:val="none"/>
        </w:rPr>
        <w:instrText xml:space="preserve"> HYPERLINK \l _Toc7075 </w:instrText>
      </w:r>
      <w:r>
        <w:rPr>
          <w:rFonts w:hAnsi="宋体"/>
          <w:bCs/>
          <w:color w:val="auto"/>
          <w:highlight w:val="none"/>
        </w:rPr>
        <w:fldChar w:fldCharType="separate"/>
      </w:r>
      <w:r>
        <w:rPr>
          <w:rFonts w:hint="eastAsia" w:ascii="黑体" w:hAnsi="黑体" w:eastAsia="黑体"/>
          <w:bCs/>
          <w:color w:val="auto"/>
          <w:szCs w:val="32"/>
          <w:highlight w:val="none"/>
        </w:rPr>
        <w:t>第一章 谈判邀请</w:t>
      </w:r>
      <w:r>
        <w:rPr>
          <w:color w:val="auto"/>
          <w:highlight w:val="none"/>
        </w:rPr>
        <w:tab/>
      </w:r>
      <w:r>
        <w:rPr>
          <w:color w:val="auto"/>
          <w:highlight w:val="none"/>
        </w:rPr>
        <w:fldChar w:fldCharType="begin"/>
      </w:r>
      <w:r>
        <w:rPr>
          <w:color w:val="auto"/>
          <w:highlight w:val="none"/>
        </w:rPr>
        <w:instrText xml:space="preserve"> PAGEREF _Toc7075 \h </w:instrText>
      </w:r>
      <w:r>
        <w:rPr>
          <w:color w:val="auto"/>
          <w:highlight w:val="none"/>
        </w:rPr>
        <w:fldChar w:fldCharType="separate"/>
      </w:r>
      <w:r>
        <w:rPr>
          <w:color w:val="auto"/>
          <w:highlight w:val="none"/>
        </w:rPr>
        <w:t>- 2 -</w:t>
      </w:r>
      <w:r>
        <w:rPr>
          <w:color w:val="auto"/>
          <w:highlight w:val="none"/>
        </w:rPr>
        <w:fldChar w:fldCharType="end"/>
      </w:r>
      <w:r>
        <w:rPr>
          <w:rFonts w:hAnsi="宋体"/>
          <w:bCs/>
          <w:color w:val="auto"/>
          <w:highlight w:val="none"/>
        </w:rPr>
        <w:fldChar w:fldCharType="end"/>
      </w:r>
    </w:p>
    <w:p w14:paraId="113D9547">
      <w:pPr>
        <w:pStyle w:val="17"/>
        <w:tabs>
          <w:tab w:val="right" w:leader="dot" w:pos="8844"/>
        </w:tabs>
        <w:spacing w:line="48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_Toc15008 </w:instrText>
      </w:r>
      <w:r>
        <w:rPr>
          <w:color w:val="auto"/>
          <w:highlight w:val="none"/>
        </w:rPr>
        <w:fldChar w:fldCharType="separate"/>
      </w:r>
      <w:r>
        <w:rPr>
          <w:rFonts w:hint="eastAsia" w:ascii="黑体" w:hAnsi="黑体" w:eastAsia="黑体"/>
          <w:bCs/>
          <w:color w:val="auto"/>
          <w:szCs w:val="32"/>
          <w:highlight w:val="none"/>
        </w:rPr>
        <w:t>第二章 谈判须知</w:t>
      </w:r>
      <w:r>
        <w:rPr>
          <w:color w:val="auto"/>
          <w:highlight w:val="none"/>
        </w:rPr>
        <w:tab/>
      </w:r>
      <w:r>
        <w:rPr>
          <w:rFonts w:hint="eastAsia"/>
          <w:color w:val="auto"/>
          <w:highlight w:val="none"/>
          <w:lang w:val="en-US" w:eastAsia="zh-CN"/>
        </w:rPr>
        <w:t>- 6</w:t>
      </w:r>
      <w:r>
        <w:rPr>
          <w:color w:val="auto"/>
          <w:highlight w:val="none"/>
        </w:rPr>
        <w:fldChar w:fldCharType="end"/>
      </w:r>
      <w:r>
        <w:rPr>
          <w:rFonts w:hint="eastAsia"/>
          <w:color w:val="auto"/>
          <w:highlight w:val="none"/>
          <w:lang w:val="en-US" w:eastAsia="zh-CN"/>
        </w:rPr>
        <w:t xml:space="preserve"> -</w:t>
      </w:r>
    </w:p>
    <w:p w14:paraId="66EF978D">
      <w:pPr>
        <w:pStyle w:val="17"/>
        <w:tabs>
          <w:tab w:val="right" w:leader="dot" w:pos="8844"/>
        </w:tabs>
        <w:spacing w:line="480" w:lineRule="auto"/>
        <w:rPr>
          <w:color w:val="auto"/>
          <w:highlight w:val="none"/>
        </w:rPr>
      </w:pPr>
      <w:r>
        <w:rPr>
          <w:color w:val="auto"/>
          <w:highlight w:val="none"/>
        </w:rPr>
        <w:fldChar w:fldCharType="begin"/>
      </w:r>
      <w:r>
        <w:rPr>
          <w:color w:val="auto"/>
          <w:highlight w:val="none"/>
        </w:rPr>
        <w:instrText xml:space="preserve"> HYPERLINK \l _Toc25776 </w:instrText>
      </w:r>
      <w:r>
        <w:rPr>
          <w:color w:val="auto"/>
          <w:highlight w:val="none"/>
        </w:rPr>
        <w:fldChar w:fldCharType="separate"/>
      </w:r>
      <w:r>
        <w:rPr>
          <w:rFonts w:hint="eastAsia" w:ascii="黑体" w:hAnsi="黑体" w:eastAsia="黑体"/>
          <w:bCs/>
          <w:color w:val="auto"/>
          <w:szCs w:val="32"/>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_Toc25776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3E278305">
      <w:pPr>
        <w:pStyle w:val="17"/>
        <w:tabs>
          <w:tab w:val="right" w:leader="dot" w:pos="8844"/>
        </w:tabs>
        <w:spacing w:line="480" w:lineRule="auto"/>
        <w:rPr>
          <w:color w:val="auto"/>
          <w:highlight w:val="none"/>
        </w:rPr>
      </w:pPr>
      <w:r>
        <w:rPr>
          <w:color w:val="auto"/>
          <w:highlight w:val="none"/>
        </w:rPr>
        <w:fldChar w:fldCharType="begin"/>
      </w:r>
      <w:r>
        <w:rPr>
          <w:color w:val="auto"/>
          <w:highlight w:val="none"/>
        </w:rPr>
        <w:instrText xml:space="preserve"> HYPERLINK \l _Toc20807 </w:instrText>
      </w:r>
      <w:r>
        <w:rPr>
          <w:color w:val="auto"/>
          <w:highlight w:val="none"/>
        </w:rPr>
        <w:fldChar w:fldCharType="separate"/>
      </w:r>
      <w:r>
        <w:rPr>
          <w:rFonts w:hint="eastAsia" w:ascii="黑体" w:hAnsi="黑体" w:eastAsia="黑体"/>
          <w:bCs/>
          <w:color w:val="auto"/>
          <w:szCs w:val="32"/>
          <w:highlight w:val="none"/>
        </w:rPr>
        <w:t>第四章 合同草案条款</w:t>
      </w:r>
      <w:r>
        <w:rPr>
          <w:color w:val="auto"/>
          <w:highlight w:val="none"/>
        </w:rPr>
        <w:tab/>
      </w:r>
      <w:r>
        <w:rPr>
          <w:color w:val="auto"/>
          <w:highlight w:val="none"/>
        </w:rPr>
        <w:fldChar w:fldCharType="begin"/>
      </w:r>
      <w:r>
        <w:rPr>
          <w:color w:val="auto"/>
          <w:highlight w:val="none"/>
        </w:rPr>
        <w:instrText xml:space="preserve"> PAGEREF _Toc20807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5E0A53A3">
      <w:pPr>
        <w:pStyle w:val="17"/>
        <w:tabs>
          <w:tab w:val="right" w:leader="dot" w:pos="8844"/>
        </w:tabs>
        <w:spacing w:line="480" w:lineRule="auto"/>
        <w:rPr>
          <w:color w:val="auto"/>
          <w:highlight w:val="none"/>
        </w:rPr>
      </w:pPr>
      <w:r>
        <w:rPr>
          <w:color w:val="auto"/>
          <w:highlight w:val="none"/>
        </w:rPr>
        <w:fldChar w:fldCharType="begin"/>
      </w:r>
      <w:r>
        <w:rPr>
          <w:color w:val="auto"/>
          <w:highlight w:val="none"/>
        </w:rPr>
        <w:instrText xml:space="preserve"> HYPERLINK \l _Toc24739 </w:instrText>
      </w:r>
      <w:r>
        <w:rPr>
          <w:color w:val="auto"/>
          <w:highlight w:val="none"/>
        </w:rPr>
        <w:fldChar w:fldCharType="separate"/>
      </w:r>
      <w:r>
        <w:rPr>
          <w:rFonts w:hint="eastAsia" w:ascii="黑体" w:hAnsi="黑体" w:eastAsia="黑体"/>
          <w:bCs/>
          <w:color w:val="auto"/>
          <w:szCs w:val="32"/>
          <w:highlight w:val="none"/>
        </w:rPr>
        <w:t>第五章 响应文件组成</w:t>
      </w:r>
      <w:r>
        <w:rPr>
          <w:color w:val="auto"/>
          <w:highlight w:val="none"/>
        </w:rPr>
        <w:tab/>
      </w:r>
      <w:r>
        <w:rPr>
          <w:color w:val="auto"/>
          <w:highlight w:val="none"/>
        </w:rPr>
        <w:fldChar w:fldCharType="begin"/>
      </w:r>
      <w:r>
        <w:rPr>
          <w:color w:val="auto"/>
          <w:highlight w:val="none"/>
        </w:rPr>
        <w:instrText xml:space="preserve"> PAGEREF _Toc24739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09B1ACAE">
      <w:pPr>
        <w:pStyle w:val="18"/>
        <w:tabs>
          <w:tab w:val="right" w:leader="dot" w:pos="8844"/>
        </w:tabs>
        <w:rPr>
          <w:color w:val="auto"/>
          <w:highlight w:val="none"/>
        </w:rPr>
      </w:pPr>
    </w:p>
    <w:p w14:paraId="4051E2AD">
      <w:pPr>
        <w:rPr>
          <w:color w:val="auto"/>
          <w:highlight w:val="none"/>
        </w:rPr>
      </w:pPr>
      <w:r>
        <w:rPr>
          <w:color w:val="auto"/>
          <w:highlight w:val="none"/>
        </w:rPr>
        <w:fldChar w:fldCharType="end"/>
      </w:r>
    </w:p>
    <w:p w14:paraId="237D3169">
      <w:pPr>
        <w:rPr>
          <w:color w:val="auto"/>
          <w:highlight w:val="none"/>
        </w:rPr>
        <w:sectPr>
          <w:footerReference r:id="rId4" w:type="default"/>
          <w:pgSz w:w="11906" w:h="16838"/>
          <w:pgMar w:top="1474" w:right="1474" w:bottom="1474" w:left="1588" w:header="851" w:footer="992" w:gutter="0"/>
          <w:pgNumType w:fmt="numberInDash" w:start="1"/>
          <w:cols w:space="720" w:num="1"/>
          <w:docGrid w:type="lines" w:linePitch="312" w:charSpace="0"/>
        </w:sectPr>
      </w:pPr>
    </w:p>
    <w:p w14:paraId="3A7DBFEF">
      <w:pPr>
        <w:keepNext/>
        <w:numPr>
          <w:ilvl w:val="0"/>
          <w:numId w:val="2"/>
        </w:numPr>
        <w:adjustRightInd w:val="0"/>
        <w:snapToGrid w:val="0"/>
        <w:spacing w:before="156" w:beforeLines="50" w:line="360" w:lineRule="auto"/>
        <w:jc w:val="center"/>
        <w:outlineLvl w:val="0"/>
        <w:rPr>
          <w:rFonts w:hint="eastAsia" w:ascii="黑体" w:hAnsi="黑体" w:eastAsia="黑体"/>
          <w:b/>
          <w:bCs/>
          <w:color w:val="auto"/>
          <w:sz w:val="32"/>
          <w:szCs w:val="32"/>
          <w:highlight w:val="none"/>
        </w:rPr>
      </w:pPr>
      <w:bookmarkStart w:id="0" w:name="_Toc7075"/>
      <w:r>
        <w:rPr>
          <w:rFonts w:hint="eastAsia" w:ascii="黑体" w:hAnsi="黑体" w:eastAsia="黑体"/>
          <w:b/>
          <w:bCs/>
          <w:color w:val="auto"/>
          <w:sz w:val="32"/>
          <w:szCs w:val="32"/>
          <w:highlight w:val="none"/>
        </w:rPr>
        <w:t>谈判邀请</w:t>
      </w:r>
      <w:bookmarkEnd w:id="0"/>
    </w:p>
    <w:p w14:paraId="623F98B1">
      <w:pPr>
        <w:adjustRightInd w:val="0"/>
        <w:snapToGrid w:val="0"/>
        <w:spacing w:before="156" w:beforeLines="50" w:line="360" w:lineRule="auto"/>
        <w:rPr>
          <w:rFonts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rPr>
        <w:t>(被邀请供应商名称)：</w:t>
      </w:r>
    </w:p>
    <w:p w14:paraId="5F7B7127">
      <w:pPr>
        <w:ind w:firstLine="420" w:firstLineChars="200"/>
        <w:rPr>
          <w:rFonts w:hint="eastAsia" w:ascii="宋体" w:hAnsi="宋体" w:eastAsia="宋体" w:cs="宋体"/>
          <w:i w:val="0"/>
          <w:iCs w:val="0"/>
          <w:caps w:val="0"/>
          <w:color w:val="auto"/>
          <w:spacing w:val="0"/>
          <w:sz w:val="21"/>
          <w:szCs w:val="21"/>
          <w:highlight w:val="none"/>
        </w:rPr>
      </w:pPr>
      <w:r>
        <w:rPr>
          <w:rFonts w:hint="eastAsia" w:ascii="宋体" w:hAnsi="宋体" w:cs="宋体"/>
          <w:i w:val="0"/>
          <w:iCs w:val="0"/>
          <w:caps w:val="0"/>
          <w:color w:val="auto"/>
          <w:spacing w:val="0"/>
          <w:sz w:val="21"/>
          <w:szCs w:val="21"/>
          <w:highlight w:val="none"/>
          <w:u w:val="single"/>
          <w:lang w:eastAsia="zh-CN"/>
        </w:rPr>
        <w:t xml:space="preserve"> 辰溪县卫生健康局</w:t>
      </w:r>
      <w:r>
        <w:rPr>
          <w:rFonts w:hint="eastAsia" w:ascii="宋体" w:hAnsi="宋体" w:eastAsia="宋体" w:cs="宋体"/>
          <w:i w:val="0"/>
          <w:iCs w:val="0"/>
          <w:caps w:val="0"/>
          <w:color w:val="auto"/>
          <w:spacing w:val="0"/>
          <w:sz w:val="21"/>
          <w:szCs w:val="21"/>
          <w:highlight w:val="none"/>
        </w:rPr>
        <w:t>（采购人名称）的</w:t>
      </w:r>
      <w:r>
        <w:rPr>
          <w:rFonts w:hint="eastAsia" w:ascii="宋体" w:hAnsi="宋体" w:cs="宋体"/>
          <w:i w:val="0"/>
          <w:iCs w:val="0"/>
          <w:caps w:val="0"/>
          <w:color w:val="auto"/>
          <w:spacing w:val="0"/>
          <w:sz w:val="21"/>
          <w:szCs w:val="21"/>
          <w:highlight w:val="none"/>
          <w:u w:val="single"/>
          <w:lang w:val="zh-CN"/>
        </w:rPr>
        <w:t xml:space="preserve">  辰溪县修溪镇中心卫生院血液透析室建设项目</w:t>
      </w:r>
      <w:r>
        <w:rPr>
          <w:rFonts w:hint="eastAsia" w:ascii="宋体" w:hAnsi="宋体" w:eastAsia="宋体" w:cs="宋体"/>
          <w:i w:val="0"/>
          <w:iCs w:val="0"/>
          <w:caps w:val="0"/>
          <w:color w:val="auto"/>
          <w:spacing w:val="0"/>
          <w:sz w:val="21"/>
          <w:szCs w:val="21"/>
          <w:highlight w:val="none"/>
        </w:rPr>
        <w:t>(项目名称)进行</w:t>
      </w:r>
      <w:r>
        <w:rPr>
          <w:rFonts w:hint="eastAsia" w:ascii="宋体" w:hAnsi="宋体" w:eastAsia="宋体" w:cs="宋体"/>
          <w:i w:val="0"/>
          <w:iCs w:val="0"/>
          <w:caps w:val="0"/>
          <w:color w:val="auto"/>
          <w:spacing w:val="0"/>
          <w:sz w:val="21"/>
          <w:szCs w:val="21"/>
          <w:highlight w:val="none"/>
          <w:lang w:eastAsia="zh-CN"/>
        </w:rPr>
        <w:t>竞争性谈判</w:t>
      </w:r>
      <w:r>
        <w:rPr>
          <w:rFonts w:hint="eastAsia" w:ascii="宋体" w:hAnsi="宋体" w:eastAsia="宋体" w:cs="宋体"/>
          <w:i w:val="0"/>
          <w:iCs w:val="0"/>
          <w:caps w:val="0"/>
          <w:color w:val="auto"/>
          <w:spacing w:val="0"/>
          <w:sz w:val="21"/>
          <w:szCs w:val="21"/>
          <w:highlight w:val="none"/>
        </w:rPr>
        <w:t>采购，邀请你单位参加谈判采购活动。</w:t>
      </w:r>
    </w:p>
    <w:p w14:paraId="0569F5A9">
      <w:pPr>
        <w:keepNext/>
        <w:keepLines/>
        <w:adjustRightInd w:val="0"/>
        <w:snapToGrid w:val="0"/>
        <w:spacing w:before="156" w:beforeLines="50" w:line="360" w:lineRule="auto"/>
        <w:outlineLvl w:val="1"/>
        <w:rPr>
          <w:rFonts w:ascii="黑体" w:hAnsi="黑体" w:eastAsia="黑体"/>
          <w:b/>
          <w:bCs/>
          <w:color w:val="auto"/>
          <w:sz w:val="24"/>
          <w:szCs w:val="32"/>
          <w:highlight w:val="none"/>
        </w:rPr>
      </w:pPr>
      <w:bookmarkStart w:id="1" w:name="_Toc22201055"/>
      <w:bookmarkStart w:id="2" w:name="_Toc26413"/>
      <w:r>
        <w:rPr>
          <w:rFonts w:hint="eastAsia" w:ascii="黑体" w:hAnsi="黑体" w:eastAsia="黑体"/>
          <w:b/>
          <w:bCs/>
          <w:color w:val="auto"/>
          <w:sz w:val="24"/>
          <w:szCs w:val="32"/>
          <w:highlight w:val="none"/>
        </w:rPr>
        <w:t>一、采购项目</w:t>
      </w:r>
      <w:bookmarkEnd w:id="1"/>
      <w:r>
        <w:rPr>
          <w:rFonts w:hint="eastAsia" w:ascii="黑体" w:hAnsi="黑体" w:eastAsia="黑体"/>
          <w:b/>
          <w:bCs/>
          <w:color w:val="auto"/>
          <w:sz w:val="24"/>
          <w:szCs w:val="32"/>
          <w:highlight w:val="none"/>
        </w:rPr>
        <w:t>基本情况</w:t>
      </w:r>
      <w:bookmarkEnd w:id="2"/>
    </w:p>
    <w:p w14:paraId="6B4740D0">
      <w:pPr>
        <w:adjustRightInd w:val="0"/>
        <w:snapToGrid w:val="0"/>
        <w:spacing w:line="360" w:lineRule="auto"/>
        <w:ind w:firstLine="420" w:firstLineChars="200"/>
        <w:rPr>
          <w:rFonts w:hint="eastAsia" w:ascii="宋体" w:hAnsi="宋体"/>
          <w:color w:val="auto"/>
          <w:szCs w:val="21"/>
          <w:highlight w:val="none"/>
          <w:u w:val="single"/>
          <w:lang w:eastAsia="zh-CN"/>
        </w:rPr>
      </w:pPr>
      <w:r>
        <w:rPr>
          <w:rFonts w:hint="eastAsia" w:ascii="宋体" w:hAnsi="宋体" w:eastAsia="宋体"/>
          <w:color w:val="auto"/>
          <w:szCs w:val="21"/>
          <w:highlight w:val="none"/>
        </w:rPr>
        <w:t>1、采购项目名称：</w:t>
      </w:r>
      <w:r>
        <w:rPr>
          <w:rFonts w:hint="eastAsia" w:ascii="宋体" w:hAnsi="宋体" w:cs="宋体"/>
          <w:i w:val="0"/>
          <w:iCs w:val="0"/>
          <w:caps w:val="0"/>
          <w:color w:val="auto"/>
          <w:spacing w:val="0"/>
          <w:sz w:val="21"/>
          <w:szCs w:val="21"/>
          <w:highlight w:val="none"/>
          <w:u w:val="single"/>
          <w:lang w:val="zh-CN"/>
        </w:rPr>
        <w:t>辰溪县修溪镇中心卫生院血液透析室建设项目</w:t>
      </w:r>
    </w:p>
    <w:p w14:paraId="5BC2872A">
      <w:pPr>
        <w:tabs>
          <w:tab w:val="center" w:pos="4153"/>
        </w:tabs>
        <w:adjustRightInd w:val="0"/>
        <w:snapToGrid w:val="0"/>
        <w:spacing w:line="360" w:lineRule="auto"/>
        <w:ind w:firstLine="420" w:firstLineChars="200"/>
        <w:rPr>
          <w:rFonts w:hint="default" w:ascii="宋体" w:hAnsi="宋体" w:eastAsia="宋体"/>
          <w:color w:val="auto"/>
          <w:szCs w:val="21"/>
          <w:highlight w:val="yellow"/>
          <w:lang w:val="en-US" w:eastAsia="zh-CN"/>
        </w:rPr>
      </w:pPr>
      <w:r>
        <w:rPr>
          <w:rFonts w:hint="eastAsia" w:ascii="宋体" w:hAnsi="宋体" w:eastAsia="宋体"/>
          <w:color w:val="auto"/>
          <w:szCs w:val="21"/>
          <w:highlight w:val="none"/>
        </w:rPr>
        <w:t>2、政府采购计划编号：</w:t>
      </w:r>
      <w:r>
        <w:rPr>
          <w:rFonts w:hint="eastAsia" w:ascii="宋体" w:hAnsi="宋体" w:eastAsia="宋体"/>
          <w:color w:val="auto"/>
          <w:szCs w:val="21"/>
          <w:highlight w:val="none"/>
          <w:u w:val="single"/>
        </w:rPr>
        <w:t>(2026)431223000015-1</w:t>
      </w:r>
    </w:p>
    <w:p w14:paraId="2B0200F8">
      <w:pPr>
        <w:adjustRightInd w:val="0"/>
        <w:snapToGrid w:val="0"/>
        <w:spacing w:line="360" w:lineRule="auto"/>
        <w:ind w:firstLine="420" w:firstLineChars="200"/>
        <w:rPr>
          <w:rFonts w:hint="default" w:ascii="宋体" w:hAnsi="宋体"/>
          <w:color w:val="auto"/>
          <w:szCs w:val="21"/>
          <w:highlight w:val="none"/>
          <w:u w:val="single"/>
          <w:lang w:val="en-US" w:eastAsia="zh-CN"/>
        </w:rPr>
      </w:pPr>
      <w:r>
        <w:rPr>
          <w:rFonts w:hint="eastAsia" w:ascii="宋体" w:hAnsi="宋体" w:eastAsia="宋体"/>
          <w:color w:val="auto"/>
          <w:szCs w:val="21"/>
          <w:highlight w:val="none"/>
        </w:rPr>
        <w:t>3、委托代理编号：</w:t>
      </w:r>
      <w:r>
        <w:rPr>
          <w:rFonts w:hint="eastAsia" w:ascii="宋体" w:hAnsi="宋体"/>
          <w:color w:val="auto"/>
          <w:szCs w:val="21"/>
          <w:highlight w:val="none"/>
          <w:u w:val="single"/>
          <w:lang w:val="en-US" w:eastAsia="zh-CN"/>
        </w:rPr>
        <w:t>HZY-ZC-26338</w:t>
      </w:r>
    </w:p>
    <w:p w14:paraId="4C3EF8C8">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eastAsia="宋体"/>
          <w:color w:val="auto"/>
          <w:szCs w:val="21"/>
          <w:highlight w:val="none"/>
        </w:rPr>
        <w:t>4、采购项目预算：</w:t>
      </w:r>
      <w:r>
        <w:rPr>
          <w:rFonts w:hint="eastAsia" w:ascii="宋体" w:hAnsi="宋体"/>
          <w:color w:val="auto"/>
          <w:szCs w:val="21"/>
          <w:highlight w:val="none"/>
          <w:u w:val="single"/>
          <w:lang w:val="en-US" w:eastAsia="zh-CN"/>
        </w:rPr>
        <w:t>120万元</w:t>
      </w:r>
    </w:p>
    <w:p w14:paraId="69419D46">
      <w:pPr>
        <w:adjustRightInd w:val="0"/>
        <w:snapToGrid w:val="0"/>
        <w:spacing w:line="360" w:lineRule="auto"/>
        <w:ind w:firstLine="630" w:firstLineChars="300"/>
        <w:rPr>
          <w:rFonts w:ascii="宋体" w:hAnsi="宋体"/>
          <w:bCs/>
          <w:color w:val="auto"/>
          <w:szCs w:val="21"/>
          <w:highlight w:val="none"/>
          <w:u w:val="single"/>
        </w:rPr>
      </w:pPr>
      <w:r>
        <w:rPr>
          <w:rFonts w:hint="eastAsia" w:ascii="宋体" w:hAnsi="宋体"/>
          <w:iCs/>
          <w:color w:val="auto"/>
          <w:szCs w:val="21"/>
          <w:highlight w:val="none"/>
        </w:rPr>
        <w:sym w:font="Wingdings" w:char="00A8"/>
      </w:r>
      <w:r>
        <w:rPr>
          <w:rFonts w:hint="eastAsia" w:ascii="宋体" w:hAnsi="宋体"/>
          <w:iCs/>
          <w:color w:val="auto"/>
          <w:szCs w:val="21"/>
          <w:highlight w:val="none"/>
        </w:rPr>
        <w:t>支持</w:t>
      </w:r>
      <w:r>
        <w:rPr>
          <w:rFonts w:hint="eastAsia" w:ascii="宋体" w:hAnsi="宋体"/>
          <w:bCs/>
          <w:color w:val="auto"/>
          <w:szCs w:val="21"/>
          <w:highlight w:val="none"/>
        </w:rPr>
        <w:t>预付款，预付比例：</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  </w:t>
      </w:r>
      <w:r>
        <w:rPr>
          <w:rFonts w:hint="eastAsia" w:ascii="宋体" w:hAnsi="宋体"/>
          <w:bCs/>
          <w:color w:val="auto"/>
          <w:szCs w:val="21"/>
          <w:highlight w:val="none"/>
          <w:u w:val="single"/>
        </w:rPr>
        <w:t xml:space="preserve"> </w:t>
      </w:r>
    </w:p>
    <w:p w14:paraId="261AB2D3">
      <w:pPr>
        <w:numPr>
          <w:ilvl w:val="0"/>
          <w:numId w:val="3"/>
        </w:numPr>
        <w:adjustRightInd w:val="0"/>
        <w:snapToGrid w:val="0"/>
        <w:spacing w:line="360" w:lineRule="auto"/>
        <w:ind w:firstLine="420" w:firstLineChars="200"/>
        <w:rPr>
          <w:rFonts w:hint="eastAsia" w:ascii="宋体" w:hAnsi="宋体"/>
          <w:color w:val="auto"/>
          <w:szCs w:val="21"/>
          <w:highlight w:val="none"/>
          <w:u w:val="single"/>
          <w:lang w:val="en-US" w:eastAsia="zh-CN"/>
        </w:rPr>
      </w:pPr>
      <w:r>
        <w:rPr>
          <w:rFonts w:hint="eastAsia" w:ascii="宋体" w:hAnsi="宋体"/>
          <w:bCs/>
          <w:color w:val="auto"/>
          <w:szCs w:val="21"/>
          <w:highlight w:val="none"/>
        </w:rPr>
        <w:t>本项目</w:t>
      </w:r>
      <w:r>
        <w:rPr>
          <w:rFonts w:hint="eastAsia" w:ascii="宋体" w:hAnsi="宋体"/>
          <w:color w:val="auto"/>
          <w:szCs w:val="21"/>
          <w:highlight w:val="none"/>
        </w:rPr>
        <w:t>对应的中小企业划分标准所属行业：</w:t>
      </w:r>
      <w:r>
        <w:rPr>
          <w:rFonts w:hint="eastAsia" w:ascii="宋体" w:hAnsi="宋体"/>
          <w:color w:val="auto"/>
          <w:szCs w:val="21"/>
          <w:highlight w:val="none"/>
          <w:u w:val="single"/>
          <w:lang w:val="en-US" w:eastAsia="zh-CN"/>
        </w:rPr>
        <w:t>工业</w:t>
      </w:r>
    </w:p>
    <w:p w14:paraId="25EF228C">
      <w:pPr>
        <w:numPr>
          <w:ilvl w:val="0"/>
          <w:numId w:val="0"/>
        </w:num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6、合同定价方式：</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p>
    <w:p w14:paraId="1C7B9E5E">
      <w:pPr>
        <w:adjustRightInd w:val="0"/>
        <w:snapToGrid w:val="0"/>
        <w:spacing w:line="360" w:lineRule="auto"/>
        <w:ind w:firstLine="420" w:firstLineChars="200"/>
        <w:rPr>
          <w:rFonts w:hint="eastAsia" w:ascii="宋体" w:hAnsi="宋体"/>
          <w:color w:val="auto"/>
          <w:highlight w:val="none"/>
        </w:rPr>
      </w:pPr>
      <w:r>
        <w:rPr>
          <w:rFonts w:hint="eastAsia" w:ascii="宋体" w:hAnsi="宋体"/>
          <w:bCs/>
          <w:color w:val="auto"/>
          <w:szCs w:val="21"/>
          <w:highlight w:val="none"/>
        </w:rPr>
        <w:t>7、合同履行期限：</w:t>
      </w:r>
      <w:r>
        <w:rPr>
          <w:rFonts w:hint="eastAsia" w:ascii="宋体" w:hAnsi="宋体"/>
          <w:bCs/>
          <w:color w:val="auto"/>
          <w:szCs w:val="21"/>
          <w:highlight w:val="none"/>
          <w:u w:val="single"/>
          <w:lang w:eastAsia="zh-CN"/>
        </w:rPr>
        <w:t>见采购需求</w:t>
      </w:r>
      <w:r>
        <w:rPr>
          <w:rFonts w:hint="eastAsia" w:ascii="宋体" w:hAnsi="宋体"/>
          <w:color w:val="auto"/>
          <w:highlight w:val="none"/>
        </w:rPr>
        <w:t>；</w:t>
      </w:r>
    </w:p>
    <w:p w14:paraId="16545E6D">
      <w:pPr>
        <w:adjustRightInd w:val="0"/>
        <w:snapToGrid w:val="0"/>
        <w:spacing w:line="360" w:lineRule="auto"/>
        <w:ind w:firstLine="420" w:firstLineChars="200"/>
        <w:rPr>
          <w:color w:val="auto"/>
          <w:highlight w:val="none"/>
        </w:rPr>
      </w:pPr>
      <w:r>
        <w:rPr>
          <w:rFonts w:hint="eastAsia" w:ascii="宋体" w:hAnsi="宋体"/>
          <w:bCs/>
          <w:color w:val="auto"/>
          <w:highlight w:val="none"/>
        </w:rPr>
        <w:t>8、</w:t>
      </w:r>
      <w:r>
        <w:rPr>
          <w:rFonts w:hint="eastAsia"/>
          <w:color w:val="auto"/>
          <w:highlight w:val="none"/>
        </w:rPr>
        <w:t>本项目分阶段要求供应商提供以下保证：</w:t>
      </w:r>
    </w:p>
    <w:p w14:paraId="2D04ADB8">
      <w:pPr>
        <w:pStyle w:val="29"/>
        <w:spacing w:line="360" w:lineRule="auto"/>
        <w:rPr>
          <w:rFonts w:ascii="宋体" w:hAnsi="宋体"/>
          <w:iCs/>
          <w:color w:val="auto"/>
          <w:highlight w:val="none"/>
        </w:rPr>
      </w:pPr>
      <w:r>
        <w:rPr>
          <w:rFonts w:hint="eastAsia" w:ascii="宋体" w:hAnsi="宋体"/>
          <w:iCs/>
          <w:color w:val="auto"/>
          <w:highlight w:val="none"/>
        </w:rPr>
        <w:sym w:font="Wingdings" w:char="00A8"/>
      </w:r>
      <w:r>
        <w:rPr>
          <w:rFonts w:hint="eastAsia" w:ascii="宋体" w:hAnsi="宋体"/>
          <w:color w:val="auto"/>
          <w:highlight w:val="none"/>
        </w:rPr>
        <w:t>谈判保证金：</w:t>
      </w:r>
      <w:r>
        <w:rPr>
          <w:rFonts w:hint="eastAsia" w:ascii="宋体" w:hAnsi="宋体"/>
          <w:iCs/>
          <w:color w:val="auto"/>
          <w:highlight w:val="none"/>
        </w:rPr>
        <w:t>采购项目预算的</w:t>
      </w:r>
      <w:r>
        <w:rPr>
          <w:rFonts w:hint="eastAsia" w:ascii="宋体" w:hAnsi="宋体"/>
          <w:iCs/>
          <w:color w:val="auto"/>
          <w:highlight w:val="none"/>
          <w:u w:val="single"/>
        </w:rPr>
        <w:t xml:space="preserve">  </w:t>
      </w:r>
      <w:r>
        <w:rPr>
          <w:rFonts w:hint="eastAsia" w:ascii="宋体" w:hAnsi="宋体"/>
          <w:iCs/>
          <w:color w:val="auto"/>
          <w:highlight w:val="none"/>
          <w:u w:val="single"/>
          <w:lang w:val="en-US" w:eastAsia="zh-CN"/>
        </w:rPr>
        <w:t>/</w:t>
      </w:r>
      <w:r>
        <w:rPr>
          <w:rFonts w:hint="eastAsia" w:ascii="宋体" w:hAnsi="宋体"/>
          <w:iCs/>
          <w:color w:val="auto"/>
          <w:highlight w:val="none"/>
          <w:u w:val="single"/>
        </w:rPr>
        <w:t xml:space="preserve">  </w:t>
      </w:r>
      <w:r>
        <w:rPr>
          <w:rFonts w:hint="eastAsia" w:ascii="宋体" w:hAnsi="宋体"/>
          <w:iCs/>
          <w:color w:val="auto"/>
          <w:highlight w:val="none"/>
        </w:rPr>
        <w:t>%</w:t>
      </w:r>
      <w:r>
        <w:rPr>
          <w:rFonts w:hint="eastAsia" w:ascii="宋体" w:hAnsi="宋体"/>
          <w:color w:val="auto"/>
          <w:highlight w:val="none"/>
        </w:rPr>
        <w:t>；</w:t>
      </w:r>
    </w:p>
    <w:p w14:paraId="7E119585">
      <w:pPr>
        <w:pStyle w:val="29"/>
        <w:spacing w:line="360" w:lineRule="auto"/>
        <w:rPr>
          <w:rFonts w:ascii="宋体" w:hAnsi="宋体"/>
          <w:iCs/>
          <w:color w:val="auto"/>
          <w:highlight w:val="none"/>
        </w:rPr>
      </w:pPr>
      <w:r>
        <w:rPr>
          <w:rFonts w:hint="eastAsia" w:ascii="宋体" w:hAnsi="宋体"/>
          <w:iCs/>
          <w:color w:val="auto"/>
          <w:highlight w:val="none"/>
        </w:rPr>
        <w:sym w:font="Wingdings" w:char="00A8"/>
      </w:r>
      <w:r>
        <w:rPr>
          <w:rFonts w:hint="eastAsia" w:ascii="宋体" w:hAnsi="宋体"/>
          <w:color w:val="auto"/>
          <w:highlight w:val="none"/>
        </w:rPr>
        <w:t>履约保证金：</w:t>
      </w:r>
      <w:r>
        <w:rPr>
          <w:rFonts w:hint="eastAsia" w:ascii="宋体" w:hAnsi="宋体"/>
          <w:iCs/>
          <w:color w:val="auto"/>
          <w:highlight w:val="none"/>
        </w:rPr>
        <w:t>中标金额的</w:t>
      </w:r>
      <w:r>
        <w:rPr>
          <w:rFonts w:hint="eastAsia" w:ascii="宋体" w:hAnsi="宋体"/>
          <w:iCs/>
          <w:color w:val="auto"/>
          <w:highlight w:val="none"/>
          <w:u w:val="single"/>
        </w:rPr>
        <w:t xml:space="preserve">  </w:t>
      </w:r>
      <w:r>
        <w:rPr>
          <w:rFonts w:hint="eastAsia" w:ascii="宋体" w:hAnsi="宋体"/>
          <w:iCs/>
          <w:color w:val="auto"/>
          <w:highlight w:val="none"/>
          <w:u w:val="single"/>
          <w:lang w:val="en-US" w:eastAsia="zh-CN"/>
        </w:rPr>
        <w:t>/</w:t>
      </w:r>
      <w:r>
        <w:rPr>
          <w:rFonts w:hint="eastAsia" w:ascii="宋体" w:hAnsi="宋体"/>
          <w:iCs/>
          <w:color w:val="auto"/>
          <w:highlight w:val="none"/>
          <w:u w:val="single"/>
        </w:rPr>
        <w:t xml:space="preserve">  </w:t>
      </w:r>
      <w:r>
        <w:rPr>
          <w:rFonts w:hint="eastAsia" w:ascii="宋体" w:hAnsi="宋体"/>
          <w:iCs/>
          <w:color w:val="auto"/>
          <w:highlight w:val="none"/>
        </w:rPr>
        <w:t>%</w:t>
      </w:r>
      <w:r>
        <w:rPr>
          <w:rFonts w:hint="eastAsia" w:ascii="宋体" w:hAnsi="宋体"/>
          <w:color w:val="auto"/>
          <w:highlight w:val="none"/>
        </w:rPr>
        <w:t>；</w:t>
      </w:r>
    </w:p>
    <w:p w14:paraId="38D0F72F">
      <w:pPr>
        <w:pStyle w:val="29"/>
        <w:spacing w:line="360" w:lineRule="auto"/>
        <w:rPr>
          <w:rFonts w:hint="eastAsia" w:ascii="宋体" w:hAnsi="宋体"/>
          <w:iCs/>
          <w:color w:val="auto"/>
          <w:highlight w:val="none"/>
        </w:rPr>
      </w:pPr>
      <w:r>
        <w:rPr>
          <w:rFonts w:hint="eastAsia" w:ascii="宋体" w:hAnsi="宋体"/>
          <w:iCs/>
          <w:color w:val="auto"/>
          <w:highlight w:val="none"/>
        </w:rPr>
        <w:sym w:font="Wingdings" w:char="00A8"/>
      </w:r>
      <w:r>
        <w:rPr>
          <w:rFonts w:hint="eastAsia" w:ascii="宋体" w:hAnsi="宋体"/>
          <w:iCs/>
          <w:color w:val="auto"/>
          <w:highlight w:val="none"/>
        </w:rPr>
        <w:t>预付款保证金：预付款的</w:t>
      </w:r>
      <w:r>
        <w:rPr>
          <w:rFonts w:hint="eastAsia" w:ascii="宋体" w:hAnsi="宋体"/>
          <w:iCs/>
          <w:color w:val="auto"/>
          <w:highlight w:val="none"/>
          <w:u w:val="single"/>
        </w:rPr>
        <w:t xml:space="preserve">  </w:t>
      </w:r>
      <w:r>
        <w:rPr>
          <w:rFonts w:hint="eastAsia" w:ascii="宋体" w:hAnsi="宋体"/>
          <w:iCs/>
          <w:color w:val="auto"/>
          <w:highlight w:val="none"/>
          <w:u w:val="single"/>
          <w:lang w:val="en-US" w:eastAsia="zh-CN"/>
        </w:rPr>
        <w:t>/</w:t>
      </w:r>
      <w:r>
        <w:rPr>
          <w:rFonts w:hint="eastAsia" w:ascii="宋体" w:hAnsi="宋体"/>
          <w:iCs/>
          <w:color w:val="auto"/>
          <w:highlight w:val="none"/>
          <w:u w:val="single"/>
        </w:rPr>
        <w:t xml:space="preserve">  </w:t>
      </w:r>
      <w:r>
        <w:rPr>
          <w:rFonts w:hint="eastAsia" w:ascii="宋体" w:hAnsi="宋体"/>
          <w:iCs/>
          <w:color w:val="auto"/>
          <w:highlight w:val="none"/>
        </w:rPr>
        <w:t>%；</w:t>
      </w:r>
    </w:p>
    <w:p w14:paraId="4D98D6D9">
      <w:pPr>
        <w:pStyle w:val="29"/>
        <w:spacing w:line="360" w:lineRule="auto"/>
        <w:rPr>
          <w:rFonts w:hint="eastAsia" w:ascii="宋体" w:hAnsi="宋体"/>
          <w:iCs/>
          <w:color w:val="auto"/>
          <w:highlight w:val="none"/>
        </w:rPr>
      </w:pPr>
      <w:r>
        <w:rPr>
          <w:rFonts w:hint="eastAsia" w:ascii="宋体" w:hAnsi="宋体"/>
          <w:iCs/>
          <w:color w:val="auto"/>
          <w:highlight w:val="none"/>
        </w:rPr>
        <w:sym w:font="Wingdings" w:char="00A8"/>
      </w:r>
      <w:r>
        <w:rPr>
          <w:rFonts w:hint="eastAsia" w:ascii="宋体" w:hAnsi="宋体"/>
          <w:iCs/>
          <w:color w:val="auto"/>
          <w:highlight w:val="none"/>
        </w:rPr>
        <w:t>质量保证金：合同金额的</w:t>
      </w:r>
      <w:r>
        <w:rPr>
          <w:rFonts w:hint="eastAsia" w:ascii="宋体" w:hAnsi="宋体"/>
          <w:iCs/>
          <w:color w:val="auto"/>
          <w:highlight w:val="none"/>
          <w:u w:val="single"/>
        </w:rPr>
        <w:t xml:space="preserve">  </w:t>
      </w:r>
      <w:r>
        <w:rPr>
          <w:rFonts w:hint="eastAsia" w:ascii="宋体" w:hAnsi="宋体"/>
          <w:iCs/>
          <w:color w:val="auto"/>
          <w:highlight w:val="none"/>
          <w:u w:val="single"/>
          <w:lang w:val="en-US" w:eastAsia="zh-CN"/>
        </w:rPr>
        <w:t>/</w:t>
      </w:r>
      <w:r>
        <w:rPr>
          <w:rFonts w:hint="eastAsia" w:ascii="宋体" w:hAnsi="宋体"/>
          <w:iCs/>
          <w:color w:val="auto"/>
          <w:highlight w:val="none"/>
          <w:u w:val="single"/>
        </w:rPr>
        <w:t xml:space="preserve">  </w:t>
      </w:r>
      <w:r>
        <w:rPr>
          <w:rFonts w:hint="eastAsia" w:ascii="宋体" w:hAnsi="宋体"/>
          <w:iCs/>
          <w:color w:val="auto"/>
          <w:highlight w:val="none"/>
        </w:rPr>
        <w:t>%。</w:t>
      </w:r>
    </w:p>
    <w:p w14:paraId="46A24040">
      <w:pPr>
        <w:keepNext/>
        <w:keepLines/>
        <w:adjustRightInd w:val="0"/>
        <w:snapToGrid w:val="0"/>
        <w:spacing w:before="156" w:beforeLines="50" w:line="360" w:lineRule="auto"/>
        <w:outlineLvl w:val="1"/>
        <w:rPr>
          <w:rFonts w:ascii="黑体" w:hAnsi="黑体" w:eastAsia="黑体"/>
          <w:b/>
          <w:bCs/>
          <w:color w:val="auto"/>
          <w:sz w:val="24"/>
          <w:szCs w:val="32"/>
          <w:highlight w:val="none"/>
        </w:rPr>
      </w:pPr>
      <w:r>
        <w:rPr>
          <w:rFonts w:hint="eastAsia" w:ascii="黑体" w:hAnsi="黑体" w:eastAsia="黑体"/>
          <w:b/>
          <w:bCs/>
          <w:color w:val="auto"/>
          <w:sz w:val="24"/>
          <w:szCs w:val="32"/>
          <w:highlight w:val="none"/>
        </w:rPr>
        <w:t>二、采购需求</w:t>
      </w:r>
    </w:p>
    <w:tbl>
      <w:tblPr>
        <w:tblStyle w:val="20"/>
        <w:tblW w:w="9937" w:type="dxa"/>
        <w:tblInd w:w="-36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20"/>
        <w:gridCol w:w="1745"/>
        <w:gridCol w:w="2064"/>
        <w:gridCol w:w="1089"/>
        <w:gridCol w:w="868"/>
        <w:gridCol w:w="1147"/>
        <w:gridCol w:w="1202"/>
        <w:gridCol w:w="1202"/>
      </w:tblGrid>
      <w:tr w14:paraId="3D952E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7" w:hRule="atLeast"/>
        </w:trPr>
        <w:tc>
          <w:tcPr>
            <w:tcW w:w="620" w:type="dxa"/>
            <w:noWrap w:val="0"/>
            <w:vAlign w:val="center"/>
          </w:tcPr>
          <w:p w14:paraId="70C2583A">
            <w:pPr>
              <w:adjustRightInd w:val="0"/>
              <w:snapToGrid w:val="0"/>
              <w:jc w:val="center"/>
              <w:rPr>
                <w:color w:val="auto"/>
                <w:szCs w:val="21"/>
                <w:highlight w:val="none"/>
              </w:rPr>
            </w:pPr>
            <w:r>
              <w:rPr>
                <w:rFonts w:hint="eastAsia"/>
                <w:color w:val="auto"/>
                <w:szCs w:val="21"/>
                <w:highlight w:val="none"/>
              </w:rPr>
              <w:t xml:space="preserve">包号 </w:t>
            </w:r>
          </w:p>
        </w:tc>
        <w:tc>
          <w:tcPr>
            <w:tcW w:w="1745" w:type="dxa"/>
            <w:noWrap w:val="0"/>
            <w:vAlign w:val="center"/>
          </w:tcPr>
          <w:p w14:paraId="6A2F8645">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包名称</w:t>
            </w:r>
          </w:p>
        </w:tc>
        <w:tc>
          <w:tcPr>
            <w:tcW w:w="2064" w:type="dxa"/>
            <w:noWrap w:val="0"/>
            <w:vAlign w:val="center"/>
          </w:tcPr>
          <w:p w14:paraId="4823CEB5">
            <w:pPr>
              <w:adjustRightInd w:val="0"/>
              <w:snapToGrid w:val="0"/>
              <w:jc w:val="center"/>
              <w:rPr>
                <w:color w:val="auto"/>
                <w:szCs w:val="21"/>
                <w:highlight w:val="none"/>
              </w:rPr>
            </w:pPr>
            <w:r>
              <w:rPr>
                <w:rFonts w:hint="eastAsia"/>
                <w:color w:val="auto"/>
                <w:szCs w:val="21"/>
                <w:highlight w:val="none"/>
              </w:rPr>
              <w:t>标的名称</w:t>
            </w:r>
          </w:p>
        </w:tc>
        <w:tc>
          <w:tcPr>
            <w:tcW w:w="1089" w:type="dxa"/>
            <w:tcBorders>
              <w:left w:val="single" w:color="auto" w:sz="4" w:space="0"/>
            </w:tcBorders>
            <w:noWrap w:val="0"/>
            <w:vAlign w:val="center"/>
          </w:tcPr>
          <w:p w14:paraId="67743C96">
            <w:pPr>
              <w:adjustRightInd w:val="0"/>
              <w:snapToGrid w:val="0"/>
              <w:jc w:val="center"/>
              <w:rPr>
                <w:color w:val="auto"/>
                <w:szCs w:val="21"/>
                <w:highlight w:val="none"/>
              </w:rPr>
            </w:pPr>
            <w:r>
              <w:rPr>
                <w:rFonts w:hint="eastAsia"/>
                <w:color w:val="auto"/>
                <w:szCs w:val="21"/>
                <w:highlight w:val="none"/>
              </w:rPr>
              <w:t>简要技术要求</w:t>
            </w:r>
          </w:p>
        </w:tc>
        <w:tc>
          <w:tcPr>
            <w:tcW w:w="868" w:type="dxa"/>
            <w:tcBorders>
              <w:left w:val="single" w:color="auto" w:sz="4" w:space="0"/>
            </w:tcBorders>
            <w:noWrap w:val="0"/>
            <w:vAlign w:val="center"/>
          </w:tcPr>
          <w:p w14:paraId="2D96F52D">
            <w:pPr>
              <w:adjustRightInd w:val="0"/>
              <w:snapToGrid w:val="0"/>
              <w:jc w:val="center"/>
              <w:rPr>
                <w:rFonts w:ascii="宋体" w:hAnsi="宋体" w:cs="宋体"/>
                <w:color w:val="auto"/>
                <w:kern w:val="0"/>
                <w:szCs w:val="21"/>
                <w:highlight w:val="none"/>
              </w:rPr>
            </w:pPr>
            <w:r>
              <w:rPr>
                <w:rFonts w:hint="eastAsia"/>
                <w:color w:val="auto"/>
                <w:szCs w:val="21"/>
                <w:highlight w:val="none"/>
              </w:rPr>
              <w:t>数量</w:t>
            </w:r>
          </w:p>
        </w:tc>
        <w:tc>
          <w:tcPr>
            <w:tcW w:w="1147" w:type="dxa"/>
            <w:noWrap w:val="0"/>
            <w:vAlign w:val="center"/>
          </w:tcPr>
          <w:p w14:paraId="4DBEDCB9">
            <w:pPr>
              <w:adjustRightInd w:val="0"/>
              <w:snapToGrid w:val="0"/>
              <w:jc w:val="center"/>
              <w:rPr>
                <w:color w:val="auto"/>
                <w:szCs w:val="21"/>
                <w:highlight w:val="none"/>
              </w:rPr>
            </w:pPr>
            <w:r>
              <w:rPr>
                <w:rFonts w:hint="eastAsia"/>
                <w:color w:val="auto"/>
                <w:szCs w:val="21"/>
                <w:highlight w:val="none"/>
              </w:rPr>
              <w:t>标的预算</w:t>
            </w:r>
          </w:p>
        </w:tc>
        <w:tc>
          <w:tcPr>
            <w:tcW w:w="1202" w:type="dxa"/>
            <w:noWrap w:val="0"/>
            <w:vAlign w:val="center"/>
          </w:tcPr>
          <w:p w14:paraId="384C1C75">
            <w:pPr>
              <w:adjustRightInd w:val="0"/>
              <w:snapToGrid w:val="0"/>
              <w:jc w:val="center"/>
              <w:rPr>
                <w:color w:val="auto"/>
                <w:szCs w:val="21"/>
                <w:highlight w:val="none"/>
              </w:rPr>
            </w:pPr>
            <w:r>
              <w:rPr>
                <w:rFonts w:hint="eastAsia"/>
                <w:color w:val="auto"/>
                <w:szCs w:val="21"/>
                <w:highlight w:val="none"/>
              </w:rPr>
              <w:t>最高限价</w:t>
            </w:r>
          </w:p>
        </w:tc>
        <w:tc>
          <w:tcPr>
            <w:tcW w:w="1202" w:type="dxa"/>
            <w:noWrap w:val="0"/>
            <w:vAlign w:val="center"/>
          </w:tcPr>
          <w:p w14:paraId="43F55873">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代理费服务费最高限价</w:t>
            </w:r>
          </w:p>
        </w:tc>
      </w:tr>
      <w:tr w14:paraId="5F0DE1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trPr>
        <w:tc>
          <w:tcPr>
            <w:tcW w:w="620" w:type="dxa"/>
            <w:vMerge w:val="restart"/>
            <w:noWrap w:val="0"/>
            <w:vAlign w:val="center"/>
          </w:tcPr>
          <w:p w14:paraId="4CA86C0F">
            <w:pPr>
              <w:adjustRightInd w:val="0"/>
              <w:snapToGrid w:val="0"/>
              <w:spacing w:before="156" w:beforeLines="50" w:line="360" w:lineRule="auto"/>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1745" w:type="dxa"/>
            <w:vMerge w:val="restart"/>
            <w:noWrap w:val="0"/>
            <w:vAlign w:val="center"/>
          </w:tcPr>
          <w:p w14:paraId="2BC34512">
            <w:pPr>
              <w:adjustRightInd w:val="0"/>
              <w:snapToGrid w:val="0"/>
              <w:spacing w:before="156" w:beforeLines="50" w:line="360" w:lineRule="auto"/>
              <w:jc w:val="both"/>
              <w:rPr>
                <w:rFonts w:hint="eastAsia" w:ascii="宋体" w:hAnsi="宋体" w:cs="宋体"/>
                <w:i w:val="0"/>
                <w:iCs w:val="0"/>
                <w:caps w:val="0"/>
                <w:color w:val="auto"/>
                <w:spacing w:val="0"/>
                <w:sz w:val="21"/>
                <w:szCs w:val="21"/>
                <w:highlight w:val="none"/>
                <w:u w:val="none"/>
                <w:lang w:val="zh-CN"/>
              </w:rPr>
            </w:pPr>
            <w:r>
              <w:rPr>
                <w:rFonts w:hint="eastAsia" w:ascii="宋体" w:hAnsi="宋体" w:cs="宋体"/>
                <w:i w:val="0"/>
                <w:iCs w:val="0"/>
                <w:caps w:val="0"/>
                <w:color w:val="auto"/>
                <w:spacing w:val="0"/>
                <w:sz w:val="21"/>
                <w:szCs w:val="21"/>
                <w:highlight w:val="none"/>
                <w:u w:val="none"/>
                <w:lang w:val="zh-CN"/>
              </w:rPr>
              <w:t>辰溪县修溪镇中心卫生院血液透析室建设项目</w:t>
            </w:r>
          </w:p>
        </w:tc>
        <w:tc>
          <w:tcPr>
            <w:tcW w:w="2064" w:type="dxa"/>
            <w:shd w:val="clear" w:color="auto" w:fill="auto"/>
            <w:noWrap w:val="0"/>
            <w:vAlign w:val="center"/>
          </w:tcPr>
          <w:p w14:paraId="289EEBF7">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2"/>
                <w:sz w:val="21"/>
                <w:szCs w:val="21"/>
                <w:u w:val="none"/>
                <w:lang w:val="en-US" w:eastAsia="zh-CN" w:bidi="ar-SA"/>
              </w:rPr>
              <w:t>血液透析机</w:t>
            </w:r>
          </w:p>
        </w:tc>
        <w:tc>
          <w:tcPr>
            <w:tcW w:w="1089" w:type="dxa"/>
            <w:vMerge w:val="restart"/>
            <w:tcBorders>
              <w:left w:val="single" w:color="auto" w:sz="4" w:space="0"/>
            </w:tcBorders>
            <w:noWrap w:val="0"/>
            <w:vAlign w:val="center"/>
          </w:tcPr>
          <w:p w14:paraId="33BA73E6">
            <w:pPr>
              <w:adjustRightInd w:val="0"/>
              <w:snapToGrid w:val="0"/>
              <w:spacing w:before="156" w:beforeLines="50" w:line="360" w:lineRule="auto"/>
              <w:jc w:val="both"/>
              <w:rPr>
                <w:rFonts w:hint="default" w:eastAsia="宋体"/>
                <w:color w:val="auto"/>
                <w:szCs w:val="21"/>
                <w:highlight w:val="none"/>
                <w:u w:val="none"/>
                <w:lang w:val="en-US" w:eastAsia="zh-CN"/>
              </w:rPr>
            </w:pPr>
            <w:r>
              <w:rPr>
                <w:rFonts w:hint="eastAsia"/>
                <w:color w:val="auto"/>
                <w:szCs w:val="21"/>
                <w:highlight w:val="none"/>
                <w:u w:val="none"/>
                <w:lang w:val="en-US" w:eastAsia="zh-CN"/>
              </w:rPr>
              <w:t>详见采购需求</w:t>
            </w:r>
          </w:p>
        </w:tc>
        <w:tc>
          <w:tcPr>
            <w:tcW w:w="868" w:type="dxa"/>
            <w:tcBorders>
              <w:left w:val="single" w:color="auto" w:sz="4" w:space="0"/>
            </w:tcBorders>
            <w:noWrap w:val="0"/>
            <w:vAlign w:val="center"/>
          </w:tcPr>
          <w:p w14:paraId="31A49613">
            <w:pPr>
              <w:adjustRightInd w:val="0"/>
              <w:snapToGrid w:val="0"/>
              <w:spacing w:before="156" w:beforeLines="50" w:line="360" w:lineRule="auto"/>
              <w:jc w:val="center"/>
              <w:rPr>
                <w:rFonts w:hint="default" w:eastAsiaTheme="minorEastAsia"/>
                <w:color w:val="auto"/>
                <w:szCs w:val="21"/>
                <w:highlight w:val="none"/>
                <w:u w:val="none"/>
                <w:lang w:val="en-US" w:eastAsia="zh-CN"/>
              </w:rPr>
            </w:pPr>
            <w:r>
              <w:rPr>
                <w:rFonts w:hint="eastAsia" w:ascii="Times New Roman" w:hAnsi="Times New Roman" w:eastAsia="宋体" w:cs="Times New Roman"/>
                <w:color w:val="auto"/>
                <w:szCs w:val="21"/>
                <w:lang w:val="en-US" w:eastAsia="zh-CN"/>
              </w:rPr>
              <w:t>8台</w:t>
            </w:r>
          </w:p>
        </w:tc>
        <w:tc>
          <w:tcPr>
            <w:tcW w:w="1147" w:type="dxa"/>
            <w:vMerge w:val="restart"/>
            <w:noWrap w:val="0"/>
            <w:vAlign w:val="center"/>
          </w:tcPr>
          <w:p w14:paraId="6717CA20">
            <w:pPr>
              <w:adjustRightInd w:val="0"/>
              <w:snapToGrid w:val="0"/>
              <w:spacing w:before="156" w:beforeLines="50" w:line="360" w:lineRule="auto"/>
              <w:jc w:val="center"/>
              <w:rPr>
                <w:color w:val="auto"/>
                <w:szCs w:val="21"/>
                <w:highlight w:val="none"/>
                <w:u w:val="none"/>
              </w:rPr>
            </w:pPr>
            <w:r>
              <w:rPr>
                <w:rFonts w:hint="eastAsia" w:ascii="宋体" w:hAnsi="宋体"/>
                <w:bCs/>
                <w:color w:val="auto"/>
                <w:szCs w:val="21"/>
                <w:highlight w:val="none"/>
                <w:u w:val="none"/>
                <w:lang w:val="en-US" w:eastAsia="zh-CN"/>
              </w:rPr>
              <w:t>120万元</w:t>
            </w:r>
          </w:p>
        </w:tc>
        <w:tc>
          <w:tcPr>
            <w:tcW w:w="1202" w:type="dxa"/>
            <w:vMerge w:val="restart"/>
            <w:noWrap w:val="0"/>
            <w:vAlign w:val="center"/>
          </w:tcPr>
          <w:p w14:paraId="62BA2EEA">
            <w:pPr>
              <w:adjustRightInd w:val="0"/>
              <w:snapToGrid w:val="0"/>
              <w:spacing w:before="156" w:beforeLines="50" w:line="360" w:lineRule="auto"/>
              <w:jc w:val="center"/>
              <w:rPr>
                <w:color w:val="auto"/>
                <w:szCs w:val="21"/>
                <w:highlight w:val="none"/>
                <w:u w:val="none"/>
              </w:rPr>
            </w:pPr>
            <w:r>
              <w:rPr>
                <w:rFonts w:hint="eastAsia" w:ascii="宋体" w:hAnsi="宋体"/>
                <w:bCs/>
                <w:color w:val="auto"/>
                <w:szCs w:val="21"/>
                <w:highlight w:val="none"/>
                <w:u w:val="none"/>
                <w:lang w:val="en-US" w:eastAsia="zh-CN"/>
              </w:rPr>
              <w:t>120万元</w:t>
            </w:r>
          </w:p>
        </w:tc>
        <w:tc>
          <w:tcPr>
            <w:tcW w:w="1202" w:type="dxa"/>
            <w:vMerge w:val="restart"/>
            <w:noWrap w:val="0"/>
            <w:vAlign w:val="center"/>
          </w:tcPr>
          <w:p w14:paraId="5898EE6A">
            <w:pPr>
              <w:adjustRightInd w:val="0"/>
              <w:snapToGrid w:val="0"/>
              <w:spacing w:before="156" w:beforeLines="50" w:line="360" w:lineRule="auto"/>
              <w:jc w:val="center"/>
              <w:rPr>
                <w:rFonts w:hint="eastAsia" w:ascii="宋体" w:hAnsi="宋体"/>
                <w:bCs/>
                <w:color w:val="auto"/>
                <w:szCs w:val="21"/>
                <w:highlight w:val="none"/>
                <w:u w:val="none"/>
                <w:lang w:val="en-US" w:eastAsia="zh-CN"/>
              </w:rPr>
            </w:pPr>
            <w:r>
              <w:rPr>
                <w:rFonts w:hint="eastAsia" w:ascii="宋体" w:hAnsi="宋体"/>
                <w:bCs/>
                <w:color w:val="auto"/>
                <w:szCs w:val="21"/>
                <w:highlight w:val="none"/>
                <w:u w:val="none"/>
                <w:lang w:val="en-US" w:eastAsia="zh-CN"/>
              </w:rPr>
              <w:t>17200元</w:t>
            </w:r>
          </w:p>
        </w:tc>
      </w:tr>
      <w:tr w14:paraId="51D7F8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46" w:hRule="atLeast"/>
        </w:trPr>
        <w:tc>
          <w:tcPr>
            <w:tcW w:w="620" w:type="dxa"/>
            <w:vMerge w:val="continue"/>
            <w:noWrap w:val="0"/>
            <w:vAlign w:val="center"/>
          </w:tcPr>
          <w:p w14:paraId="7D731948">
            <w:pPr>
              <w:adjustRightInd w:val="0"/>
              <w:snapToGrid w:val="0"/>
              <w:spacing w:before="156" w:beforeLines="50" w:line="360" w:lineRule="auto"/>
              <w:jc w:val="center"/>
              <w:rPr>
                <w:rFonts w:hint="eastAsia"/>
                <w:color w:val="auto"/>
                <w:szCs w:val="21"/>
                <w:highlight w:val="none"/>
                <w:lang w:val="en-US" w:eastAsia="zh-CN"/>
              </w:rPr>
            </w:pPr>
          </w:p>
        </w:tc>
        <w:tc>
          <w:tcPr>
            <w:tcW w:w="1745" w:type="dxa"/>
            <w:vMerge w:val="continue"/>
            <w:noWrap w:val="0"/>
            <w:vAlign w:val="center"/>
          </w:tcPr>
          <w:p w14:paraId="153E727C">
            <w:pPr>
              <w:adjustRightInd w:val="0"/>
              <w:snapToGrid w:val="0"/>
              <w:spacing w:before="156" w:beforeLines="50" w:line="360" w:lineRule="auto"/>
              <w:jc w:val="both"/>
              <w:rPr>
                <w:rFonts w:hint="eastAsia" w:ascii="宋体" w:hAnsi="宋体" w:cs="宋体"/>
                <w:i w:val="0"/>
                <w:iCs w:val="0"/>
                <w:caps w:val="0"/>
                <w:color w:val="auto"/>
                <w:spacing w:val="0"/>
                <w:sz w:val="21"/>
                <w:szCs w:val="21"/>
                <w:highlight w:val="none"/>
                <w:u w:val="none"/>
                <w:lang w:val="zh-CN"/>
              </w:rPr>
            </w:pPr>
          </w:p>
        </w:tc>
        <w:tc>
          <w:tcPr>
            <w:tcW w:w="2064" w:type="dxa"/>
            <w:shd w:val="clear" w:color="auto" w:fill="auto"/>
            <w:noWrap w:val="0"/>
            <w:vAlign w:val="center"/>
          </w:tcPr>
          <w:p w14:paraId="54481AD8">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zh-CN" w:eastAsia="zh-CN" w:bidi="ar-SA"/>
              </w:rPr>
            </w:pPr>
            <w:r>
              <w:rPr>
                <w:rFonts w:hint="eastAsia" w:ascii="宋体" w:hAnsi="宋体" w:cs="宋体"/>
                <w:i w:val="0"/>
                <w:iCs w:val="0"/>
                <w:color w:val="auto"/>
                <w:kern w:val="2"/>
                <w:sz w:val="21"/>
                <w:szCs w:val="21"/>
                <w:u w:val="none"/>
                <w:lang w:val="zh-CN" w:eastAsia="zh-CN" w:bidi="ar-SA"/>
              </w:rPr>
              <w:t>血液透析用制水设备</w:t>
            </w:r>
          </w:p>
        </w:tc>
        <w:tc>
          <w:tcPr>
            <w:tcW w:w="1089" w:type="dxa"/>
            <w:vMerge w:val="continue"/>
            <w:tcBorders>
              <w:left w:val="single" w:color="auto" w:sz="4" w:space="0"/>
            </w:tcBorders>
            <w:noWrap w:val="0"/>
            <w:vAlign w:val="center"/>
          </w:tcPr>
          <w:p w14:paraId="3F91A607">
            <w:pPr>
              <w:adjustRightInd w:val="0"/>
              <w:snapToGrid w:val="0"/>
              <w:spacing w:before="156" w:beforeLines="50" w:line="360" w:lineRule="auto"/>
              <w:jc w:val="both"/>
              <w:rPr>
                <w:rFonts w:hint="eastAsia"/>
                <w:color w:val="auto"/>
                <w:szCs w:val="21"/>
                <w:highlight w:val="none"/>
                <w:u w:val="none"/>
                <w:lang w:val="en-US" w:eastAsia="zh-CN"/>
              </w:rPr>
            </w:pPr>
          </w:p>
        </w:tc>
        <w:tc>
          <w:tcPr>
            <w:tcW w:w="868" w:type="dxa"/>
            <w:tcBorders>
              <w:left w:val="single" w:color="auto" w:sz="4" w:space="0"/>
            </w:tcBorders>
            <w:noWrap w:val="0"/>
            <w:vAlign w:val="center"/>
          </w:tcPr>
          <w:p w14:paraId="26CD2AA8">
            <w:pPr>
              <w:adjustRightInd w:val="0"/>
              <w:snapToGrid w:val="0"/>
              <w:spacing w:before="156" w:beforeLines="50" w:line="360" w:lineRule="auto"/>
              <w:jc w:val="center"/>
              <w:rPr>
                <w:rFonts w:hint="eastAsia"/>
                <w:color w:val="auto"/>
                <w:szCs w:val="21"/>
                <w:highlight w:val="none"/>
                <w:u w:val="none"/>
                <w:lang w:val="en-US" w:eastAsia="zh-CN"/>
              </w:rPr>
            </w:pPr>
            <w:r>
              <w:rPr>
                <w:rFonts w:hint="eastAsia" w:ascii="Times New Roman" w:hAnsi="Times New Roman" w:eastAsia="宋体" w:cs="Times New Roman"/>
                <w:color w:val="auto"/>
                <w:szCs w:val="21"/>
                <w:lang w:val="en-US" w:eastAsia="zh-CN"/>
              </w:rPr>
              <w:t>1套</w:t>
            </w:r>
          </w:p>
        </w:tc>
        <w:tc>
          <w:tcPr>
            <w:tcW w:w="1147" w:type="dxa"/>
            <w:vMerge w:val="continue"/>
            <w:noWrap w:val="0"/>
            <w:vAlign w:val="center"/>
          </w:tcPr>
          <w:p w14:paraId="64458205">
            <w:pPr>
              <w:adjustRightInd w:val="0"/>
              <w:snapToGrid w:val="0"/>
              <w:spacing w:before="156" w:beforeLines="50" w:line="360" w:lineRule="auto"/>
              <w:jc w:val="center"/>
              <w:rPr>
                <w:rFonts w:hint="eastAsia" w:ascii="宋体" w:hAnsi="宋体"/>
                <w:bCs/>
                <w:color w:val="auto"/>
                <w:szCs w:val="21"/>
                <w:highlight w:val="none"/>
                <w:u w:val="none"/>
                <w:lang w:val="en-US" w:eastAsia="zh-CN"/>
              </w:rPr>
            </w:pPr>
          </w:p>
        </w:tc>
        <w:tc>
          <w:tcPr>
            <w:tcW w:w="1202" w:type="dxa"/>
            <w:vMerge w:val="continue"/>
            <w:noWrap w:val="0"/>
            <w:vAlign w:val="center"/>
          </w:tcPr>
          <w:p w14:paraId="1173E65E">
            <w:pPr>
              <w:adjustRightInd w:val="0"/>
              <w:snapToGrid w:val="0"/>
              <w:spacing w:before="156" w:beforeLines="50" w:line="360" w:lineRule="auto"/>
              <w:jc w:val="center"/>
              <w:rPr>
                <w:rFonts w:hint="eastAsia" w:ascii="宋体" w:hAnsi="宋体"/>
                <w:bCs/>
                <w:color w:val="auto"/>
                <w:szCs w:val="21"/>
                <w:highlight w:val="none"/>
                <w:u w:val="none"/>
                <w:lang w:val="en-US" w:eastAsia="zh-CN"/>
              </w:rPr>
            </w:pPr>
          </w:p>
        </w:tc>
        <w:tc>
          <w:tcPr>
            <w:tcW w:w="1202" w:type="dxa"/>
            <w:vMerge w:val="continue"/>
            <w:noWrap w:val="0"/>
            <w:vAlign w:val="center"/>
          </w:tcPr>
          <w:p w14:paraId="73F50C03">
            <w:pPr>
              <w:adjustRightInd w:val="0"/>
              <w:snapToGrid w:val="0"/>
              <w:spacing w:before="156" w:beforeLines="50" w:line="360" w:lineRule="auto"/>
              <w:jc w:val="center"/>
              <w:rPr>
                <w:rFonts w:hint="eastAsia" w:ascii="宋体" w:hAnsi="宋体"/>
                <w:bCs/>
                <w:color w:val="auto"/>
                <w:szCs w:val="21"/>
                <w:highlight w:val="none"/>
                <w:u w:val="none"/>
                <w:lang w:val="en-US" w:eastAsia="zh-CN"/>
              </w:rPr>
            </w:pPr>
          </w:p>
        </w:tc>
      </w:tr>
      <w:tr w14:paraId="462FB1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4" w:hRule="atLeast"/>
        </w:trPr>
        <w:tc>
          <w:tcPr>
            <w:tcW w:w="620" w:type="dxa"/>
            <w:vMerge w:val="continue"/>
            <w:noWrap w:val="0"/>
            <w:vAlign w:val="center"/>
          </w:tcPr>
          <w:p w14:paraId="3F7EE2E6">
            <w:pPr>
              <w:adjustRightInd w:val="0"/>
              <w:snapToGrid w:val="0"/>
              <w:spacing w:before="156" w:beforeLines="50" w:line="360" w:lineRule="auto"/>
              <w:jc w:val="center"/>
              <w:rPr>
                <w:rFonts w:hint="eastAsia"/>
                <w:color w:val="auto"/>
                <w:szCs w:val="21"/>
                <w:highlight w:val="none"/>
                <w:lang w:val="en-US" w:eastAsia="zh-CN"/>
              </w:rPr>
            </w:pPr>
          </w:p>
        </w:tc>
        <w:tc>
          <w:tcPr>
            <w:tcW w:w="1745" w:type="dxa"/>
            <w:vMerge w:val="continue"/>
            <w:noWrap w:val="0"/>
            <w:vAlign w:val="center"/>
          </w:tcPr>
          <w:p w14:paraId="4D17B0B0">
            <w:pPr>
              <w:adjustRightInd w:val="0"/>
              <w:snapToGrid w:val="0"/>
              <w:spacing w:before="156" w:beforeLines="50" w:line="360" w:lineRule="auto"/>
              <w:jc w:val="both"/>
              <w:rPr>
                <w:rFonts w:hint="eastAsia" w:ascii="宋体" w:hAnsi="宋体" w:cs="宋体"/>
                <w:i w:val="0"/>
                <w:iCs w:val="0"/>
                <w:caps w:val="0"/>
                <w:color w:val="auto"/>
                <w:spacing w:val="0"/>
                <w:sz w:val="21"/>
                <w:szCs w:val="21"/>
                <w:highlight w:val="none"/>
                <w:u w:val="none"/>
                <w:lang w:val="zh-CN"/>
              </w:rPr>
            </w:pPr>
          </w:p>
        </w:tc>
        <w:tc>
          <w:tcPr>
            <w:tcW w:w="2064" w:type="dxa"/>
            <w:shd w:val="clear" w:color="auto" w:fill="auto"/>
            <w:noWrap w:val="0"/>
            <w:vAlign w:val="center"/>
          </w:tcPr>
          <w:p w14:paraId="5175DEF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zh-CN" w:eastAsia="zh-CN" w:bidi="ar"/>
              </w:rPr>
            </w:pPr>
            <w:r>
              <w:rPr>
                <w:rFonts w:hint="eastAsia" w:ascii="宋体" w:hAnsi="宋体" w:eastAsia="宋体" w:cs="宋体"/>
                <w:i w:val="0"/>
                <w:iCs w:val="0"/>
                <w:color w:val="auto"/>
                <w:kern w:val="0"/>
                <w:sz w:val="21"/>
                <w:szCs w:val="21"/>
                <w:u w:val="none"/>
                <w:lang w:val="zh-CN" w:eastAsia="zh-CN" w:bidi="ar"/>
              </w:rPr>
              <w:t>血液透析滤过机</w:t>
            </w:r>
          </w:p>
        </w:tc>
        <w:tc>
          <w:tcPr>
            <w:tcW w:w="1089" w:type="dxa"/>
            <w:vMerge w:val="continue"/>
            <w:tcBorders>
              <w:left w:val="single" w:color="auto" w:sz="4" w:space="0"/>
            </w:tcBorders>
            <w:noWrap w:val="0"/>
            <w:vAlign w:val="center"/>
          </w:tcPr>
          <w:p w14:paraId="7063F900">
            <w:pPr>
              <w:adjustRightInd w:val="0"/>
              <w:snapToGrid w:val="0"/>
              <w:spacing w:before="156" w:beforeLines="50" w:line="360" w:lineRule="auto"/>
              <w:jc w:val="both"/>
              <w:rPr>
                <w:rFonts w:hint="eastAsia"/>
                <w:color w:val="auto"/>
                <w:szCs w:val="21"/>
                <w:highlight w:val="none"/>
                <w:u w:val="none"/>
                <w:lang w:val="en-US" w:eastAsia="zh-CN"/>
              </w:rPr>
            </w:pPr>
          </w:p>
        </w:tc>
        <w:tc>
          <w:tcPr>
            <w:tcW w:w="868" w:type="dxa"/>
            <w:tcBorders>
              <w:left w:val="single" w:color="auto" w:sz="4" w:space="0"/>
            </w:tcBorders>
            <w:noWrap w:val="0"/>
            <w:vAlign w:val="center"/>
          </w:tcPr>
          <w:p w14:paraId="2496A025">
            <w:pPr>
              <w:adjustRightInd w:val="0"/>
              <w:snapToGrid w:val="0"/>
              <w:spacing w:before="156" w:beforeLines="50" w:line="360" w:lineRule="auto"/>
              <w:jc w:val="center"/>
              <w:rPr>
                <w:rFonts w:hint="eastAsia"/>
                <w:color w:val="auto"/>
                <w:szCs w:val="21"/>
                <w:highlight w:val="none"/>
                <w:u w:val="none"/>
                <w:lang w:val="en-US" w:eastAsia="zh-CN"/>
              </w:rPr>
            </w:pPr>
            <w:r>
              <w:rPr>
                <w:rFonts w:hint="eastAsia" w:ascii="Times New Roman" w:hAnsi="Times New Roman" w:eastAsia="宋体" w:cs="Times New Roman"/>
                <w:color w:val="auto"/>
                <w:szCs w:val="21"/>
                <w:lang w:val="en-US" w:eastAsia="zh-CN"/>
              </w:rPr>
              <w:t>1台</w:t>
            </w:r>
          </w:p>
        </w:tc>
        <w:tc>
          <w:tcPr>
            <w:tcW w:w="1147" w:type="dxa"/>
            <w:vMerge w:val="continue"/>
            <w:noWrap w:val="0"/>
            <w:vAlign w:val="center"/>
          </w:tcPr>
          <w:p w14:paraId="1491EA28">
            <w:pPr>
              <w:adjustRightInd w:val="0"/>
              <w:snapToGrid w:val="0"/>
              <w:spacing w:before="156" w:beforeLines="50" w:line="360" w:lineRule="auto"/>
              <w:jc w:val="center"/>
              <w:rPr>
                <w:rFonts w:hint="eastAsia" w:ascii="宋体" w:hAnsi="宋体"/>
                <w:bCs/>
                <w:color w:val="auto"/>
                <w:szCs w:val="21"/>
                <w:highlight w:val="none"/>
                <w:u w:val="none"/>
                <w:lang w:val="en-US" w:eastAsia="zh-CN"/>
              </w:rPr>
            </w:pPr>
          </w:p>
        </w:tc>
        <w:tc>
          <w:tcPr>
            <w:tcW w:w="1202" w:type="dxa"/>
            <w:vMerge w:val="continue"/>
            <w:noWrap w:val="0"/>
            <w:vAlign w:val="center"/>
          </w:tcPr>
          <w:p w14:paraId="0874155C">
            <w:pPr>
              <w:adjustRightInd w:val="0"/>
              <w:snapToGrid w:val="0"/>
              <w:spacing w:before="156" w:beforeLines="50" w:line="360" w:lineRule="auto"/>
              <w:jc w:val="center"/>
              <w:rPr>
                <w:rFonts w:hint="eastAsia" w:ascii="宋体" w:hAnsi="宋体"/>
                <w:bCs/>
                <w:color w:val="auto"/>
                <w:szCs w:val="21"/>
                <w:highlight w:val="none"/>
                <w:u w:val="none"/>
                <w:lang w:val="en-US" w:eastAsia="zh-CN"/>
              </w:rPr>
            </w:pPr>
          </w:p>
        </w:tc>
        <w:tc>
          <w:tcPr>
            <w:tcW w:w="1202" w:type="dxa"/>
            <w:vMerge w:val="continue"/>
            <w:noWrap w:val="0"/>
            <w:vAlign w:val="center"/>
          </w:tcPr>
          <w:p w14:paraId="3A17C8BA">
            <w:pPr>
              <w:adjustRightInd w:val="0"/>
              <w:snapToGrid w:val="0"/>
              <w:spacing w:before="156" w:beforeLines="50" w:line="360" w:lineRule="auto"/>
              <w:jc w:val="center"/>
              <w:rPr>
                <w:rFonts w:hint="eastAsia" w:ascii="宋体" w:hAnsi="宋体"/>
                <w:bCs/>
                <w:color w:val="auto"/>
                <w:szCs w:val="21"/>
                <w:highlight w:val="none"/>
                <w:u w:val="none"/>
                <w:lang w:val="en-US" w:eastAsia="zh-CN"/>
              </w:rPr>
            </w:pPr>
          </w:p>
        </w:tc>
      </w:tr>
    </w:tbl>
    <w:p w14:paraId="22EA2059">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说明：</w:t>
      </w:r>
    </w:p>
    <w:p w14:paraId="21FF171A">
      <w:pPr>
        <w:adjustRightInd w:val="0"/>
        <w:snapToGrid w:val="0"/>
        <w:spacing w:line="360" w:lineRule="auto"/>
        <w:ind w:firstLine="210" w:firstLineChars="100"/>
        <w:rPr>
          <w:rFonts w:ascii="宋体" w:hAnsi="宋体" w:eastAsia="宋体"/>
          <w:color w:val="auto"/>
          <w:szCs w:val="21"/>
          <w:highlight w:val="none"/>
        </w:rPr>
      </w:pPr>
      <w:r>
        <w:rPr>
          <w:rFonts w:hint="eastAsia" w:ascii="宋体" w:hAnsi="宋体" w:eastAsia="宋体"/>
          <w:color w:val="auto"/>
          <w:szCs w:val="21"/>
          <w:highlight w:val="none"/>
        </w:rPr>
        <w:t>1.节能产品实行强制采购的，需提供国家认证机构出具的、处于有效期内的节能产品证书。</w:t>
      </w:r>
    </w:p>
    <w:p w14:paraId="484F620D">
      <w:pPr>
        <w:adjustRightInd w:val="0"/>
        <w:snapToGrid w:val="0"/>
        <w:spacing w:line="360" w:lineRule="auto"/>
        <w:ind w:firstLine="210" w:firstLineChars="100"/>
        <w:rPr>
          <w:rFonts w:ascii="宋体" w:hAnsi="宋体" w:eastAsia="宋体"/>
          <w:b/>
          <w:color w:val="auto"/>
          <w:szCs w:val="21"/>
          <w:highlight w:val="none"/>
        </w:rPr>
      </w:pPr>
      <w:r>
        <w:rPr>
          <w:rFonts w:hint="eastAsia" w:ascii="宋体" w:hAnsi="宋体" w:eastAsia="宋体"/>
          <w:color w:val="auto"/>
          <w:szCs w:val="21"/>
          <w:highlight w:val="none"/>
        </w:rPr>
        <w:t>2.同意购买进口产品的，不限制满足采购需求的国内产品参与谈判。</w:t>
      </w:r>
    </w:p>
    <w:p w14:paraId="4D2B1E29">
      <w:pPr>
        <w:keepNext/>
        <w:keepLines/>
        <w:adjustRightInd w:val="0"/>
        <w:snapToGrid w:val="0"/>
        <w:spacing w:line="360" w:lineRule="auto"/>
        <w:outlineLvl w:val="1"/>
        <w:rPr>
          <w:rFonts w:ascii="黑体" w:hAnsi="黑体" w:eastAsia="黑体"/>
          <w:b/>
          <w:bCs/>
          <w:color w:val="auto"/>
          <w:sz w:val="24"/>
          <w:szCs w:val="32"/>
          <w:highlight w:val="none"/>
        </w:rPr>
      </w:pPr>
      <w:r>
        <w:rPr>
          <w:rFonts w:hint="eastAsia" w:ascii="黑体" w:hAnsi="黑体" w:eastAsia="黑体"/>
          <w:b/>
          <w:bCs/>
          <w:color w:val="auto"/>
          <w:sz w:val="24"/>
          <w:szCs w:val="32"/>
          <w:highlight w:val="none"/>
        </w:rPr>
        <w:t>三、采购项目需落实的政府采购政策</w:t>
      </w:r>
    </w:p>
    <w:p w14:paraId="3DE5A5F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1、优先采购：节能产品、环境标志产品享受</w:t>
      </w:r>
      <w:r>
        <w:rPr>
          <w:rFonts w:hint="eastAsia" w:ascii="宋体" w:hAnsi="宋体"/>
          <w:color w:val="auto"/>
          <w:szCs w:val="21"/>
          <w:highlight w:val="none"/>
          <w:lang w:eastAsia="zh-CN"/>
        </w:rPr>
        <w:t>加分或</w:t>
      </w:r>
      <w:r>
        <w:rPr>
          <w:rFonts w:hint="eastAsia" w:ascii="宋体" w:hAnsi="宋体"/>
          <w:color w:val="auto"/>
          <w:szCs w:val="21"/>
          <w:highlight w:val="none"/>
        </w:rPr>
        <w:t>价格折扣。</w:t>
      </w:r>
    </w:p>
    <w:p w14:paraId="38FA5F0A">
      <w:pPr>
        <w:adjustRightInd w:val="0"/>
        <w:snapToGrid w:val="0"/>
        <w:spacing w:line="360" w:lineRule="auto"/>
        <w:ind w:firstLine="420" w:firstLineChars="200"/>
        <w:rPr>
          <w:color w:val="auto"/>
          <w:highlight w:val="none"/>
        </w:rPr>
      </w:pPr>
      <w:r>
        <w:rPr>
          <w:rFonts w:hint="eastAsia" w:ascii="宋体" w:hAnsi="宋体"/>
          <w:color w:val="auto"/>
          <w:szCs w:val="21"/>
          <w:highlight w:val="none"/>
        </w:rPr>
        <w:t>2、支持中小企业：中小企业享受预留采购份额</w:t>
      </w:r>
      <w:r>
        <w:rPr>
          <w:rFonts w:hint="eastAsia" w:ascii="宋体" w:hAnsi="宋体"/>
          <w:color w:val="auto"/>
          <w:szCs w:val="21"/>
          <w:highlight w:val="none"/>
          <w:lang w:val="en-US" w:eastAsia="zh-CN"/>
        </w:rPr>
        <w:t>或价格折扣</w:t>
      </w:r>
      <w:r>
        <w:rPr>
          <w:rFonts w:hint="eastAsia" w:ascii="宋体" w:hAnsi="宋体"/>
          <w:color w:val="auto"/>
          <w:szCs w:val="21"/>
          <w:highlight w:val="none"/>
        </w:rPr>
        <w:t>。</w:t>
      </w:r>
    </w:p>
    <w:p w14:paraId="603F9FE8">
      <w:pPr>
        <w:keepNext/>
        <w:keepLines/>
        <w:adjustRightInd w:val="0"/>
        <w:snapToGrid w:val="0"/>
        <w:spacing w:line="360" w:lineRule="auto"/>
        <w:outlineLvl w:val="1"/>
        <w:rPr>
          <w:rFonts w:ascii="黑体" w:hAnsi="黑体" w:eastAsia="黑体"/>
          <w:b/>
          <w:bCs/>
          <w:color w:val="auto"/>
          <w:sz w:val="24"/>
          <w:szCs w:val="32"/>
          <w:highlight w:val="none"/>
        </w:rPr>
      </w:pPr>
      <w:bookmarkStart w:id="3" w:name="_Toc3710"/>
      <w:r>
        <w:rPr>
          <w:rFonts w:hint="eastAsia" w:ascii="黑体" w:hAnsi="黑体" w:eastAsia="黑体"/>
          <w:b/>
          <w:bCs/>
          <w:color w:val="auto"/>
          <w:sz w:val="24"/>
          <w:szCs w:val="32"/>
          <w:highlight w:val="none"/>
        </w:rPr>
        <w:t>四、供应商的资格要求</w:t>
      </w:r>
      <w:bookmarkEnd w:id="3"/>
    </w:p>
    <w:p w14:paraId="0F53F61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3A49509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655653D0">
      <w:pPr>
        <w:adjustRightInd w:val="0"/>
        <w:snapToGrid w:val="0"/>
        <w:spacing w:line="360" w:lineRule="auto"/>
        <w:ind w:firstLine="630" w:firstLineChars="300"/>
        <w:rPr>
          <w:rFonts w:ascii="宋体" w:hAnsi="宋体"/>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专门面向</w:t>
      </w:r>
      <w:r>
        <w:rPr>
          <w:rFonts w:hint="eastAsia" w:ascii="宋体" w:hAnsi="宋体"/>
          <w:bCs/>
          <w:color w:val="auto"/>
          <w:szCs w:val="21"/>
          <w:highlight w:val="none"/>
        </w:rPr>
        <w:t>：</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中小企业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福利性单位。</w:t>
      </w:r>
    </w:p>
    <w:p w14:paraId="4F6B3EA8">
      <w:pPr>
        <w:adjustRightInd w:val="0"/>
        <w:snapToGrid w:val="0"/>
        <w:spacing w:line="360" w:lineRule="auto"/>
        <w:ind w:firstLine="630" w:firstLineChars="300"/>
        <w:rPr>
          <w:rFonts w:ascii="宋体" w:hAnsi="宋体"/>
          <w:bCs/>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强制</w:t>
      </w:r>
      <w:r>
        <w:rPr>
          <w:rFonts w:hint="eastAsia" w:ascii="宋体" w:hAnsi="宋体"/>
          <w:bCs/>
          <w:color w:val="auto"/>
          <w:szCs w:val="21"/>
          <w:highlight w:val="none"/>
        </w:rPr>
        <w:t>分包：大型企业应将采购份额的</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%分包给中小企业。</w:t>
      </w:r>
    </w:p>
    <w:p w14:paraId="273AE110">
      <w:pPr>
        <w:numPr>
          <w:ilvl w:val="0"/>
          <w:numId w:val="0"/>
        </w:num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eastAsia="宋体" w:cs="Times New Roman"/>
          <w:color w:val="auto"/>
          <w:kern w:val="2"/>
          <w:sz w:val="21"/>
          <w:szCs w:val="21"/>
          <w:lang w:val="en-US" w:eastAsia="zh-CN" w:bidi="ar-SA"/>
        </w:rPr>
        <w:t>3、</w:t>
      </w:r>
      <w:r>
        <w:rPr>
          <w:rFonts w:hint="eastAsia" w:ascii="宋体" w:hAnsi="宋体"/>
          <w:color w:val="auto"/>
          <w:szCs w:val="21"/>
          <w:highlight w:val="none"/>
        </w:rPr>
        <w:t>本项目的特定资格要求：</w:t>
      </w:r>
    </w:p>
    <w:p w14:paraId="23811013">
      <w:pPr>
        <w:numPr>
          <w:ilvl w:val="0"/>
          <w:numId w:val="0"/>
        </w:numPr>
        <w:adjustRightInd w:val="0"/>
        <w:snapToGrid w:val="0"/>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eastAsia="zh-CN"/>
        </w:rPr>
        <w:t>（1）所投货物若纳入医疗器械管理的，投标人须具有医疗器械生产或经营许可证（或相应的备案凭证）；</w:t>
      </w:r>
    </w:p>
    <w:p w14:paraId="596AF979">
      <w:pPr>
        <w:numPr>
          <w:ilvl w:val="0"/>
          <w:numId w:val="0"/>
        </w:numPr>
        <w:adjustRightInd w:val="0"/>
        <w:snapToGrid w:val="0"/>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eastAsia="zh-CN"/>
        </w:rPr>
        <w:t>（2）所投货物若纳入医疗器械管理的，货物须具有有效的医疗器械产品注册证（或备案凭证）</w:t>
      </w:r>
      <w:r>
        <w:rPr>
          <w:rFonts w:hint="eastAsia" w:ascii="宋体" w:hAnsi="宋体"/>
          <w:color w:val="auto"/>
          <w:szCs w:val="21"/>
          <w:highlight w:val="none"/>
          <w:lang w:val="en-US" w:eastAsia="zh-CN"/>
        </w:rPr>
        <w:t>。</w:t>
      </w:r>
    </w:p>
    <w:p w14:paraId="110F7FAE">
      <w:pPr>
        <w:numPr>
          <w:ilvl w:val="0"/>
          <w:numId w:val="0"/>
        </w:num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、单位负责人为同一人或者存在直接控股、管理关系的不同供应商，不得参加同一合同项下的政府采购活动。</w:t>
      </w:r>
    </w:p>
    <w:p w14:paraId="134C42FC">
      <w:p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、为本采购项目提供整体设计、规范编制或者项目管理、监理、检测等服务的，不得再参加此项目的其他采购活动。</w:t>
      </w:r>
    </w:p>
    <w:p w14:paraId="4339CD99">
      <w:p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、列入失信被执行人、重大税收违法失信主体名单、政府采购严重违法失信行为记录名单的，拒绝其参与政府采购活动。</w:t>
      </w:r>
    </w:p>
    <w:p w14:paraId="49B9DAF2">
      <w:p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、联合体响应。本次采购</w:t>
      </w:r>
      <w:r>
        <w:rPr>
          <w:rFonts w:hint="eastAsia" w:ascii="宋体" w:hAnsi="宋体"/>
          <w:color w:val="auto"/>
          <w:szCs w:val="21"/>
          <w:highlight w:val="none"/>
          <w:u w:val="single"/>
        </w:rPr>
        <w:t xml:space="preserve">  不接受   </w:t>
      </w:r>
      <w:r>
        <w:rPr>
          <w:rFonts w:hint="eastAsia" w:ascii="宋体" w:hAnsi="宋体"/>
          <w:color w:val="auto"/>
          <w:szCs w:val="21"/>
          <w:highlight w:val="none"/>
        </w:rPr>
        <w:t>(接受或不接受)联合体响应。</w:t>
      </w:r>
    </w:p>
    <w:p w14:paraId="656F63AF">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4" w:name="_Toc22201058"/>
      <w:bookmarkStart w:id="5" w:name="_Toc30916"/>
      <w:r>
        <w:rPr>
          <w:rFonts w:hint="eastAsia" w:ascii="宋体" w:hAnsi="宋体" w:eastAsia="宋体" w:cs="宋体"/>
          <w:b/>
          <w:bCs/>
          <w:color w:val="auto"/>
          <w:sz w:val="24"/>
          <w:szCs w:val="32"/>
          <w:highlight w:val="none"/>
        </w:rPr>
        <w:t>五、获取谈判文件的时间、地点及方式</w:t>
      </w:r>
      <w:bookmarkEnd w:id="4"/>
      <w:bookmarkEnd w:id="5"/>
    </w:p>
    <w:p w14:paraId="0B35ABA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21</w:t>
      </w:r>
      <w:r>
        <w:rPr>
          <w:rFonts w:hint="eastAsia" w:ascii="宋体" w:hAnsi="宋体" w:cs="宋体"/>
          <w:color w:val="auto"/>
          <w:szCs w:val="21"/>
          <w:highlight w:val="none"/>
          <w:u w:val="single"/>
        </w:rPr>
        <w:t>日</w:t>
      </w:r>
      <w:r>
        <w:rPr>
          <w:rFonts w:hint="eastAsia" w:ascii="宋体" w:hAnsi="宋体" w:cs="宋体"/>
          <w:color w:val="auto"/>
          <w:szCs w:val="21"/>
          <w:highlight w:val="none"/>
        </w:rPr>
        <w:t>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23</w:t>
      </w:r>
      <w:r>
        <w:rPr>
          <w:rFonts w:hint="eastAsia" w:ascii="宋体" w:hAnsi="宋体" w:cs="宋体"/>
          <w:color w:val="auto"/>
          <w:szCs w:val="21"/>
          <w:highlight w:val="none"/>
          <w:u w:val="single"/>
        </w:rPr>
        <w:t>日</w:t>
      </w:r>
      <w:r>
        <w:rPr>
          <w:rFonts w:hint="eastAsia" w:ascii="宋体" w:hAnsi="宋体" w:cs="宋体"/>
          <w:color w:val="auto"/>
          <w:szCs w:val="21"/>
          <w:highlight w:val="none"/>
        </w:rPr>
        <w:t>，每天</w:t>
      </w:r>
      <w:r>
        <w:rPr>
          <w:rFonts w:hint="eastAsia" w:ascii="宋体" w:hAnsi="宋体" w:cs="宋体"/>
          <w:color w:val="auto"/>
          <w:szCs w:val="21"/>
          <w:highlight w:val="none"/>
          <w:lang w:val="en-US" w:eastAsia="zh-CN"/>
        </w:rPr>
        <w:t>09:00</w:t>
      </w:r>
      <w:r>
        <w:rPr>
          <w:rFonts w:hint="eastAsia" w:ascii="宋体" w:hAnsi="宋体" w:cs="宋体"/>
          <w:color w:val="auto"/>
          <w:szCs w:val="21"/>
          <w:highlight w:val="none"/>
        </w:rPr>
        <w:t>至</w:t>
      </w:r>
      <w:r>
        <w:rPr>
          <w:rFonts w:hint="eastAsia" w:ascii="宋体" w:hAnsi="宋体" w:cs="宋体"/>
          <w:color w:val="auto"/>
          <w:szCs w:val="21"/>
          <w:highlight w:val="none"/>
          <w:lang w:val="en-US" w:eastAsia="zh-CN"/>
        </w:rPr>
        <w:t>12:00</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14:30</w:t>
      </w:r>
      <w:r>
        <w:rPr>
          <w:rFonts w:hint="eastAsia" w:ascii="宋体" w:hAnsi="宋体" w:cs="宋体"/>
          <w:color w:val="auto"/>
          <w:szCs w:val="21"/>
          <w:highlight w:val="none"/>
        </w:rPr>
        <w:t>至</w:t>
      </w:r>
      <w:r>
        <w:rPr>
          <w:rFonts w:hint="eastAsia" w:ascii="宋体" w:hAnsi="宋体" w:cs="宋体"/>
          <w:color w:val="auto"/>
          <w:szCs w:val="21"/>
          <w:highlight w:val="none"/>
          <w:lang w:val="en-US" w:eastAsia="zh-CN"/>
        </w:rPr>
        <w:t>17：00</w:t>
      </w:r>
      <w:r>
        <w:rPr>
          <w:rFonts w:hint="eastAsia" w:ascii="宋体" w:hAnsi="宋体" w:cs="宋体"/>
          <w:color w:val="auto"/>
          <w:szCs w:val="21"/>
          <w:highlight w:val="none"/>
        </w:rPr>
        <w:t>（北京时间，</w:t>
      </w:r>
      <w:r>
        <w:rPr>
          <w:rFonts w:ascii="宋体" w:hAnsi="宋体" w:cs="宋体"/>
          <w:color w:val="auto"/>
          <w:szCs w:val="21"/>
          <w:highlight w:val="none"/>
        </w:rPr>
        <w:t>法定节假日</w:t>
      </w:r>
      <w:r>
        <w:rPr>
          <w:rFonts w:hint="eastAsia" w:ascii="宋体" w:hAnsi="宋体" w:cs="宋体"/>
          <w:color w:val="auto"/>
          <w:szCs w:val="21"/>
          <w:highlight w:val="none"/>
        </w:rPr>
        <w:t>除外）</w:t>
      </w:r>
    </w:p>
    <w:p w14:paraId="5A3A6FBE">
      <w:pPr>
        <w:adjustRightInd w:val="0"/>
        <w:snapToGrid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地点：</w:t>
      </w:r>
      <w:r>
        <w:rPr>
          <w:rFonts w:hint="eastAsia" w:ascii="宋体" w:hAnsi="宋体" w:cs="宋体"/>
          <w:color w:val="auto"/>
          <w:highlight w:val="none"/>
          <w:u w:val="single"/>
          <w:lang w:val="en-US" w:eastAsia="zh-CN"/>
        </w:rPr>
        <w:t>湖南华中源工程项目管理有限公司</w:t>
      </w:r>
      <w:r>
        <w:rPr>
          <w:rFonts w:hint="eastAsia" w:ascii="宋体" w:hAnsi="宋体" w:cs="宋体"/>
          <w:color w:val="auto"/>
          <w:highlight w:val="none"/>
          <w:u w:val="single"/>
          <w:lang w:eastAsia="zh-CN"/>
        </w:rPr>
        <w:t>（</w:t>
      </w:r>
      <w:r>
        <w:rPr>
          <w:rFonts w:hint="eastAsia" w:ascii="宋体" w:hAnsi="宋体" w:cs="Times New Roman"/>
          <w:b w:val="0"/>
          <w:bCs/>
          <w:color w:val="auto"/>
          <w:szCs w:val="21"/>
          <w:highlight w:val="none"/>
          <w:u w:val="single"/>
          <w:lang w:eastAsia="zh-CN"/>
        </w:rPr>
        <w:t>怀化市鹤城区怀北路华美立家1栋三楼）</w:t>
      </w:r>
    </w:p>
    <w:p w14:paraId="44E6071D">
      <w:pPr>
        <w:adjustRightInd w:val="0"/>
        <w:snapToGrid w:val="0"/>
        <w:spacing w:line="360" w:lineRule="auto"/>
        <w:ind w:firstLine="420" w:firstLineChars="200"/>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方式：</w:t>
      </w:r>
      <w:r>
        <w:rPr>
          <w:rFonts w:hint="eastAsia" w:ascii="宋体" w:hAnsi="宋体" w:cs="宋体"/>
          <w:color w:val="auto"/>
          <w:szCs w:val="21"/>
          <w:highlight w:val="none"/>
          <w:u w:val="single"/>
          <w:lang w:val="en-US" w:eastAsia="zh-CN"/>
        </w:rPr>
        <w:t>线下获取</w:t>
      </w:r>
    </w:p>
    <w:p w14:paraId="05F1D5CF">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6" w:name="_Toc4257"/>
      <w:bookmarkStart w:id="7" w:name="_Toc22201059"/>
      <w:r>
        <w:rPr>
          <w:rFonts w:hint="eastAsia" w:ascii="宋体" w:hAnsi="宋体" w:eastAsia="宋体" w:cs="宋体"/>
          <w:b/>
          <w:bCs/>
          <w:color w:val="auto"/>
          <w:sz w:val="24"/>
          <w:szCs w:val="32"/>
          <w:highlight w:val="none"/>
        </w:rPr>
        <w:t>六、提交首次响应文件的截止时间、谈判时间及地点</w:t>
      </w:r>
      <w:bookmarkEnd w:id="6"/>
      <w:bookmarkEnd w:id="7"/>
    </w:p>
    <w:p w14:paraId="45C38E3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提交首次响应文件的截止时间：</w:t>
      </w:r>
      <w:r>
        <w:rPr>
          <w:rFonts w:hint="eastAsia" w:ascii="宋体" w:hAnsi="宋体"/>
          <w:color w:val="auto"/>
          <w:szCs w:val="21"/>
          <w:highlight w:val="none"/>
          <w:u w:val="single"/>
          <w:lang w:val="en-US" w:eastAsia="zh-CN"/>
        </w:rPr>
        <w:t>2026年09月24日10时00分</w:t>
      </w:r>
      <w:r>
        <w:rPr>
          <w:rFonts w:hint="eastAsia" w:ascii="宋体" w:hAnsi="宋体"/>
          <w:color w:val="auto"/>
          <w:szCs w:val="21"/>
          <w:highlight w:val="none"/>
        </w:rPr>
        <w:t>（北京时间）</w:t>
      </w:r>
    </w:p>
    <w:p w14:paraId="6A0DEBC9">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提交首次响应文件的地点：</w:t>
      </w:r>
      <w:r>
        <w:rPr>
          <w:rFonts w:hint="eastAsia" w:ascii="宋体" w:hAnsi="宋体"/>
          <w:color w:val="auto"/>
          <w:szCs w:val="21"/>
          <w:highlight w:val="none"/>
          <w:u w:val="single"/>
          <w:lang w:val="en-US" w:eastAsia="zh-CN"/>
        </w:rPr>
        <w:t xml:space="preserve"> 辰溪县卫生健康局会议室</w:t>
      </w:r>
    </w:p>
    <w:p w14:paraId="4362F4D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首次响应文件开启时间：</w:t>
      </w:r>
      <w:r>
        <w:rPr>
          <w:rFonts w:hint="eastAsia" w:ascii="宋体" w:hAnsi="宋体"/>
          <w:color w:val="auto"/>
          <w:szCs w:val="21"/>
          <w:highlight w:val="none"/>
          <w:u w:val="single"/>
          <w:lang w:val="en-US" w:eastAsia="zh-CN"/>
        </w:rPr>
        <w:t>2026年09月24日10时00分</w:t>
      </w:r>
      <w:r>
        <w:rPr>
          <w:rFonts w:hint="eastAsia" w:ascii="宋体" w:hAnsi="宋体"/>
          <w:color w:val="auto"/>
          <w:szCs w:val="21"/>
          <w:highlight w:val="none"/>
        </w:rPr>
        <w:t>（北京时间）</w:t>
      </w:r>
    </w:p>
    <w:p w14:paraId="2D49FDEE">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color w:val="auto"/>
          <w:szCs w:val="21"/>
          <w:highlight w:val="none"/>
        </w:rPr>
        <w:t>首次响应文件开启地点：</w:t>
      </w:r>
      <w:r>
        <w:rPr>
          <w:rFonts w:hint="eastAsia" w:ascii="宋体" w:hAnsi="宋体"/>
          <w:color w:val="auto"/>
          <w:szCs w:val="21"/>
          <w:highlight w:val="none"/>
          <w:u w:val="single"/>
          <w:lang w:val="en-US" w:eastAsia="zh-CN"/>
        </w:rPr>
        <w:t xml:space="preserve"> 辰溪县卫生健康局会议室</w:t>
      </w:r>
    </w:p>
    <w:p w14:paraId="7F276887">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8" w:name="_Toc22201061"/>
      <w:bookmarkStart w:id="9" w:name="_Toc3247"/>
      <w:r>
        <w:rPr>
          <w:rFonts w:hint="eastAsia" w:ascii="宋体" w:hAnsi="宋体" w:eastAsia="宋体" w:cs="宋体"/>
          <w:b/>
          <w:bCs/>
          <w:color w:val="auto"/>
          <w:sz w:val="24"/>
          <w:szCs w:val="32"/>
          <w:highlight w:val="none"/>
        </w:rPr>
        <w:t>七、询问及质疑</w:t>
      </w:r>
      <w:bookmarkEnd w:id="8"/>
      <w:bookmarkEnd w:id="9"/>
    </w:p>
    <w:p w14:paraId="7C4084DD">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1、供应商对政府采购活动事项如有疑问的，可以向采购人、采购代理机构提出询问。采购人、采购代理机构将在3个工作日内作出答复。</w:t>
      </w:r>
    </w:p>
    <w:p w14:paraId="1EFBDD0D">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2、供应商认为谈判文件使自己的合法权益受到损害的，可以在收到谈判文件之日起7个工作日内，</w:t>
      </w:r>
      <w:r>
        <w:rPr>
          <w:rFonts w:hint="eastAsia" w:ascii="宋体" w:hAnsi="宋体"/>
          <w:color w:val="auto"/>
          <w:szCs w:val="21"/>
          <w:lang w:val="en-US" w:eastAsia="zh-CN"/>
        </w:rPr>
        <w:t>按《湖南省财政厅关于印发《政府采购质疑答复和投诉处理操作规程》的通知》(湘财购〔2024〕67号)规定</w:t>
      </w:r>
      <w:r>
        <w:rPr>
          <w:rFonts w:hint="eastAsia" w:ascii="宋体" w:hAnsi="宋体"/>
          <w:color w:val="auto"/>
          <w:szCs w:val="21"/>
          <w:highlight w:val="none"/>
        </w:rPr>
        <w:t>，以纸质书面形式向采购人、采购代理机构提出质疑。</w:t>
      </w:r>
    </w:p>
    <w:p w14:paraId="1D48C9E6">
      <w:pPr>
        <w:keepNext/>
        <w:keepLines/>
        <w:adjustRightInd w:val="0"/>
        <w:snapToGrid w:val="0"/>
        <w:spacing w:line="360" w:lineRule="auto"/>
        <w:outlineLvl w:val="1"/>
        <w:rPr>
          <w:rFonts w:hint="eastAsia" w:ascii="宋体" w:hAnsi="宋体" w:eastAsia="宋体" w:cs="宋体"/>
          <w:b/>
          <w:bCs/>
          <w:color w:val="auto"/>
          <w:sz w:val="24"/>
          <w:szCs w:val="32"/>
          <w:highlight w:val="none"/>
          <w:lang w:eastAsia="zh-CN"/>
        </w:rPr>
      </w:pPr>
      <w:bookmarkStart w:id="10" w:name="_Toc13958"/>
      <w:r>
        <w:rPr>
          <w:rFonts w:hint="eastAsia" w:ascii="宋体" w:hAnsi="宋体" w:eastAsia="宋体" w:cs="宋体"/>
          <w:b/>
          <w:bCs/>
          <w:color w:val="auto"/>
          <w:sz w:val="24"/>
          <w:szCs w:val="32"/>
          <w:highlight w:val="none"/>
        </w:rPr>
        <w:t>八、谈判</w:t>
      </w:r>
      <w:r>
        <w:rPr>
          <w:rFonts w:hint="eastAsia" w:ascii="宋体" w:hAnsi="宋体" w:eastAsia="宋体" w:cs="宋体"/>
          <w:b/>
          <w:bCs/>
          <w:color w:val="auto"/>
          <w:sz w:val="24"/>
          <w:szCs w:val="32"/>
          <w:highlight w:val="none"/>
          <w:lang w:val="en-US" w:eastAsia="zh-CN"/>
        </w:rPr>
        <w:t>说明</w:t>
      </w:r>
      <w:bookmarkEnd w:id="10"/>
    </w:p>
    <w:p w14:paraId="3F8CDD05">
      <w:pPr>
        <w:pStyle w:val="11"/>
        <w:spacing w:before="167" w:line="268" w:lineRule="exact"/>
        <w:ind w:left="442"/>
        <w:rPr>
          <w:rFonts w:hint="eastAsia" w:ascii="宋体" w:hAnsi="宋体" w:eastAsia="宋体" w:cs="Times New Roman"/>
          <w:color w:val="auto"/>
          <w:kern w:val="2"/>
          <w:sz w:val="21"/>
          <w:szCs w:val="21"/>
          <w:highlight w:val="none"/>
          <w:lang w:val="en-US" w:eastAsia="zh-CN" w:bidi="ar-SA"/>
        </w:rPr>
      </w:pPr>
      <w:bookmarkStart w:id="11" w:name="_Toc25650"/>
      <w:r>
        <w:rPr>
          <w:rFonts w:hint="eastAsia" w:ascii="宋体" w:hAnsi="宋体" w:eastAsia="宋体" w:cs="Times New Roman"/>
          <w:color w:val="auto"/>
          <w:kern w:val="2"/>
          <w:sz w:val="21"/>
          <w:szCs w:val="21"/>
          <w:highlight w:val="none"/>
          <w:lang w:val="en-US" w:eastAsia="zh-CN" w:bidi="ar-SA"/>
        </w:rPr>
        <w:t>1、本公告函选项：</w:t>
      </w:r>
      <w:r>
        <w:rPr>
          <w:rFonts w:ascii="Wingdings" w:hAnsi="Wingdings" w:eastAsia="Wingdings" w:cs="Wingdings"/>
          <w:color w:val="auto"/>
          <w:spacing w:val="7"/>
          <w:position w:val="1"/>
          <w:sz w:val="20"/>
          <w:szCs w:val="20"/>
        </w:rPr>
        <w:sym w:font="Wingdings" w:char="00FE"/>
      </w:r>
      <w:r>
        <w:rPr>
          <w:rFonts w:hint="eastAsia" w:ascii="宋体" w:hAnsi="宋体" w:eastAsia="宋体" w:cs="Times New Roman"/>
          <w:color w:val="auto"/>
          <w:kern w:val="2"/>
          <w:sz w:val="21"/>
          <w:szCs w:val="21"/>
          <w:highlight w:val="none"/>
          <w:lang w:val="en-US" w:eastAsia="zh-CN" w:bidi="ar-SA"/>
        </w:rPr>
        <w:t>表示选择，</w:t>
      </w:r>
      <w:r>
        <w:rPr>
          <w:rFonts w:ascii="Wingdings" w:hAnsi="Wingdings" w:eastAsia="Wingdings" w:cs="Wingdings"/>
          <w:color w:val="auto"/>
          <w:spacing w:val="7"/>
          <w:position w:val="1"/>
          <w:sz w:val="20"/>
          <w:szCs w:val="20"/>
        </w:rPr>
        <w:t>o</w:t>
      </w:r>
      <w:r>
        <w:rPr>
          <w:rFonts w:hint="eastAsia" w:ascii="宋体" w:hAnsi="宋体" w:eastAsia="宋体" w:cs="Times New Roman"/>
          <w:color w:val="auto"/>
          <w:kern w:val="2"/>
          <w:sz w:val="21"/>
          <w:szCs w:val="21"/>
          <w:highlight w:val="none"/>
          <w:lang w:val="en-US" w:eastAsia="zh-CN" w:bidi="ar-SA"/>
        </w:rPr>
        <w:t>表示未选择。</w:t>
      </w:r>
    </w:p>
    <w:p w14:paraId="31C6C029">
      <w:pPr>
        <w:keepNext/>
        <w:keepLines/>
        <w:adjustRightInd w:val="0"/>
        <w:snapToGrid w:val="0"/>
        <w:spacing w:line="360" w:lineRule="auto"/>
        <w:outlineLvl w:val="1"/>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九、</w:t>
      </w:r>
      <w:r>
        <w:rPr>
          <w:rFonts w:hint="eastAsia" w:ascii="宋体" w:hAnsi="宋体" w:eastAsia="宋体" w:cs="宋体"/>
          <w:b/>
          <w:bCs/>
          <w:color w:val="auto"/>
          <w:sz w:val="24"/>
          <w:szCs w:val="21"/>
          <w:highlight w:val="none"/>
        </w:rPr>
        <w:t>采购项目联系人姓名和电话</w:t>
      </w:r>
      <w:bookmarkEnd w:id="11"/>
    </w:p>
    <w:p w14:paraId="1EA7F6F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1、联系人姓名：</w:t>
      </w:r>
      <w:r>
        <w:rPr>
          <w:rFonts w:hint="eastAsia" w:ascii="宋体" w:hAnsi="宋体"/>
          <w:color w:val="auto"/>
          <w:szCs w:val="21"/>
          <w:highlight w:val="none"/>
          <w:u w:val="single"/>
          <w:lang w:val="en-US" w:eastAsia="zh-CN"/>
        </w:rPr>
        <w:t>杨先生、张女士</w:t>
      </w:r>
      <w:r>
        <w:rPr>
          <w:rFonts w:hint="eastAsia" w:ascii="宋体" w:hAnsi="宋体"/>
          <w:color w:val="auto"/>
          <w:szCs w:val="21"/>
          <w:highlight w:val="none"/>
        </w:rPr>
        <w:t xml:space="preserve"> </w:t>
      </w:r>
    </w:p>
    <w:p w14:paraId="286EF076">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2、电话：</w:t>
      </w:r>
      <w:r>
        <w:rPr>
          <w:rFonts w:hint="eastAsia" w:ascii="宋体" w:hAnsi="宋体"/>
          <w:color w:val="auto"/>
          <w:szCs w:val="21"/>
          <w:highlight w:val="none"/>
          <w:u w:val="single"/>
          <w:lang w:val="en-US" w:eastAsia="zh-CN"/>
        </w:rPr>
        <w:t>0745-2235900、18174539988</w:t>
      </w:r>
    </w:p>
    <w:p w14:paraId="3C7E4D1C">
      <w:pPr>
        <w:keepNext/>
        <w:keepLines/>
        <w:adjustRightInd w:val="0"/>
        <w:snapToGrid w:val="0"/>
        <w:spacing w:line="360" w:lineRule="auto"/>
        <w:outlineLvl w:val="1"/>
        <w:rPr>
          <w:rFonts w:hint="eastAsia" w:ascii="宋体" w:hAnsi="宋体" w:eastAsia="宋体" w:cs="宋体"/>
          <w:b/>
          <w:bCs/>
          <w:color w:val="auto"/>
          <w:sz w:val="24"/>
          <w:szCs w:val="32"/>
          <w:highlight w:val="none"/>
        </w:rPr>
      </w:pPr>
      <w:bookmarkStart w:id="12" w:name="_Toc2569"/>
      <w:r>
        <w:rPr>
          <w:rFonts w:hint="eastAsia" w:ascii="宋体" w:hAnsi="宋体" w:eastAsia="宋体" w:cs="宋体"/>
          <w:b/>
          <w:bCs/>
          <w:color w:val="auto"/>
          <w:sz w:val="24"/>
          <w:szCs w:val="32"/>
          <w:highlight w:val="none"/>
        </w:rPr>
        <w:t>十、采购人、采购代理机构的名称、地址和联系方法</w:t>
      </w:r>
      <w:bookmarkEnd w:id="12"/>
    </w:p>
    <w:p w14:paraId="1EBBCFF8">
      <w:pPr>
        <w:adjustRightInd w:val="0"/>
        <w:snapToGrid w:val="0"/>
        <w:spacing w:line="360" w:lineRule="auto"/>
        <w:ind w:firstLine="413" w:firstLineChars="196"/>
        <w:rPr>
          <w:rFonts w:ascii="宋体" w:hAnsi="宋体"/>
          <w:b/>
          <w:bCs/>
          <w:color w:val="auto"/>
          <w:szCs w:val="21"/>
          <w:highlight w:val="none"/>
        </w:rPr>
      </w:pPr>
      <w:bookmarkStart w:id="13" w:name="_Toc15008"/>
      <w:r>
        <w:rPr>
          <w:rFonts w:hint="eastAsia" w:ascii="宋体" w:hAnsi="宋体"/>
          <w:b/>
          <w:bCs/>
          <w:color w:val="auto"/>
          <w:szCs w:val="21"/>
          <w:highlight w:val="none"/>
        </w:rPr>
        <w:t>1</w:t>
      </w:r>
      <w:r>
        <w:rPr>
          <w:rFonts w:hint="eastAsia" w:ascii="宋体" w:hAnsi="宋体"/>
          <w:color w:val="auto"/>
          <w:szCs w:val="21"/>
          <w:highlight w:val="none"/>
        </w:rPr>
        <w:t>、</w:t>
      </w:r>
      <w:r>
        <w:rPr>
          <w:rFonts w:hint="eastAsia" w:ascii="宋体" w:hAnsi="宋体"/>
          <w:b/>
          <w:bCs/>
          <w:color w:val="auto"/>
          <w:szCs w:val="21"/>
          <w:highlight w:val="none"/>
        </w:rPr>
        <w:t>采购人信息</w:t>
      </w:r>
    </w:p>
    <w:p w14:paraId="72F8C127">
      <w:pPr>
        <w:adjustRightInd w:val="0"/>
        <w:snapToGrid w:val="0"/>
        <w:spacing w:line="360" w:lineRule="auto"/>
        <w:ind w:firstLine="411" w:firstLineChars="196"/>
        <w:rPr>
          <w:rFonts w:hint="default" w:ascii="宋体" w:hAnsi="宋体" w:eastAsia="宋体"/>
          <w:color w:val="auto"/>
          <w:szCs w:val="21"/>
          <w:highlight w:val="none"/>
          <w:lang w:val="en-US" w:eastAsia="zh-CN"/>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lang w:val="en-US" w:eastAsia="zh-CN"/>
        </w:rPr>
        <w:t xml:space="preserve"> 辰溪县卫生健康局</w:t>
      </w:r>
    </w:p>
    <w:p w14:paraId="6CD5454E">
      <w:pPr>
        <w:adjustRightInd w:val="0"/>
        <w:snapToGrid w:val="0"/>
        <w:spacing w:line="360" w:lineRule="auto"/>
        <w:ind w:firstLine="420" w:firstLineChars="200"/>
        <w:rPr>
          <w:rFonts w:hint="eastAsia" w:ascii="宋体" w:hAnsi="宋体" w:eastAsia="宋体"/>
          <w:color w:val="auto"/>
          <w:szCs w:val="21"/>
          <w:highlight w:val="none"/>
          <w:lang w:val="en-US" w:eastAsia="zh-CN"/>
        </w:rPr>
      </w:pPr>
      <w:r>
        <w:rPr>
          <w:rFonts w:hint="eastAsia" w:ascii="宋体" w:hAnsi="宋体"/>
          <w:color w:val="auto"/>
          <w:szCs w:val="21"/>
          <w:highlight w:val="none"/>
        </w:rPr>
        <w:t>（2）地  址：</w:t>
      </w:r>
      <w:r>
        <w:rPr>
          <w:rFonts w:hint="eastAsia" w:ascii="宋体" w:hAnsi="宋体"/>
          <w:color w:val="auto"/>
          <w:szCs w:val="21"/>
          <w:highlight w:val="none"/>
          <w:u w:val="single"/>
          <w:lang w:eastAsia="zh-CN"/>
        </w:rPr>
        <w:t>怀化市辰溪县辰阳镇八一路62号</w:t>
      </w:r>
    </w:p>
    <w:p w14:paraId="70D3AA99">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（3）联系人：</w:t>
      </w:r>
      <w:r>
        <w:rPr>
          <w:rFonts w:hint="eastAsia" w:ascii="宋体" w:hAnsi="宋体"/>
          <w:color w:val="auto"/>
          <w:szCs w:val="21"/>
          <w:highlight w:val="none"/>
          <w:u w:val="single"/>
          <w:lang w:val="en-US" w:eastAsia="zh-CN"/>
        </w:rPr>
        <w:t>陈先生</w:t>
      </w:r>
    </w:p>
    <w:p w14:paraId="517A39C0">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（4）邮  编：</w:t>
      </w:r>
      <w:r>
        <w:rPr>
          <w:rFonts w:hint="eastAsia" w:ascii="宋体" w:hAnsi="宋体"/>
          <w:color w:val="auto"/>
          <w:szCs w:val="21"/>
          <w:highlight w:val="none"/>
          <w:u w:val="single"/>
          <w:lang w:val="en-US" w:eastAsia="zh-CN"/>
        </w:rPr>
        <w:t>419500</w:t>
      </w:r>
    </w:p>
    <w:p w14:paraId="07254D6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（5）电  话：</w:t>
      </w:r>
      <w:r>
        <w:rPr>
          <w:rFonts w:hint="eastAsia" w:ascii="宋体" w:hAnsi="宋体"/>
          <w:color w:val="auto"/>
          <w:szCs w:val="21"/>
          <w:highlight w:val="none"/>
          <w:u w:val="single"/>
          <w:lang w:val="en-US" w:eastAsia="zh-CN"/>
        </w:rPr>
        <w:t>13974574031</w:t>
      </w:r>
    </w:p>
    <w:p w14:paraId="73C701C2">
      <w:pPr>
        <w:adjustRightInd w:val="0"/>
        <w:snapToGrid w:val="0"/>
        <w:spacing w:line="360" w:lineRule="auto"/>
        <w:ind w:firstLine="420" w:firstLineChars="200"/>
        <w:rPr>
          <w:rFonts w:hint="eastAsia" w:eastAsia="宋体"/>
          <w:color w:val="auto"/>
          <w:szCs w:val="21"/>
          <w:highlight w:val="none"/>
          <w:lang w:eastAsia="zh-CN"/>
        </w:rPr>
      </w:pPr>
      <w:r>
        <w:rPr>
          <w:rFonts w:hint="eastAsia" w:ascii="宋体" w:hAnsi="宋体"/>
          <w:color w:val="auto"/>
          <w:szCs w:val="21"/>
          <w:highlight w:val="none"/>
        </w:rPr>
        <w:t>（6）</w:t>
      </w:r>
      <w:r>
        <w:rPr>
          <w:rFonts w:hint="eastAsia"/>
          <w:color w:val="auto"/>
          <w:szCs w:val="21"/>
          <w:highlight w:val="none"/>
        </w:rPr>
        <w:t>电子邮箱：</w:t>
      </w:r>
      <w:r>
        <w:rPr>
          <w:rFonts w:hint="eastAsia" w:ascii="宋体" w:hAnsi="宋体"/>
          <w:color w:val="auto"/>
          <w:szCs w:val="21"/>
          <w:highlight w:val="none"/>
          <w:u w:val="single"/>
          <w:lang w:val="en-US" w:eastAsia="zh-CN"/>
        </w:rPr>
        <w:t>/</w:t>
      </w:r>
    </w:p>
    <w:p w14:paraId="3AE1153A">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w:t>
      </w:r>
      <w:r>
        <w:rPr>
          <w:rFonts w:hint="eastAsia" w:ascii="宋体" w:hAnsi="宋体"/>
          <w:b/>
          <w:bCs/>
          <w:color w:val="auto"/>
          <w:szCs w:val="21"/>
          <w:highlight w:val="none"/>
        </w:rPr>
        <w:t>采购代理机构信息</w:t>
      </w:r>
    </w:p>
    <w:p w14:paraId="1C07D69B">
      <w:pPr>
        <w:adjustRightInd w:val="0"/>
        <w:snapToGrid w:val="0"/>
        <w:spacing w:line="360" w:lineRule="auto"/>
        <w:ind w:firstLine="411" w:firstLineChars="196"/>
        <w:rPr>
          <w:rFonts w:hint="default" w:ascii="宋体" w:hAnsi="宋体" w:eastAsia="宋体"/>
          <w:color w:val="auto"/>
          <w:szCs w:val="21"/>
          <w:highlight w:val="none"/>
          <w:lang w:val="en-US" w:eastAsia="zh-CN"/>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lang w:val="en-US" w:eastAsia="zh-CN"/>
        </w:rPr>
        <w:t>湖南华中源工程项目管理有限公司</w:t>
      </w:r>
    </w:p>
    <w:p w14:paraId="77E39FF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（2）地  址：</w:t>
      </w:r>
      <w:r>
        <w:rPr>
          <w:rFonts w:hint="eastAsia" w:ascii="宋体" w:hAnsi="宋体" w:cs="宋体"/>
          <w:color w:val="auto"/>
          <w:szCs w:val="21"/>
          <w:highlight w:val="none"/>
          <w:u w:val="single"/>
          <w:lang w:eastAsia="zh-CN"/>
        </w:rPr>
        <w:t>怀化市鹤城区怀北路华美立家1栋三楼</w:t>
      </w:r>
    </w:p>
    <w:p w14:paraId="0D775551">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（3）联系人：</w:t>
      </w:r>
      <w:r>
        <w:rPr>
          <w:rFonts w:hint="eastAsia" w:ascii="宋体" w:hAnsi="宋体"/>
          <w:color w:val="auto"/>
          <w:szCs w:val="21"/>
          <w:highlight w:val="none"/>
          <w:u w:val="single"/>
          <w:lang w:val="en-US" w:eastAsia="zh-CN"/>
        </w:rPr>
        <w:t>杨先生、张女士</w:t>
      </w:r>
    </w:p>
    <w:p w14:paraId="117BA6EC">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（4）邮  编：</w:t>
      </w:r>
      <w:r>
        <w:rPr>
          <w:rFonts w:hint="eastAsia" w:ascii="宋体" w:hAnsi="宋体"/>
          <w:color w:val="auto"/>
          <w:szCs w:val="21"/>
          <w:highlight w:val="none"/>
          <w:u w:val="single"/>
          <w:lang w:val="en-US" w:eastAsia="zh-CN"/>
        </w:rPr>
        <w:t>418000</w:t>
      </w:r>
    </w:p>
    <w:p w14:paraId="6E47B7F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（5）电  话：</w:t>
      </w:r>
      <w:r>
        <w:rPr>
          <w:rFonts w:hint="eastAsia" w:ascii="宋体" w:hAnsi="宋体"/>
          <w:color w:val="auto"/>
          <w:szCs w:val="21"/>
          <w:highlight w:val="none"/>
          <w:u w:val="single"/>
          <w:lang w:val="en-US" w:eastAsia="zh-CN"/>
        </w:rPr>
        <w:t>0745-2235900、18174539988</w:t>
      </w:r>
      <w:r>
        <w:rPr>
          <w:rFonts w:hint="eastAsia" w:ascii="宋体" w:hAnsi="宋体"/>
          <w:color w:val="auto"/>
          <w:szCs w:val="21"/>
          <w:highlight w:val="none"/>
        </w:rPr>
        <w:t xml:space="preserve"> </w:t>
      </w:r>
    </w:p>
    <w:p w14:paraId="13E6EB9A">
      <w:pPr>
        <w:adjustRightInd w:val="0"/>
        <w:snapToGrid w:val="0"/>
        <w:spacing w:line="360" w:lineRule="auto"/>
        <w:ind w:firstLine="420" w:firstLineChars="200"/>
        <w:rPr>
          <w:rFonts w:hint="eastAsia" w:ascii="宋体" w:hAnsi="宋体"/>
          <w:color w:val="auto"/>
          <w:szCs w:val="21"/>
          <w:highlight w:val="none"/>
          <w:u w:val="single"/>
          <w:lang w:val="en-US" w:eastAsia="zh-CN"/>
        </w:rPr>
      </w:pPr>
      <w:r>
        <w:rPr>
          <w:rFonts w:hint="eastAsia" w:ascii="宋体" w:hAnsi="宋体"/>
          <w:color w:val="auto"/>
          <w:szCs w:val="21"/>
          <w:highlight w:val="none"/>
        </w:rPr>
        <w:t>（6）</w:t>
      </w:r>
      <w:r>
        <w:rPr>
          <w:rFonts w:hint="eastAsia"/>
          <w:color w:val="auto"/>
          <w:szCs w:val="21"/>
          <w:highlight w:val="none"/>
        </w:rPr>
        <w:t>电子邮箱：</w:t>
      </w:r>
      <w:r>
        <w:rPr>
          <w:rFonts w:hint="eastAsia" w:ascii="宋体" w:hAnsi="宋体"/>
          <w:color w:val="auto"/>
          <w:szCs w:val="21"/>
          <w:highlight w:val="none"/>
          <w:u w:val="single"/>
          <w:lang w:val="en-US" w:eastAsia="zh-CN"/>
        </w:rPr>
        <w:t>/</w:t>
      </w:r>
    </w:p>
    <w:p w14:paraId="5CA97967">
      <w:pPr>
        <w:rPr>
          <w:rFonts w:hint="eastAsia" w:ascii="宋体" w:hAnsi="宋体"/>
          <w:color w:val="auto"/>
          <w:szCs w:val="21"/>
          <w:highlight w:val="none"/>
          <w:u w:val="single"/>
          <w:lang w:val="en-US" w:eastAsia="zh-CN"/>
        </w:rPr>
      </w:pPr>
      <w:r>
        <w:rPr>
          <w:rFonts w:hint="eastAsia" w:ascii="宋体" w:hAnsi="宋体"/>
          <w:color w:val="auto"/>
          <w:szCs w:val="21"/>
          <w:highlight w:val="none"/>
          <w:u w:val="single"/>
          <w:lang w:val="en-US" w:eastAsia="zh-CN"/>
        </w:rPr>
        <w:br w:type="page"/>
      </w:r>
    </w:p>
    <w:p w14:paraId="6DE0B072">
      <w:pPr>
        <w:pStyle w:val="7"/>
        <w:adjustRightInd w:val="0"/>
        <w:snapToGrid w:val="0"/>
        <w:spacing w:before="0" w:after="0" w:line="360" w:lineRule="auto"/>
        <w:rPr>
          <w:rFonts w:ascii="宋体"/>
          <w:color w:val="auto"/>
          <w:sz w:val="21"/>
          <w:szCs w:val="21"/>
        </w:rPr>
      </w:pPr>
      <w:bookmarkStart w:id="14" w:name="_Toc34637761"/>
      <w:r>
        <w:rPr>
          <w:rFonts w:hint="eastAsia" w:ascii="宋体" w:hAnsi="宋体" w:cs="宋体"/>
          <w:color w:val="auto"/>
          <w:sz w:val="21"/>
          <w:szCs w:val="21"/>
        </w:rPr>
        <w:t>附件：</w:t>
      </w:r>
      <w:r>
        <w:rPr>
          <w:rFonts w:hint="eastAsia" w:ascii="宋体" w:hAnsi="宋体" w:cs="宋体"/>
          <w:color w:val="auto"/>
          <w:spacing w:val="-3"/>
          <w:sz w:val="21"/>
          <w:szCs w:val="21"/>
        </w:rPr>
        <w:t>确</w:t>
      </w:r>
      <w:r>
        <w:rPr>
          <w:rFonts w:hint="eastAsia" w:ascii="宋体" w:hAnsi="宋体" w:cs="宋体"/>
          <w:color w:val="auto"/>
          <w:sz w:val="21"/>
          <w:szCs w:val="21"/>
        </w:rPr>
        <w:t>认通知</w:t>
      </w:r>
      <w:bookmarkEnd w:id="14"/>
    </w:p>
    <w:p w14:paraId="161EE336">
      <w:pPr>
        <w:autoSpaceDE w:val="0"/>
        <w:autoSpaceDN w:val="0"/>
        <w:adjustRightInd w:val="0"/>
        <w:snapToGrid w:val="0"/>
        <w:spacing w:beforeLines="50" w:line="360" w:lineRule="auto"/>
        <w:ind w:right="3816"/>
        <w:jc w:val="center"/>
        <w:rPr>
          <w:rFonts w:ascii="黑体" w:hAnsi="黑体" w:eastAsia="黑体"/>
          <w:b/>
          <w:bCs/>
          <w:color w:val="auto"/>
          <w:kern w:val="0"/>
          <w:sz w:val="28"/>
          <w:szCs w:val="28"/>
        </w:rPr>
      </w:pPr>
      <w:r>
        <w:rPr>
          <w:rFonts w:ascii="黑体" w:hAnsi="黑体" w:eastAsia="黑体" w:cs="黑体"/>
          <w:color w:val="auto"/>
          <w:kern w:val="0"/>
          <w:position w:val="-3"/>
          <w:sz w:val="28"/>
          <w:szCs w:val="28"/>
        </w:rPr>
        <w:t xml:space="preserve">                      </w:t>
      </w:r>
      <w:r>
        <w:rPr>
          <w:rFonts w:ascii="黑体" w:hAnsi="黑体" w:eastAsia="黑体" w:cs="黑体"/>
          <w:b/>
          <w:bCs/>
          <w:color w:val="auto"/>
          <w:kern w:val="0"/>
          <w:position w:val="-3"/>
          <w:sz w:val="28"/>
          <w:szCs w:val="28"/>
        </w:rPr>
        <w:t xml:space="preserve"> </w:t>
      </w:r>
      <w:r>
        <w:rPr>
          <w:rFonts w:hint="eastAsia" w:ascii="黑体" w:hAnsi="黑体" w:eastAsia="黑体" w:cs="黑体"/>
          <w:b/>
          <w:bCs/>
          <w:color w:val="auto"/>
          <w:kern w:val="0"/>
          <w:position w:val="-3"/>
          <w:sz w:val="28"/>
          <w:szCs w:val="28"/>
        </w:rPr>
        <w:t>确认通知</w:t>
      </w:r>
    </w:p>
    <w:p w14:paraId="45E7A275">
      <w:pPr>
        <w:tabs>
          <w:tab w:val="left" w:pos="1980"/>
        </w:tabs>
        <w:autoSpaceDE w:val="0"/>
        <w:autoSpaceDN w:val="0"/>
        <w:adjustRightInd w:val="0"/>
        <w:snapToGrid w:val="0"/>
        <w:spacing w:beforeLines="50" w:line="360" w:lineRule="auto"/>
        <w:ind w:right="-20"/>
        <w:jc w:val="left"/>
        <w:rPr>
          <w:rFonts w:ascii="宋体"/>
          <w:color w:val="auto"/>
          <w:spacing w:val="-108"/>
          <w:kern w:val="0"/>
          <w:position w:val="-2"/>
        </w:rPr>
      </w:pPr>
      <w:r>
        <w:rPr>
          <w:rFonts w:ascii="宋体" w:hAnsi="宋体" w:cs="宋体"/>
          <w:color w:val="auto"/>
          <w:w w:val="169"/>
          <w:kern w:val="0"/>
          <w:position w:val="-2"/>
          <w:u w:val="single"/>
        </w:rPr>
        <w:t xml:space="preserve">         </w:t>
      </w:r>
      <w:r>
        <w:rPr>
          <w:rFonts w:hint="eastAsia" w:ascii="宋体" w:hAnsi="宋体" w:cs="宋体"/>
          <w:color w:val="auto"/>
          <w:kern w:val="0"/>
          <w:position w:val="-2"/>
        </w:rPr>
        <w:t>（采购人、采购代理机构</w:t>
      </w:r>
      <w:r>
        <w:rPr>
          <w:rFonts w:hint="eastAsia" w:ascii="宋体" w:hAnsi="宋体" w:cs="宋体"/>
          <w:color w:val="auto"/>
          <w:spacing w:val="-2"/>
          <w:kern w:val="0"/>
        </w:rPr>
        <w:t>）：</w:t>
      </w:r>
    </w:p>
    <w:p w14:paraId="5F652341">
      <w:pPr>
        <w:tabs>
          <w:tab w:val="left" w:pos="1980"/>
        </w:tabs>
        <w:autoSpaceDE w:val="0"/>
        <w:autoSpaceDN w:val="0"/>
        <w:adjustRightInd w:val="0"/>
        <w:snapToGrid w:val="0"/>
        <w:spacing w:beforeLines="50" w:line="360" w:lineRule="auto"/>
        <w:ind w:right="-23" w:firstLine="420" w:firstLineChars="200"/>
        <w:jc w:val="left"/>
        <w:rPr>
          <w:rFonts w:ascii="宋体"/>
          <w:color w:val="auto"/>
          <w:kern w:val="0"/>
        </w:rPr>
      </w:pPr>
      <w:r>
        <w:rPr>
          <w:rFonts w:hint="eastAsia" w:ascii="宋体" w:hAnsi="宋体" w:cs="宋体"/>
          <w:color w:val="auto"/>
          <w:kern w:val="0"/>
          <w:position w:val="-2"/>
        </w:rPr>
        <w:t>我单位</w:t>
      </w:r>
      <w:r>
        <w:rPr>
          <w:rFonts w:hint="eastAsia" w:ascii="宋体" w:hAnsi="宋体" w:cs="宋体"/>
          <w:color w:val="auto"/>
          <w:spacing w:val="-2"/>
          <w:kern w:val="0"/>
          <w:position w:val="-2"/>
        </w:rPr>
        <w:t>已</w:t>
      </w:r>
      <w:r>
        <w:rPr>
          <w:rFonts w:hint="eastAsia" w:ascii="宋体" w:hAnsi="宋体" w:cs="宋体"/>
          <w:color w:val="auto"/>
          <w:kern w:val="0"/>
          <w:position w:val="-2"/>
        </w:rPr>
        <w:t>于</w:t>
      </w:r>
      <w:r>
        <w:rPr>
          <w:rFonts w:ascii="宋体" w:hAnsi="宋体" w:cs="宋体"/>
          <w:color w:val="auto"/>
          <w:w w:val="169"/>
          <w:kern w:val="0"/>
          <w:position w:val="-2"/>
          <w:u w:val="single"/>
        </w:rPr>
        <w:t xml:space="preserve">     </w:t>
      </w:r>
      <w:r>
        <w:rPr>
          <w:rFonts w:hint="eastAsia" w:ascii="宋体" w:hAnsi="宋体" w:cs="宋体"/>
          <w:color w:val="auto"/>
          <w:spacing w:val="1"/>
          <w:kern w:val="0"/>
          <w:position w:val="-2"/>
        </w:rPr>
        <w:t>年</w:t>
      </w:r>
      <w:r>
        <w:rPr>
          <w:rFonts w:ascii="宋体" w:hAnsi="宋体" w:cs="宋体"/>
          <w:color w:val="auto"/>
          <w:w w:val="169"/>
          <w:kern w:val="0"/>
          <w:position w:val="-2"/>
          <w:u w:val="single"/>
        </w:rPr>
        <w:t xml:space="preserve">  </w:t>
      </w:r>
      <w:r>
        <w:rPr>
          <w:rFonts w:hint="eastAsia" w:ascii="宋体" w:hAnsi="宋体" w:cs="宋体"/>
          <w:color w:val="auto"/>
          <w:kern w:val="0"/>
          <w:position w:val="-2"/>
        </w:rPr>
        <w:t>月</w:t>
      </w:r>
      <w:r>
        <w:rPr>
          <w:rFonts w:ascii="宋体" w:hAnsi="宋体" w:cs="宋体"/>
          <w:color w:val="auto"/>
          <w:w w:val="169"/>
          <w:kern w:val="0"/>
          <w:position w:val="-2"/>
          <w:u w:val="single"/>
        </w:rPr>
        <w:t xml:space="preserve">  </w:t>
      </w:r>
      <w:r>
        <w:rPr>
          <w:rFonts w:hint="eastAsia" w:ascii="宋体" w:hAnsi="宋体" w:cs="宋体"/>
          <w:color w:val="auto"/>
          <w:spacing w:val="-2"/>
          <w:kern w:val="0"/>
          <w:position w:val="-2"/>
        </w:rPr>
        <w:t>日</w:t>
      </w:r>
      <w:r>
        <w:rPr>
          <w:rFonts w:hint="eastAsia" w:ascii="宋体" w:hAnsi="宋体" w:cs="宋体"/>
          <w:color w:val="auto"/>
          <w:kern w:val="0"/>
          <w:position w:val="-2"/>
        </w:rPr>
        <w:t>收</w:t>
      </w:r>
      <w:r>
        <w:rPr>
          <w:rFonts w:hint="eastAsia" w:ascii="宋体" w:hAnsi="宋体" w:cs="宋体"/>
          <w:color w:val="auto"/>
          <w:spacing w:val="-2"/>
          <w:kern w:val="0"/>
          <w:position w:val="-2"/>
        </w:rPr>
        <w:t>到</w:t>
      </w:r>
      <w:r>
        <w:rPr>
          <w:rFonts w:hint="eastAsia" w:ascii="宋体" w:hAnsi="宋体" w:cs="宋体"/>
          <w:color w:val="auto"/>
          <w:kern w:val="0"/>
          <w:position w:val="-2"/>
        </w:rPr>
        <w:t>你单位</w:t>
      </w:r>
      <w:r>
        <w:rPr>
          <w:rFonts w:ascii="宋体" w:hAnsi="宋体" w:cs="宋体"/>
          <w:color w:val="auto"/>
          <w:w w:val="169"/>
          <w:kern w:val="0"/>
          <w:position w:val="-2"/>
          <w:u w:val="single"/>
        </w:rPr>
        <w:t xml:space="preserve">    </w:t>
      </w:r>
      <w:r>
        <w:rPr>
          <w:rFonts w:hint="eastAsia" w:ascii="宋体" w:hAnsi="宋体" w:cs="宋体"/>
          <w:color w:val="auto"/>
          <w:kern w:val="0"/>
          <w:position w:val="-2"/>
        </w:rPr>
        <w:t>年</w:t>
      </w:r>
      <w:r>
        <w:rPr>
          <w:rFonts w:ascii="宋体" w:hAnsi="宋体" w:cs="宋体"/>
          <w:color w:val="auto"/>
          <w:w w:val="169"/>
          <w:kern w:val="0"/>
          <w:position w:val="-2"/>
          <w:u w:val="single"/>
        </w:rPr>
        <w:t xml:space="preserve">  </w:t>
      </w:r>
      <w:r>
        <w:rPr>
          <w:rFonts w:hint="eastAsia" w:ascii="宋体" w:hAnsi="宋体" w:cs="宋体"/>
          <w:color w:val="auto"/>
          <w:spacing w:val="1"/>
          <w:kern w:val="0"/>
          <w:position w:val="-2"/>
        </w:rPr>
        <w:t>月</w:t>
      </w:r>
      <w:r>
        <w:rPr>
          <w:rFonts w:ascii="宋体" w:hAnsi="宋体" w:cs="宋体"/>
          <w:color w:val="auto"/>
          <w:w w:val="169"/>
          <w:kern w:val="0"/>
          <w:position w:val="-2"/>
          <w:u w:val="single"/>
        </w:rPr>
        <w:t xml:space="preserve">  </w:t>
      </w:r>
      <w:r>
        <w:rPr>
          <w:rFonts w:hint="eastAsia" w:ascii="宋体" w:hAnsi="宋体" w:cs="宋体"/>
          <w:color w:val="auto"/>
          <w:kern w:val="0"/>
          <w:position w:val="-2"/>
        </w:rPr>
        <w:t>日发</w:t>
      </w:r>
      <w:r>
        <w:rPr>
          <w:rFonts w:hint="eastAsia" w:ascii="宋体" w:hAnsi="宋体" w:cs="宋体"/>
          <w:color w:val="auto"/>
          <w:spacing w:val="-2"/>
          <w:kern w:val="0"/>
          <w:position w:val="-2"/>
        </w:rPr>
        <w:t>出</w:t>
      </w:r>
      <w:r>
        <w:rPr>
          <w:rFonts w:hint="eastAsia" w:ascii="宋体" w:hAnsi="宋体" w:cs="宋体"/>
          <w:color w:val="auto"/>
          <w:kern w:val="0"/>
          <w:position w:val="-2"/>
        </w:rPr>
        <w:t>的</w:t>
      </w:r>
      <w:r>
        <w:rPr>
          <w:rFonts w:ascii="宋体" w:hAnsi="宋体" w:cs="宋体"/>
          <w:color w:val="auto"/>
          <w:spacing w:val="43"/>
          <w:kern w:val="0"/>
          <w:position w:val="-2"/>
          <w:u w:val="single"/>
        </w:rPr>
        <w:t xml:space="preserve">     </w:t>
      </w:r>
      <w:r>
        <w:rPr>
          <w:rFonts w:hint="eastAsia" w:ascii="宋体" w:hAnsi="宋体" w:cs="宋体"/>
          <w:color w:val="auto"/>
          <w:spacing w:val="-2"/>
          <w:kern w:val="0"/>
          <w:position w:val="-2"/>
        </w:rPr>
        <w:t>（</w:t>
      </w:r>
      <w:r>
        <w:rPr>
          <w:rFonts w:hint="eastAsia" w:ascii="宋体" w:hAnsi="宋体" w:cs="宋体"/>
          <w:color w:val="auto"/>
          <w:kern w:val="0"/>
          <w:position w:val="-2"/>
        </w:rPr>
        <w:t>项</w:t>
      </w:r>
      <w:r>
        <w:rPr>
          <w:rFonts w:hint="eastAsia" w:ascii="宋体" w:hAnsi="宋体" w:cs="宋体"/>
          <w:color w:val="auto"/>
          <w:spacing w:val="-2"/>
          <w:kern w:val="0"/>
          <w:position w:val="-2"/>
        </w:rPr>
        <w:t>目</w:t>
      </w:r>
      <w:r>
        <w:rPr>
          <w:rFonts w:hint="eastAsia" w:ascii="宋体" w:hAnsi="宋体" w:cs="宋体"/>
          <w:color w:val="auto"/>
          <w:kern w:val="0"/>
          <w:position w:val="-2"/>
        </w:rPr>
        <w:t>名称</w:t>
      </w:r>
      <w:r>
        <w:rPr>
          <w:rFonts w:hint="eastAsia" w:ascii="宋体" w:hAnsi="宋体" w:cs="宋体"/>
          <w:color w:val="auto"/>
          <w:spacing w:val="-22"/>
          <w:kern w:val="0"/>
          <w:position w:val="-2"/>
        </w:rPr>
        <w:t>）</w:t>
      </w:r>
      <w:r>
        <w:rPr>
          <w:rFonts w:hint="eastAsia" w:ascii="宋体" w:hAnsi="宋体" w:cs="宋体"/>
          <w:color w:val="auto"/>
          <w:kern w:val="0"/>
          <w:position w:val="-2"/>
        </w:rPr>
        <w:t>谈判邀</w:t>
      </w:r>
      <w:r>
        <w:rPr>
          <w:rFonts w:hint="eastAsia" w:ascii="宋体" w:hAnsi="宋体" w:cs="宋体"/>
          <w:color w:val="auto"/>
          <w:spacing w:val="-2"/>
          <w:kern w:val="0"/>
          <w:position w:val="-2"/>
        </w:rPr>
        <w:t>请</w:t>
      </w:r>
      <w:r>
        <w:rPr>
          <w:rFonts w:hint="eastAsia" w:ascii="宋体" w:hAnsi="宋体" w:cs="宋体"/>
          <w:color w:val="auto"/>
          <w:spacing w:val="-22"/>
          <w:kern w:val="0"/>
          <w:position w:val="-2"/>
        </w:rPr>
        <w:t>，</w:t>
      </w:r>
      <w:r>
        <w:rPr>
          <w:rFonts w:hint="eastAsia" w:ascii="宋体" w:hAnsi="宋体" w:cs="宋体"/>
          <w:color w:val="auto"/>
          <w:spacing w:val="-2"/>
          <w:kern w:val="0"/>
          <w:position w:val="-2"/>
        </w:rPr>
        <w:t>确</w:t>
      </w:r>
      <w:r>
        <w:rPr>
          <w:rFonts w:hint="eastAsia" w:ascii="宋体" w:hAnsi="宋体" w:cs="宋体"/>
          <w:color w:val="auto"/>
          <w:kern w:val="0"/>
          <w:position w:val="-2"/>
        </w:rPr>
        <w:t>认</w:t>
      </w:r>
      <w:r>
        <w:rPr>
          <w:rFonts w:ascii="宋体" w:hAnsi="宋体" w:cs="宋体"/>
          <w:color w:val="auto"/>
          <w:spacing w:val="43"/>
          <w:kern w:val="0"/>
          <w:position w:val="-2"/>
          <w:u w:val="single"/>
        </w:rPr>
        <w:t xml:space="preserve">    </w:t>
      </w:r>
      <w:r>
        <w:rPr>
          <w:rFonts w:hint="eastAsia" w:ascii="宋体" w:hAnsi="宋体" w:cs="宋体"/>
          <w:color w:val="auto"/>
          <w:spacing w:val="-2"/>
          <w:kern w:val="0"/>
          <w:position w:val="-2"/>
        </w:rPr>
        <w:t>（参</w:t>
      </w:r>
      <w:r>
        <w:rPr>
          <w:rFonts w:hint="eastAsia" w:ascii="宋体" w:hAnsi="宋体" w:cs="宋体"/>
          <w:color w:val="auto"/>
          <w:kern w:val="0"/>
        </w:rPr>
        <w:t>加</w:t>
      </w:r>
      <w:r>
        <w:rPr>
          <w:rFonts w:ascii="宋体" w:hAnsi="宋体" w:cs="宋体"/>
          <w:color w:val="auto"/>
          <w:spacing w:val="-1"/>
          <w:kern w:val="0"/>
        </w:rPr>
        <w:t>/</w:t>
      </w:r>
      <w:r>
        <w:rPr>
          <w:rFonts w:hint="eastAsia" w:ascii="宋体" w:hAnsi="宋体" w:cs="宋体"/>
          <w:color w:val="auto"/>
          <w:kern w:val="0"/>
        </w:rPr>
        <w:t>不</w:t>
      </w:r>
      <w:r>
        <w:rPr>
          <w:rFonts w:hint="eastAsia" w:ascii="宋体" w:hAnsi="宋体" w:cs="宋体"/>
          <w:color w:val="auto"/>
          <w:spacing w:val="-2"/>
          <w:kern w:val="0"/>
        </w:rPr>
        <w:t>参</w:t>
      </w:r>
      <w:r>
        <w:rPr>
          <w:rFonts w:hint="eastAsia" w:ascii="宋体" w:hAnsi="宋体" w:cs="宋体"/>
          <w:color w:val="auto"/>
          <w:kern w:val="0"/>
        </w:rPr>
        <w:t>加</w:t>
      </w:r>
      <w:r>
        <w:rPr>
          <w:rFonts w:hint="eastAsia" w:ascii="宋体" w:hAnsi="宋体" w:cs="宋体"/>
          <w:color w:val="auto"/>
          <w:spacing w:val="-2"/>
          <w:kern w:val="0"/>
        </w:rPr>
        <w:t>）</w:t>
      </w:r>
      <w:r>
        <w:rPr>
          <w:rFonts w:hint="eastAsia" w:ascii="宋体" w:hAnsi="宋体" w:cs="宋体"/>
          <w:color w:val="auto"/>
          <w:kern w:val="0"/>
        </w:rPr>
        <w:t>谈判采购。</w:t>
      </w:r>
    </w:p>
    <w:p w14:paraId="36DCB303">
      <w:pPr>
        <w:autoSpaceDE w:val="0"/>
        <w:autoSpaceDN w:val="0"/>
        <w:adjustRightInd w:val="0"/>
        <w:snapToGrid w:val="0"/>
        <w:spacing w:beforeLines="50" w:line="360" w:lineRule="auto"/>
        <w:ind w:left="487" w:right="7230"/>
        <w:jc w:val="center"/>
        <w:rPr>
          <w:rFonts w:ascii="宋体"/>
          <w:color w:val="auto"/>
          <w:kern w:val="0"/>
        </w:rPr>
      </w:pPr>
      <w:r>
        <w:rPr>
          <w:rFonts w:hint="eastAsia" w:ascii="宋体" w:hAnsi="宋体" w:cs="宋体"/>
          <w:color w:val="auto"/>
          <w:spacing w:val="-2"/>
          <w:kern w:val="0"/>
          <w:position w:val="-4"/>
        </w:rPr>
        <w:t>特</w:t>
      </w:r>
      <w:r>
        <w:rPr>
          <w:rFonts w:hint="eastAsia" w:ascii="宋体" w:hAnsi="宋体" w:cs="宋体"/>
          <w:color w:val="auto"/>
          <w:kern w:val="0"/>
          <w:position w:val="-4"/>
        </w:rPr>
        <w:t>此</w:t>
      </w:r>
      <w:r>
        <w:rPr>
          <w:rFonts w:hint="eastAsia" w:ascii="宋体" w:hAnsi="宋体" w:cs="宋体"/>
          <w:color w:val="auto"/>
          <w:spacing w:val="-2"/>
          <w:kern w:val="0"/>
          <w:position w:val="-4"/>
        </w:rPr>
        <w:t>确</w:t>
      </w:r>
      <w:r>
        <w:rPr>
          <w:rFonts w:hint="eastAsia" w:ascii="宋体" w:hAnsi="宋体" w:cs="宋体"/>
          <w:color w:val="auto"/>
          <w:kern w:val="0"/>
          <w:position w:val="-4"/>
        </w:rPr>
        <w:t>认。</w:t>
      </w:r>
    </w:p>
    <w:p w14:paraId="13917382">
      <w:pPr>
        <w:autoSpaceDE w:val="0"/>
        <w:autoSpaceDN w:val="0"/>
        <w:adjustRightInd w:val="0"/>
        <w:snapToGrid w:val="0"/>
        <w:spacing w:beforeLines="50" w:line="360" w:lineRule="auto"/>
        <w:jc w:val="left"/>
        <w:rPr>
          <w:rFonts w:ascii="宋体"/>
          <w:color w:val="auto"/>
          <w:kern w:val="0"/>
          <w:sz w:val="20"/>
          <w:szCs w:val="20"/>
        </w:rPr>
      </w:pPr>
    </w:p>
    <w:p w14:paraId="225EB85E">
      <w:pPr>
        <w:tabs>
          <w:tab w:val="left" w:pos="7220"/>
        </w:tabs>
        <w:autoSpaceDE w:val="0"/>
        <w:autoSpaceDN w:val="0"/>
        <w:adjustRightInd w:val="0"/>
        <w:snapToGrid w:val="0"/>
        <w:spacing w:beforeLines="50" w:line="360" w:lineRule="auto"/>
        <w:ind w:left="3041" w:right="-20"/>
        <w:jc w:val="left"/>
        <w:rPr>
          <w:rFonts w:ascii="宋体"/>
          <w:color w:val="auto"/>
          <w:kern w:val="0"/>
        </w:rPr>
      </w:pPr>
      <w:r>
        <w:rPr>
          <w:rFonts w:hint="eastAsia" w:ascii="宋体" w:hAnsi="宋体" w:cs="宋体"/>
          <w:color w:val="auto"/>
          <w:kern w:val="0"/>
          <w:position w:val="-2"/>
        </w:rPr>
        <w:t>单</w:t>
      </w:r>
      <w:r>
        <w:rPr>
          <w:rFonts w:hint="eastAsia" w:ascii="宋体" w:hAnsi="宋体" w:cs="宋体"/>
          <w:color w:val="auto"/>
          <w:spacing w:val="-2"/>
          <w:kern w:val="0"/>
          <w:position w:val="-2"/>
        </w:rPr>
        <w:t>位</w:t>
      </w:r>
      <w:r>
        <w:rPr>
          <w:rFonts w:hint="eastAsia" w:ascii="宋体" w:hAnsi="宋体" w:cs="宋体"/>
          <w:color w:val="auto"/>
          <w:kern w:val="0"/>
          <w:position w:val="-2"/>
        </w:rPr>
        <w:t>名</w:t>
      </w:r>
      <w:r>
        <w:rPr>
          <w:rFonts w:hint="eastAsia" w:ascii="宋体" w:hAnsi="宋体" w:cs="宋体"/>
          <w:color w:val="auto"/>
          <w:spacing w:val="-2"/>
          <w:kern w:val="0"/>
          <w:position w:val="-2"/>
        </w:rPr>
        <w:t>称（盖单位公章）</w:t>
      </w:r>
      <w:r>
        <w:rPr>
          <w:rFonts w:hint="eastAsia" w:ascii="宋体" w:hAnsi="宋体" w:cs="宋体"/>
          <w:color w:val="auto"/>
          <w:kern w:val="0"/>
          <w:position w:val="-2"/>
        </w:rPr>
        <w:t>：</w:t>
      </w:r>
      <w:r>
        <w:rPr>
          <w:rFonts w:ascii="宋体" w:hAnsi="宋体" w:cs="宋体"/>
          <w:color w:val="auto"/>
          <w:spacing w:val="43"/>
          <w:kern w:val="0"/>
          <w:position w:val="-2"/>
          <w:u w:val="single"/>
        </w:rPr>
        <w:t xml:space="preserve">            </w:t>
      </w:r>
    </w:p>
    <w:p w14:paraId="1F1D577D">
      <w:pPr>
        <w:tabs>
          <w:tab w:val="left" w:pos="7760"/>
        </w:tabs>
        <w:autoSpaceDE w:val="0"/>
        <w:autoSpaceDN w:val="0"/>
        <w:adjustRightInd w:val="0"/>
        <w:snapToGrid w:val="0"/>
        <w:spacing w:beforeLines="50" w:line="360" w:lineRule="auto"/>
        <w:ind w:left="3041" w:right="-20"/>
        <w:jc w:val="left"/>
        <w:rPr>
          <w:rFonts w:ascii="宋体"/>
          <w:color w:val="auto"/>
          <w:kern w:val="0"/>
        </w:rPr>
      </w:pPr>
      <w:r>
        <w:rPr>
          <w:rFonts w:hint="eastAsia" w:ascii="宋体" w:hAnsi="宋体" w:cs="宋体"/>
          <w:color w:val="auto"/>
          <w:kern w:val="0"/>
          <w:position w:val="-2"/>
        </w:rPr>
        <w:t>法定</w:t>
      </w:r>
      <w:r>
        <w:rPr>
          <w:rFonts w:hint="eastAsia" w:ascii="宋体" w:hAnsi="宋体" w:cs="宋体"/>
          <w:color w:val="auto"/>
          <w:spacing w:val="-2"/>
          <w:kern w:val="0"/>
          <w:position w:val="-2"/>
        </w:rPr>
        <w:t>代</w:t>
      </w:r>
      <w:r>
        <w:rPr>
          <w:rFonts w:hint="eastAsia" w:ascii="宋体" w:hAnsi="宋体" w:cs="宋体"/>
          <w:color w:val="auto"/>
          <w:kern w:val="0"/>
          <w:position w:val="-2"/>
        </w:rPr>
        <w:t>表</w:t>
      </w:r>
      <w:r>
        <w:rPr>
          <w:rFonts w:hint="eastAsia" w:ascii="宋体" w:hAnsi="宋体" w:cs="宋体"/>
          <w:color w:val="auto"/>
          <w:spacing w:val="-2"/>
          <w:kern w:val="0"/>
          <w:position w:val="-2"/>
        </w:rPr>
        <w:t>人</w:t>
      </w:r>
      <w:r>
        <w:rPr>
          <w:rFonts w:hint="eastAsia" w:ascii="宋体" w:hAnsi="宋体" w:cs="宋体"/>
          <w:color w:val="auto"/>
          <w:kern w:val="0"/>
          <w:position w:val="-2"/>
        </w:rPr>
        <w:t>（或</w:t>
      </w:r>
      <w:r>
        <w:rPr>
          <w:rFonts w:hint="eastAsia" w:ascii="宋体" w:hAnsi="宋体" w:cs="宋体"/>
          <w:color w:val="auto"/>
          <w:spacing w:val="-2"/>
          <w:kern w:val="0"/>
          <w:position w:val="-2"/>
        </w:rPr>
        <w:t>授权代表人）</w:t>
      </w:r>
      <w:r>
        <w:rPr>
          <w:rFonts w:hint="eastAsia" w:cs="宋体"/>
          <w:color w:val="auto"/>
        </w:rPr>
        <w:t>（签字或印章）：</w:t>
      </w:r>
      <w:r>
        <w:rPr>
          <w:rFonts w:ascii="宋体" w:hAnsi="宋体" w:cs="宋体"/>
          <w:color w:val="auto"/>
          <w:spacing w:val="43"/>
          <w:kern w:val="0"/>
          <w:position w:val="-2"/>
          <w:u w:val="single"/>
        </w:rPr>
        <w:t xml:space="preserve">        </w:t>
      </w:r>
    </w:p>
    <w:p w14:paraId="2B6994D0">
      <w:pPr>
        <w:adjustRightInd w:val="0"/>
        <w:snapToGrid w:val="0"/>
        <w:spacing w:line="360" w:lineRule="auto"/>
        <w:ind w:firstLine="708" w:firstLineChars="200"/>
        <w:jc w:val="right"/>
        <w:rPr>
          <w:rFonts w:ascii="宋体" w:hAnsi="宋体" w:cs="宋体"/>
          <w:color w:val="auto"/>
          <w:w w:val="169"/>
          <w:kern w:val="0"/>
          <w:u w:val="single"/>
        </w:rPr>
      </w:pPr>
    </w:p>
    <w:p w14:paraId="1D17B545">
      <w:pPr>
        <w:adjustRightInd w:val="0"/>
        <w:snapToGrid w:val="0"/>
        <w:spacing w:line="360" w:lineRule="auto"/>
        <w:ind w:firstLine="708" w:firstLineChars="200"/>
        <w:jc w:val="right"/>
        <w:rPr>
          <w:color w:val="auto"/>
        </w:rPr>
      </w:pPr>
      <w:r>
        <w:rPr>
          <w:rFonts w:ascii="宋体" w:hAnsi="宋体" w:cs="宋体"/>
          <w:color w:val="auto"/>
          <w:w w:val="169"/>
          <w:kern w:val="0"/>
          <w:u w:val="single"/>
        </w:rPr>
        <w:t xml:space="preserve">        </w:t>
      </w:r>
      <w:r>
        <w:rPr>
          <w:rFonts w:hint="eastAsia" w:ascii="宋体" w:hAnsi="宋体" w:cs="宋体"/>
          <w:color w:val="auto"/>
          <w:kern w:val="0"/>
        </w:rPr>
        <w:t>年</w:t>
      </w:r>
      <w:r>
        <w:rPr>
          <w:rFonts w:ascii="宋体" w:hAnsi="宋体" w:cs="宋体"/>
          <w:color w:val="auto"/>
          <w:kern w:val="0"/>
        </w:rPr>
        <w:t xml:space="preserve"> </w:t>
      </w:r>
      <w:r>
        <w:rPr>
          <w:rFonts w:ascii="宋体" w:hAnsi="宋体" w:cs="宋体"/>
          <w:color w:val="auto"/>
          <w:spacing w:val="43"/>
          <w:kern w:val="0"/>
          <w:u w:val="single"/>
        </w:rPr>
        <w:t xml:space="preserve"> </w:t>
      </w:r>
      <w:r>
        <w:rPr>
          <w:rFonts w:hint="eastAsia" w:ascii="宋体" w:hAnsi="宋体" w:cs="宋体"/>
          <w:color w:val="auto"/>
          <w:spacing w:val="-2"/>
          <w:kern w:val="0"/>
        </w:rPr>
        <w:t>月</w:t>
      </w:r>
      <w:r>
        <w:rPr>
          <w:rFonts w:ascii="宋体" w:hAnsi="宋体" w:cs="宋体"/>
          <w:color w:val="auto"/>
          <w:spacing w:val="43"/>
          <w:kern w:val="0"/>
          <w:u w:val="single"/>
        </w:rPr>
        <w:t xml:space="preserve">  </w:t>
      </w:r>
      <w:r>
        <w:rPr>
          <w:rFonts w:hint="eastAsia" w:ascii="宋体" w:hAnsi="宋体" w:cs="宋体"/>
          <w:color w:val="auto"/>
          <w:kern w:val="0"/>
        </w:rPr>
        <w:t>日</w:t>
      </w:r>
    </w:p>
    <w:p w14:paraId="4D69E9F8">
      <w:pPr>
        <w:adjustRightInd w:val="0"/>
        <w:snapToGrid w:val="0"/>
        <w:spacing w:line="360" w:lineRule="auto"/>
        <w:ind w:firstLine="420" w:firstLineChars="200"/>
        <w:rPr>
          <w:rFonts w:hint="eastAsia" w:ascii="宋体" w:hAnsi="宋体"/>
          <w:color w:val="auto"/>
          <w:szCs w:val="21"/>
          <w:highlight w:val="none"/>
          <w:u w:val="single"/>
          <w:lang w:val="en-US" w:eastAsia="zh-CN"/>
        </w:rPr>
        <w:sectPr>
          <w:footerReference r:id="rId5" w:type="default"/>
          <w:pgSz w:w="11906" w:h="16838"/>
          <w:pgMar w:top="1474" w:right="1474" w:bottom="1474" w:left="1588" w:header="851" w:footer="992" w:gutter="0"/>
          <w:pgNumType w:fmt="numberInDash"/>
          <w:cols w:space="720" w:num="1"/>
          <w:docGrid w:type="lines" w:linePitch="312" w:charSpace="0"/>
        </w:sectPr>
      </w:pPr>
    </w:p>
    <w:p w14:paraId="6A6AC419">
      <w:pPr>
        <w:keepNext/>
        <w:adjustRightInd w:val="0"/>
        <w:snapToGrid w:val="0"/>
        <w:spacing w:before="156" w:beforeLines="50" w:line="360" w:lineRule="auto"/>
        <w:jc w:val="center"/>
        <w:outlineLvl w:val="0"/>
        <w:rPr>
          <w:rFonts w:ascii="黑体" w:hAnsi="黑体" w:eastAsia="黑体"/>
          <w:b/>
          <w:bCs/>
          <w:color w:val="auto"/>
          <w:sz w:val="32"/>
          <w:szCs w:val="32"/>
          <w:highlight w:val="none"/>
        </w:rPr>
      </w:pPr>
      <w:r>
        <w:rPr>
          <w:rFonts w:hint="eastAsia" w:ascii="黑体" w:hAnsi="黑体" w:eastAsia="黑体"/>
          <w:b/>
          <w:bCs/>
          <w:color w:val="auto"/>
          <w:sz w:val="32"/>
          <w:szCs w:val="32"/>
          <w:highlight w:val="none"/>
        </w:rPr>
        <w:t>第二章 谈判须知</w:t>
      </w:r>
      <w:bookmarkEnd w:id="13"/>
    </w:p>
    <w:p w14:paraId="56E6431A">
      <w:pPr>
        <w:keepNext/>
        <w:keepLines/>
        <w:adjustRightInd w:val="0"/>
        <w:snapToGrid w:val="0"/>
        <w:spacing w:before="156" w:beforeLines="50" w:line="360" w:lineRule="auto"/>
        <w:jc w:val="center"/>
        <w:outlineLvl w:val="1"/>
        <w:rPr>
          <w:rFonts w:ascii="黑体" w:hAnsi="黑体" w:eastAsia="黑体"/>
          <w:b/>
          <w:bCs/>
          <w:color w:val="auto"/>
          <w:sz w:val="28"/>
          <w:szCs w:val="28"/>
          <w:highlight w:val="none"/>
        </w:rPr>
      </w:pPr>
      <w:bookmarkStart w:id="15" w:name="_Toc30326"/>
      <w:r>
        <w:rPr>
          <w:rFonts w:hint="eastAsia" w:ascii="黑体" w:hAnsi="黑体" w:eastAsia="黑体"/>
          <w:b/>
          <w:bCs/>
          <w:color w:val="auto"/>
          <w:sz w:val="28"/>
          <w:szCs w:val="28"/>
          <w:highlight w:val="none"/>
        </w:rPr>
        <w:t>第一节 谈判须知前附表</w:t>
      </w:r>
      <w:bookmarkEnd w:id="15"/>
    </w:p>
    <w:tbl>
      <w:tblPr>
        <w:tblStyle w:val="20"/>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1317"/>
        <w:gridCol w:w="2041"/>
        <w:gridCol w:w="4272"/>
      </w:tblGrid>
      <w:tr w14:paraId="20282F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622" w:type="dxa"/>
            <w:vAlign w:val="center"/>
          </w:tcPr>
          <w:p w14:paraId="7A32C472">
            <w:pPr>
              <w:adjustRightInd w:val="0"/>
              <w:snapToGrid w:val="0"/>
              <w:spacing w:before="156" w:beforeLines="50" w:line="360" w:lineRule="auto"/>
              <w:jc w:val="center"/>
              <w:rPr>
                <w:rFonts w:ascii="宋体" w:hAnsi="宋体"/>
                <w:b/>
                <w:color w:val="auto"/>
                <w:szCs w:val="21"/>
                <w:highlight w:val="none"/>
              </w:rPr>
            </w:pPr>
            <w:r>
              <w:rPr>
                <w:rFonts w:hint="eastAsia" w:ascii="宋体" w:hAnsi="宋体"/>
                <w:b/>
                <w:color w:val="auto"/>
                <w:szCs w:val="21"/>
                <w:highlight w:val="none"/>
              </w:rPr>
              <w:t>条款号</w:t>
            </w:r>
          </w:p>
        </w:tc>
        <w:tc>
          <w:tcPr>
            <w:tcW w:w="3358" w:type="dxa"/>
            <w:gridSpan w:val="2"/>
            <w:vAlign w:val="center"/>
          </w:tcPr>
          <w:p w14:paraId="7068B81B">
            <w:pPr>
              <w:adjustRightInd w:val="0"/>
              <w:snapToGrid w:val="0"/>
              <w:spacing w:before="156" w:beforeLines="50" w:line="360" w:lineRule="auto"/>
              <w:jc w:val="center"/>
              <w:rPr>
                <w:rFonts w:ascii="宋体" w:hAnsi="宋体"/>
                <w:b/>
                <w:color w:val="auto"/>
                <w:szCs w:val="21"/>
                <w:highlight w:val="none"/>
              </w:rPr>
            </w:pPr>
            <w:r>
              <w:rPr>
                <w:rFonts w:hint="eastAsia" w:ascii="宋体" w:hAnsi="宋体"/>
                <w:b/>
                <w:color w:val="auto"/>
                <w:szCs w:val="21"/>
                <w:highlight w:val="none"/>
              </w:rPr>
              <w:t>条款名称</w:t>
            </w:r>
          </w:p>
        </w:tc>
        <w:tc>
          <w:tcPr>
            <w:tcW w:w="4272" w:type="dxa"/>
            <w:vAlign w:val="center"/>
          </w:tcPr>
          <w:p w14:paraId="6BB0B95F">
            <w:pPr>
              <w:adjustRightInd w:val="0"/>
              <w:snapToGrid w:val="0"/>
              <w:spacing w:before="156" w:beforeLines="50" w:line="360" w:lineRule="auto"/>
              <w:jc w:val="center"/>
              <w:rPr>
                <w:rFonts w:ascii="宋体" w:hAnsi="宋体"/>
                <w:b/>
                <w:color w:val="auto"/>
                <w:szCs w:val="21"/>
                <w:highlight w:val="none"/>
              </w:rPr>
            </w:pPr>
            <w:r>
              <w:rPr>
                <w:rFonts w:hint="eastAsia" w:ascii="宋体" w:hAnsi="宋体"/>
                <w:b/>
                <w:color w:val="auto"/>
                <w:szCs w:val="21"/>
                <w:highlight w:val="none"/>
              </w:rPr>
              <w:t>编列内容规定</w:t>
            </w:r>
          </w:p>
        </w:tc>
      </w:tr>
      <w:tr w14:paraId="11DFA4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4"/>
            <w:vAlign w:val="center"/>
          </w:tcPr>
          <w:p w14:paraId="0A7263D8">
            <w:pPr>
              <w:adjustRightInd w:val="0"/>
              <w:snapToGrid w:val="0"/>
              <w:spacing w:before="50" w:line="360" w:lineRule="auto"/>
              <w:rPr>
                <w:rFonts w:ascii="宋体" w:hAnsi="宋体"/>
                <w:color w:val="auto"/>
                <w:szCs w:val="21"/>
                <w:highlight w:val="none"/>
              </w:rPr>
            </w:pPr>
            <w:r>
              <w:rPr>
                <w:rFonts w:hint="eastAsia" w:ascii="宋体" w:hAnsi="宋体"/>
                <w:b/>
                <w:color w:val="auto"/>
                <w:szCs w:val="21"/>
                <w:highlight w:val="none"/>
              </w:rPr>
              <w:t>一、说明</w:t>
            </w:r>
          </w:p>
        </w:tc>
      </w:tr>
      <w:tr w14:paraId="503FCB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1C5F8CC">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第1.1款</w:t>
            </w:r>
          </w:p>
        </w:tc>
        <w:tc>
          <w:tcPr>
            <w:tcW w:w="3358" w:type="dxa"/>
            <w:gridSpan w:val="2"/>
            <w:vAlign w:val="center"/>
          </w:tcPr>
          <w:p w14:paraId="4C59ADA6">
            <w:pPr>
              <w:adjustRightInd w:val="0"/>
              <w:snapToGrid w:val="0"/>
              <w:spacing w:before="50" w:line="360" w:lineRule="auto"/>
              <w:jc w:val="both"/>
              <w:rPr>
                <w:rFonts w:ascii="宋体" w:hAnsi="宋体"/>
                <w:color w:val="auto"/>
                <w:szCs w:val="21"/>
                <w:highlight w:val="none"/>
              </w:rPr>
            </w:pPr>
            <w:r>
              <w:rPr>
                <w:rFonts w:hint="eastAsia" w:ascii="宋体" w:hAnsi="宋体"/>
                <w:color w:val="auto"/>
                <w:szCs w:val="21"/>
                <w:highlight w:val="none"/>
              </w:rPr>
              <w:t>采购项目</w:t>
            </w:r>
          </w:p>
        </w:tc>
        <w:tc>
          <w:tcPr>
            <w:tcW w:w="4272" w:type="dxa"/>
            <w:vAlign w:val="center"/>
          </w:tcPr>
          <w:p w14:paraId="078EA0A2">
            <w:pPr>
              <w:adjustRightInd w:val="0"/>
              <w:snapToGrid w:val="0"/>
              <w:spacing w:line="360" w:lineRule="auto"/>
              <w:jc w:val="both"/>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辰溪县修溪镇中心卫生院血液透析室建设项目</w:t>
            </w:r>
          </w:p>
        </w:tc>
      </w:tr>
      <w:tr w14:paraId="67804C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DF9E74A">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第1.2款</w:t>
            </w:r>
          </w:p>
        </w:tc>
        <w:tc>
          <w:tcPr>
            <w:tcW w:w="3358" w:type="dxa"/>
            <w:gridSpan w:val="2"/>
            <w:vAlign w:val="center"/>
          </w:tcPr>
          <w:p w14:paraId="1118EFE4">
            <w:pPr>
              <w:adjustRightInd w:val="0"/>
              <w:snapToGrid w:val="0"/>
              <w:spacing w:before="50" w:line="360" w:lineRule="auto"/>
              <w:jc w:val="both"/>
              <w:rPr>
                <w:rFonts w:ascii="宋体" w:hAnsi="宋体"/>
                <w:color w:val="auto"/>
                <w:szCs w:val="21"/>
                <w:highlight w:val="none"/>
              </w:rPr>
            </w:pPr>
            <w:r>
              <w:rPr>
                <w:rFonts w:hint="eastAsia" w:ascii="宋体" w:hAnsi="宋体"/>
                <w:color w:val="auto"/>
                <w:szCs w:val="21"/>
                <w:highlight w:val="none"/>
              </w:rPr>
              <w:t>是否预留采购份额</w:t>
            </w:r>
          </w:p>
        </w:tc>
        <w:tc>
          <w:tcPr>
            <w:tcW w:w="4272" w:type="dxa"/>
            <w:vAlign w:val="center"/>
          </w:tcPr>
          <w:p w14:paraId="15BC13F4">
            <w:p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否</w:t>
            </w:r>
          </w:p>
        </w:tc>
      </w:tr>
      <w:tr w14:paraId="68459C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F2289D3">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第2.1款</w:t>
            </w:r>
          </w:p>
        </w:tc>
        <w:tc>
          <w:tcPr>
            <w:tcW w:w="3358" w:type="dxa"/>
            <w:gridSpan w:val="2"/>
            <w:vAlign w:val="center"/>
          </w:tcPr>
          <w:p w14:paraId="4353F684">
            <w:pPr>
              <w:adjustRightInd w:val="0"/>
              <w:snapToGrid w:val="0"/>
              <w:spacing w:before="50" w:line="360" w:lineRule="auto"/>
              <w:jc w:val="both"/>
              <w:rPr>
                <w:rFonts w:ascii="宋体" w:hAnsi="宋体"/>
                <w:color w:val="auto"/>
                <w:szCs w:val="21"/>
                <w:highlight w:val="none"/>
              </w:rPr>
            </w:pPr>
            <w:r>
              <w:rPr>
                <w:rFonts w:hint="eastAsia" w:ascii="宋体" w:hAnsi="宋体"/>
                <w:color w:val="auto"/>
                <w:szCs w:val="21"/>
                <w:highlight w:val="none"/>
              </w:rPr>
              <w:t>采购项目联系人姓名和电话</w:t>
            </w:r>
          </w:p>
        </w:tc>
        <w:tc>
          <w:tcPr>
            <w:tcW w:w="4272" w:type="dxa"/>
            <w:vAlign w:val="center"/>
          </w:tcPr>
          <w:p w14:paraId="3AE38A85">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联系人姓名：</w:t>
            </w:r>
            <w:r>
              <w:rPr>
                <w:rFonts w:hint="eastAsia" w:ascii="宋体" w:hAnsi="宋体"/>
                <w:color w:val="auto"/>
                <w:szCs w:val="21"/>
                <w:highlight w:val="none"/>
                <w:lang w:val="en-US" w:eastAsia="zh-CN"/>
              </w:rPr>
              <w:t>杨先生、张女士</w:t>
            </w:r>
            <w:r>
              <w:rPr>
                <w:rFonts w:hint="eastAsia" w:ascii="宋体" w:hAnsi="宋体"/>
                <w:color w:val="auto"/>
                <w:szCs w:val="21"/>
                <w:highlight w:val="none"/>
              </w:rPr>
              <w:t xml:space="preserve"> </w:t>
            </w:r>
          </w:p>
          <w:p w14:paraId="395CA43A">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电话：</w:t>
            </w:r>
            <w:r>
              <w:rPr>
                <w:rFonts w:hint="eastAsia" w:ascii="宋体" w:hAnsi="宋体"/>
                <w:color w:val="auto"/>
                <w:szCs w:val="21"/>
                <w:highlight w:val="none"/>
                <w:lang w:val="en-US" w:eastAsia="zh-CN"/>
              </w:rPr>
              <w:t>0745-2235900、18174539988</w:t>
            </w:r>
          </w:p>
        </w:tc>
      </w:tr>
      <w:tr w14:paraId="79E765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743A07A9">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第2.2款</w:t>
            </w:r>
          </w:p>
        </w:tc>
        <w:tc>
          <w:tcPr>
            <w:tcW w:w="3358" w:type="dxa"/>
            <w:gridSpan w:val="2"/>
            <w:vAlign w:val="center"/>
          </w:tcPr>
          <w:p w14:paraId="744C7478">
            <w:pPr>
              <w:adjustRightInd w:val="0"/>
              <w:snapToGrid w:val="0"/>
              <w:spacing w:before="50" w:line="360" w:lineRule="auto"/>
              <w:jc w:val="both"/>
              <w:rPr>
                <w:color w:val="auto"/>
                <w:highlight w:val="none"/>
              </w:rPr>
            </w:pPr>
            <w:r>
              <w:rPr>
                <w:rFonts w:hint="eastAsia"/>
                <w:color w:val="auto"/>
                <w:highlight w:val="none"/>
              </w:rPr>
              <w:t>采购人名称、地址、电话、联系人</w:t>
            </w:r>
          </w:p>
        </w:tc>
        <w:tc>
          <w:tcPr>
            <w:tcW w:w="4272" w:type="dxa"/>
            <w:vAlign w:val="center"/>
          </w:tcPr>
          <w:p w14:paraId="458DB55E">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bCs/>
                <w:color w:val="auto"/>
                <w:szCs w:val="21"/>
                <w:highlight w:val="none"/>
              </w:rPr>
              <w:t>名</w:t>
            </w:r>
            <w:r>
              <w:rPr>
                <w:rFonts w:hint="eastAsia" w:ascii="宋体" w:hAnsi="宋体"/>
                <w:bCs/>
                <w:color w:val="auto"/>
                <w:szCs w:val="21"/>
                <w:highlight w:val="none"/>
                <w:u w:val="none"/>
              </w:rPr>
              <w:t xml:space="preserve">  称：</w:t>
            </w:r>
            <w:r>
              <w:rPr>
                <w:rFonts w:hint="eastAsia" w:ascii="宋体" w:hAnsi="宋体"/>
                <w:color w:val="auto"/>
                <w:szCs w:val="21"/>
                <w:highlight w:val="none"/>
                <w:u w:val="none"/>
                <w:lang w:val="en-US" w:eastAsia="zh-CN"/>
              </w:rPr>
              <w:t>辰溪县卫生健康局</w:t>
            </w:r>
          </w:p>
          <w:p w14:paraId="763B58D8">
            <w:pPr>
              <w:adjustRightInd w:val="0"/>
              <w:snapToGrid w:val="0"/>
              <w:spacing w:line="360" w:lineRule="auto"/>
              <w:rPr>
                <w:rFonts w:hint="eastAsia" w:ascii="宋体" w:hAnsi="宋体" w:eastAsia="宋体"/>
                <w:color w:val="auto"/>
                <w:szCs w:val="21"/>
                <w:highlight w:val="none"/>
                <w:u w:val="none"/>
                <w:lang w:val="en-US" w:eastAsia="zh-CN"/>
              </w:rPr>
            </w:pPr>
            <w:r>
              <w:rPr>
                <w:rFonts w:hint="eastAsia" w:ascii="宋体" w:hAnsi="宋体"/>
                <w:color w:val="auto"/>
                <w:szCs w:val="21"/>
                <w:highlight w:val="none"/>
                <w:u w:val="none"/>
              </w:rPr>
              <w:t>地  址：</w:t>
            </w:r>
            <w:r>
              <w:rPr>
                <w:rFonts w:hint="eastAsia" w:ascii="宋体" w:hAnsi="宋体"/>
                <w:color w:val="auto"/>
                <w:szCs w:val="21"/>
                <w:highlight w:val="none"/>
                <w:u w:val="none"/>
                <w:lang w:eastAsia="zh-CN"/>
              </w:rPr>
              <w:t>怀化市辰溪县辰阳镇八一路62号</w:t>
            </w:r>
          </w:p>
          <w:p w14:paraId="145588B6">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rPr>
              <w:t>联系人：</w:t>
            </w:r>
            <w:r>
              <w:rPr>
                <w:rFonts w:hint="eastAsia" w:ascii="宋体" w:hAnsi="宋体"/>
                <w:color w:val="auto"/>
                <w:szCs w:val="21"/>
                <w:highlight w:val="none"/>
                <w:u w:val="none"/>
                <w:lang w:val="en-US" w:eastAsia="zh-CN"/>
              </w:rPr>
              <w:t>陈先生</w:t>
            </w:r>
          </w:p>
          <w:p w14:paraId="2268A3C9">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u w:val="none"/>
              </w:rPr>
              <w:t>电  话：</w:t>
            </w:r>
            <w:r>
              <w:rPr>
                <w:rFonts w:hint="eastAsia" w:ascii="宋体" w:hAnsi="宋体"/>
                <w:color w:val="auto"/>
                <w:szCs w:val="21"/>
                <w:highlight w:val="none"/>
                <w:u w:val="none"/>
                <w:lang w:val="en-US" w:eastAsia="zh-CN"/>
              </w:rPr>
              <w:t>13974574031</w:t>
            </w:r>
          </w:p>
        </w:tc>
      </w:tr>
      <w:tr w14:paraId="433DDB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2EEDE0CB">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第2.3款</w:t>
            </w:r>
          </w:p>
        </w:tc>
        <w:tc>
          <w:tcPr>
            <w:tcW w:w="3358" w:type="dxa"/>
            <w:gridSpan w:val="2"/>
            <w:vAlign w:val="center"/>
          </w:tcPr>
          <w:p w14:paraId="2C3BCFA9">
            <w:pPr>
              <w:adjustRightInd w:val="0"/>
              <w:snapToGrid w:val="0"/>
              <w:spacing w:before="50" w:line="360" w:lineRule="auto"/>
              <w:jc w:val="both"/>
              <w:rPr>
                <w:color w:val="auto"/>
                <w:highlight w:val="none"/>
              </w:rPr>
            </w:pPr>
            <w:r>
              <w:rPr>
                <w:rFonts w:hint="eastAsia"/>
                <w:color w:val="auto"/>
                <w:highlight w:val="none"/>
              </w:rPr>
              <w:t>采购代理机构名称、地址、电话、联系人</w:t>
            </w:r>
          </w:p>
        </w:tc>
        <w:tc>
          <w:tcPr>
            <w:tcW w:w="4272" w:type="dxa"/>
            <w:vAlign w:val="center"/>
          </w:tcPr>
          <w:p w14:paraId="02244157">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bCs/>
                <w:color w:val="auto"/>
                <w:szCs w:val="21"/>
                <w:highlight w:val="none"/>
                <w:u w:val="none"/>
              </w:rPr>
              <w:t>名  称：</w:t>
            </w:r>
            <w:r>
              <w:rPr>
                <w:rFonts w:hint="eastAsia" w:ascii="宋体" w:hAnsi="宋体"/>
                <w:color w:val="auto"/>
                <w:szCs w:val="21"/>
                <w:highlight w:val="none"/>
                <w:u w:val="none"/>
                <w:lang w:val="en-US" w:eastAsia="zh-CN"/>
              </w:rPr>
              <w:t>湖南华中源工程项目管理有限公司</w:t>
            </w:r>
          </w:p>
          <w:p w14:paraId="4270E517">
            <w:pPr>
              <w:adjustRightInd w:val="0"/>
              <w:snapToGrid w:val="0"/>
              <w:spacing w:line="360" w:lineRule="auto"/>
              <w:rPr>
                <w:rFonts w:ascii="宋体" w:hAnsi="宋体"/>
                <w:color w:val="auto"/>
                <w:szCs w:val="21"/>
                <w:highlight w:val="none"/>
                <w:u w:val="none"/>
              </w:rPr>
            </w:pPr>
            <w:r>
              <w:rPr>
                <w:rFonts w:hint="eastAsia" w:ascii="宋体" w:hAnsi="宋体"/>
                <w:color w:val="auto"/>
                <w:szCs w:val="21"/>
                <w:highlight w:val="none"/>
                <w:u w:val="none"/>
              </w:rPr>
              <w:t>地  址：</w:t>
            </w:r>
            <w:r>
              <w:rPr>
                <w:rFonts w:hint="eastAsia" w:ascii="宋体" w:hAnsi="宋体" w:cs="宋体"/>
                <w:color w:val="auto"/>
                <w:szCs w:val="21"/>
                <w:highlight w:val="none"/>
                <w:u w:val="none"/>
                <w:lang w:eastAsia="zh-CN"/>
              </w:rPr>
              <w:t>怀化市鹤城区怀北路华美立家1栋三楼</w:t>
            </w:r>
          </w:p>
          <w:p w14:paraId="4BB57144">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rPr>
              <w:t>联系人：</w:t>
            </w:r>
            <w:r>
              <w:rPr>
                <w:rFonts w:hint="eastAsia" w:ascii="宋体" w:hAnsi="宋体"/>
                <w:color w:val="auto"/>
                <w:szCs w:val="21"/>
                <w:highlight w:val="none"/>
                <w:u w:val="none"/>
                <w:lang w:val="en-US" w:eastAsia="zh-CN"/>
              </w:rPr>
              <w:t>杨先生、张女士</w:t>
            </w:r>
          </w:p>
          <w:p w14:paraId="304755D8">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u w:val="none"/>
              </w:rPr>
              <w:t>电  话：</w:t>
            </w:r>
            <w:r>
              <w:rPr>
                <w:rFonts w:hint="eastAsia" w:ascii="宋体" w:hAnsi="宋体"/>
                <w:color w:val="auto"/>
                <w:szCs w:val="21"/>
                <w:highlight w:val="none"/>
                <w:u w:val="none"/>
                <w:lang w:val="en-US" w:eastAsia="zh-CN"/>
              </w:rPr>
              <w:t>0745-2235900、18174539988</w:t>
            </w:r>
          </w:p>
        </w:tc>
      </w:tr>
      <w:tr w14:paraId="3075F2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tcBorders>
              <w:bottom w:val="single" w:color="auto" w:sz="4" w:space="0"/>
            </w:tcBorders>
            <w:vAlign w:val="center"/>
          </w:tcPr>
          <w:p w14:paraId="1FBDCC5C">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第3.1款</w:t>
            </w:r>
          </w:p>
        </w:tc>
        <w:tc>
          <w:tcPr>
            <w:tcW w:w="3358" w:type="dxa"/>
            <w:gridSpan w:val="2"/>
            <w:vAlign w:val="center"/>
          </w:tcPr>
          <w:p w14:paraId="6945ECEF">
            <w:pPr>
              <w:adjustRightInd w:val="0"/>
              <w:snapToGrid w:val="0"/>
              <w:spacing w:before="50" w:line="360" w:lineRule="auto"/>
              <w:rPr>
                <w:rFonts w:ascii="宋体" w:hAnsi="宋体"/>
                <w:color w:val="auto"/>
                <w:szCs w:val="21"/>
                <w:highlight w:val="none"/>
              </w:rPr>
            </w:pPr>
            <w:r>
              <w:rPr>
                <w:rFonts w:hint="eastAsia" w:ascii="宋体" w:hAnsi="宋体"/>
                <w:bCs/>
                <w:color w:val="auto"/>
                <w:szCs w:val="21"/>
                <w:highlight w:val="none"/>
              </w:rPr>
              <w:t>供应商</w:t>
            </w:r>
            <w:r>
              <w:rPr>
                <w:rFonts w:hint="eastAsia" w:ascii="宋体" w:hAnsi="宋体"/>
                <w:color w:val="auto"/>
                <w:szCs w:val="21"/>
                <w:highlight w:val="none"/>
              </w:rPr>
              <w:t>资格条件</w:t>
            </w:r>
          </w:p>
        </w:tc>
        <w:tc>
          <w:tcPr>
            <w:tcW w:w="4272" w:type="dxa"/>
            <w:vAlign w:val="center"/>
          </w:tcPr>
          <w:p w14:paraId="380A4F0A">
            <w:p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1、满足《中华人民共和国政府采购法》第二十二条规定；</w:t>
            </w:r>
          </w:p>
          <w:p w14:paraId="5EB046B9">
            <w:p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2、落实政府采购政策需满足的资格要求：</w:t>
            </w:r>
          </w:p>
          <w:p w14:paraId="7A751001">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专门面向：</w:t>
            </w:r>
            <w:r>
              <w:rPr>
                <w:rFonts w:hint="eastAsia" w:ascii="宋体" w:hAnsi="宋体"/>
                <w:color w:val="auto"/>
                <w:szCs w:val="21"/>
                <w:highlight w:val="none"/>
              </w:rPr>
              <w:sym w:font="Wingdings" w:char="00A8"/>
            </w:r>
            <w:r>
              <w:rPr>
                <w:rFonts w:hint="eastAsia" w:ascii="宋体" w:hAnsi="宋体"/>
                <w:color w:val="auto"/>
                <w:szCs w:val="21"/>
                <w:highlight w:val="none"/>
              </w:rPr>
              <w:t xml:space="preserve">中小企业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小微企业 </w:t>
            </w:r>
            <w:r>
              <w:rPr>
                <w:rFonts w:hint="eastAsia" w:ascii="宋体" w:hAnsi="宋体"/>
                <w:color w:val="auto"/>
                <w:szCs w:val="21"/>
                <w:highlight w:val="none"/>
              </w:rPr>
              <w:sym w:font="Wingdings" w:char="00A8"/>
            </w:r>
            <w:r>
              <w:rPr>
                <w:rFonts w:hint="eastAsia" w:ascii="宋体" w:hAnsi="宋体"/>
                <w:color w:val="auto"/>
                <w:szCs w:val="21"/>
                <w:highlight w:val="none"/>
              </w:rPr>
              <w:t xml:space="preserve">监狱企业 </w:t>
            </w:r>
            <w:r>
              <w:rPr>
                <w:rFonts w:hint="eastAsia" w:ascii="宋体" w:hAnsi="宋体"/>
                <w:color w:val="auto"/>
                <w:szCs w:val="21"/>
                <w:highlight w:val="none"/>
              </w:rPr>
              <w:sym w:font="Wingdings" w:char="00A8"/>
            </w:r>
            <w:r>
              <w:rPr>
                <w:rFonts w:hint="eastAsia" w:ascii="宋体" w:hAnsi="宋体"/>
                <w:color w:val="auto"/>
                <w:szCs w:val="21"/>
                <w:highlight w:val="none"/>
              </w:rPr>
              <w:t>福利性单位。</w:t>
            </w:r>
          </w:p>
          <w:p w14:paraId="53A2FBF6">
            <w:pPr>
              <w:adjustRightInd w:val="0"/>
              <w:snapToGrid w:val="0"/>
              <w:spacing w:before="50" w:line="360" w:lineRule="auto"/>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强制分包：大型企业应将采购份额的   </w:t>
            </w:r>
            <w:r>
              <w:rPr>
                <w:rFonts w:hint="eastAsia" w:ascii="宋体" w:hAnsi="宋体"/>
                <w:color w:val="auto"/>
                <w:szCs w:val="21"/>
                <w:highlight w:val="none"/>
                <w:u w:val="single"/>
                <w:lang w:val="en-US"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%分包给中小企业。</w:t>
            </w:r>
          </w:p>
          <w:p w14:paraId="5B81CA21">
            <w:pPr>
              <w:numPr>
                <w:ilvl w:val="0"/>
                <w:numId w:val="4"/>
              </w:num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本项目的特定资格要求：</w:t>
            </w:r>
          </w:p>
          <w:p w14:paraId="1B4F2B67">
            <w:pPr>
              <w:numPr>
                <w:ilvl w:val="0"/>
                <w:numId w:val="0"/>
              </w:numPr>
              <w:adjustRightInd w:val="0"/>
              <w:snapToGrid w:val="0"/>
              <w:spacing w:before="50" w:line="360" w:lineRule="auto"/>
              <w:rPr>
                <w:rFonts w:hint="eastAsia" w:ascii="宋体" w:hAnsi="宋体"/>
                <w:color w:val="auto"/>
                <w:szCs w:val="21"/>
                <w:highlight w:val="none"/>
                <w:lang w:eastAsia="zh-CN"/>
              </w:rPr>
            </w:pPr>
            <w:r>
              <w:rPr>
                <w:rFonts w:hint="eastAsia" w:ascii="宋体" w:hAnsi="宋体"/>
                <w:color w:val="auto"/>
                <w:szCs w:val="21"/>
                <w:highlight w:val="none"/>
                <w:lang w:eastAsia="zh-CN"/>
              </w:rPr>
              <w:t>（1）所投货物若纳入医疗器械管理的，投标人须具有医疗器械生产或经营许可证（或相应的备案凭证）；</w:t>
            </w:r>
          </w:p>
          <w:p w14:paraId="2F599776">
            <w:pPr>
              <w:numPr>
                <w:ilvl w:val="0"/>
                <w:numId w:val="0"/>
              </w:num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lang w:eastAsia="zh-CN"/>
              </w:rPr>
              <w:t>（2）所投货物若纳入医疗器械管理的，货物须具有有效的医疗器械产品注册证（或备案凭证）</w:t>
            </w:r>
            <w:r>
              <w:rPr>
                <w:rFonts w:hint="eastAsia" w:ascii="宋体" w:hAnsi="宋体"/>
                <w:color w:val="auto"/>
                <w:szCs w:val="21"/>
                <w:highlight w:val="none"/>
                <w:lang w:val="en-US" w:eastAsia="zh-CN"/>
              </w:rPr>
              <w:t>。</w:t>
            </w:r>
          </w:p>
          <w:p w14:paraId="40DB8683">
            <w:p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4、单位负责人为同一人或者存在直接控股、管理关系的不同 供应商，不得参加同一合同项下的政府采购活动。</w:t>
            </w:r>
          </w:p>
          <w:p w14:paraId="68FEA7E5">
            <w:p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5、为本采购项目提供整体设计、规范编制或者项目管理、监理、检测等服务的，不得再参加此项目的其他采购活动。</w:t>
            </w:r>
          </w:p>
          <w:p w14:paraId="23E3144C">
            <w:p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6、列入失信被执行人、重大税收违法失信主体名单、政府采购严重违法失信行为记录名单的，拒绝其参与政府采购活动。</w:t>
            </w:r>
          </w:p>
          <w:p w14:paraId="6D034A4C">
            <w:p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7、联合体响应。本次采购</w:t>
            </w:r>
            <w:r>
              <w:rPr>
                <w:rFonts w:ascii="宋体" w:hAnsi="宋体"/>
                <w:color w:val="auto"/>
                <w:szCs w:val="21"/>
                <w:highlight w:val="none"/>
                <w:u w:val="single"/>
              </w:rPr>
              <w:t xml:space="preserve"> 不接受 </w:t>
            </w:r>
            <w:r>
              <w:rPr>
                <w:rFonts w:ascii="宋体" w:hAnsi="宋体"/>
                <w:color w:val="auto"/>
                <w:szCs w:val="21"/>
                <w:highlight w:val="none"/>
              </w:rPr>
              <w:t>联合体响应。</w:t>
            </w:r>
          </w:p>
        </w:tc>
      </w:tr>
      <w:tr w14:paraId="4365CE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tcBorders>
              <w:bottom w:val="single" w:color="auto" w:sz="4" w:space="0"/>
            </w:tcBorders>
            <w:vAlign w:val="center"/>
          </w:tcPr>
          <w:p w14:paraId="45580BA6">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第3.2款</w:t>
            </w:r>
          </w:p>
        </w:tc>
        <w:tc>
          <w:tcPr>
            <w:tcW w:w="3358" w:type="dxa"/>
            <w:gridSpan w:val="2"/>
            <w:vAlign w:val="center"/>
          </w:tcPr>
          <w:p w14:paraId="2E5BAC05">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是否接受联合体形式</w:t>
            </w:r>
          </w:p>
        </w:tc>
        <w:tc>
          <w:tcPr>
            <w:tcW w:w="4272" w:type="dxa"/>
            <w:vAlign w:val="center"/>
          </w:tcPr>
          <w:p w14:paraId="0825ED14">
            <w:pPr>
              <w:adjustRightInd w:val="0"/>
              <w:snapToGrid w:val="0"/>
              <w:spacing w:before="5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不接受</w:t>
            </w:r>
          </w:p>
        </w:tc>
      </w:tr>
      <w:tr w14:paraId="463F33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5C285825">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第5.1款</w:t>
            </w:r>
          </w:p>
        </w:tc>
        <w:tc>
          <w:tcPr>
            <w:tcW w:w="3358" w:type="dxa"/>
            <w:gridSpan w:val="2"/>
            <w:vAlign w:val="center"/>
          </w:tcPr>
          <w:p w14:paraId="369AABCB">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现场勘察</w:t>
            </w:r>
          </w:p>
        </w:tc>
        <w:tc>
          <w:tcPr>
            <w:tcW w:w="4272" w:type="dxa"/>
            <w:vAlign w:val="center"/>
          </w:tcPr>
          <w:p w14:paraId="687A1E1A">
            <w:pPr>
              <w:adjustRightInd w:val="0"/>
              <w:snapToGrid w:val="0"/>
              <w:spacing w:before="5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不组织</w:t>
            </w:r>
            <w:r>
              <w:rPr>
                <w:rFonts w:hint="default" w:ascii="宋体" w:hAnsi="宋体" w:eastAsia="宋体"/>
                <w:color w:val="auto"/>
                <w:szCs w:val="21"/>
                <w:highlight w:val="none"/>
                <w:lang w:val="en-US" w:eastAsia="zh-CN"/>
              </w:rPr>
              <w:t>，供应商如自行勘察，费用自理，安全自负。</w:t>
            </w:r>
          </w:p>
        </w:tc>
      </w:tr>
      <w:tr w14:paraId="6343EA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252" w:type="dxa"/>
            <w:gridSpan w:val="4"/>
            <w:vAlign w:val="center"/>
          </w:tcPr>
          <w:p w14:paraId="68E6FF1B">
            <w:pPr>
              <w:adjustRightInd w:val="0"/>
              <w:snapToGrid w:val="0"/>
              <w:spacing w:before="50" w:line="360" w:lineRule="auto"/>
              <w:rPr>
                <w:rFonts w:ascii="宋体" w:hAnsi="宋体"/>
                <w:b/>
                <w:color w:val="auto"/>
                <w:szCs w:val="21"/>
                <w:highlight w:val="none"/>
              </w:rPr>
            </w:pPr>
            <w:r>
              <w:rPr>
                <w:rFonts w:hint="eastAsia" w:ascii="宋体" w:hAnsi="宋体"/>
                <w:b/>
                <w:color w:val="auto"/>
                <w:szCs w:val="21"/>
                <w:highlight w:val="none"/>
              </w:rPr>
              <w:t>二、谈判文件</w:t>
            </w:r>
          </w:p>
        </w:tc>
      </w:tr>
      <w:tr w14:paraId="412FC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5E488661">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第6.3款</w:t>
            </w:r>
          </w:p>
        </w:tc>
        <w:tc>
          <w:tcPr>
            <w:tcW w:w="3358" w:type="dxa"/>
            <w:gridSpan w:val="2"/>
            <w:vAlign w:val="center"/>
          </w:tcPr>
          <w:p w14:paraId="49ECA147">
            <w:pPr>
              <w:adjustRightInd w:val="0"/>
              <w:snapToGrid w:val="0"/>
              <w:spacing w:before="50" w:line="360" w:lineRule="auto"/>
              <w:rPr>
                <w:rFonts w:ascii="宋体" w:hAnsi="宋体"/>
                <w:color w:val="auto"/>
                <w:szCs w:val="21"/>
                <w:highlight w:val="none"/>
              </w:rPr>
            </w:pPr>
            <w:r>
              <w:rPr>
                <w:rFonts w:hint="eastAsia" w:ascii="宋体" w:hAnsi="宋体"/>
                <w:bCs/>
                <w:color w:val="auto"/>
                <w:szCs w:val="21"/>
                <w:highlight w:val="none"/>
              </w:rPr>
              <w:t>谈判文件的实质性变动内容</w:t>
            </w:r>
          </w:p>
        </w:tc>
        <w:tc>
          <w:tcPr>
            <w:tcW w:w="4272" w:type="dxa"/>
            <w:vAlign w:val="center"/>
          </w:tcPr>
          <w:p w14:paraId="4040D2D9">
            <w:pPr>
              <w:adjustRightInd w:val="0"/>
              <w:snapToGrid w:val="0"/>
              <w:spacing w:before="50" w:line="360"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r>
      <w:tr w14:paraId="4AAF02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4"/>
            <w:vAlign w:val="center"/>
          </w:tcPr>
          <w:p w14:paraId="2C7514F7">
            <w:pPr>
              <w:adjustRightInd w:val="0"/>
              <w:snapToGrid w:val="0"/>
              <w:spacing w:before="50" w:line="360" w:lineRule="auto"/>
              <w:rPr>
                <w:rFonts w:ascii="宋体" w:hAnsi="宋体"/>
                <w:color w:val="auto"/>
                <w:szCs w:val="21"/>
                <w:highlight w:val="none"/>
              </w:rPr>
            </w:pPr>
            <w:r>
              <w:rPr>
                <w:rFonts w:hint="eastAsia" w:ascii="宋体" w:hAnsi="宋体"/>
                <w:b/>
                <w:color w:val="auto"/>
                <w:szCs w:val="21"/>
                <w:highlight w:val="none"/>
              </w:rPr>
              <w:t>三、响应文件的编写</w:t>
            </w:r>
          </w:p>
        </w:tc>
      </w:tr>
      <w:tr w14:paraId="6B1723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622" w:type="dxa"/>
            <w:vAlign w:val="center"/>
          </w:tcPr>
          <w:p w14:paraId="177312DB">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第11.3款</w:t>
            </w:r>
          </w:p>
        </w:tc>
        <w:tc>
          <w:tcPr>
            <w:tcW w:w="3358" w:type="dxa"/>
            <w:gridSpan w:val="2"/>
            <w:vAlign w:val="center"/>
          </w:tcPr>
          <w:p w14:paraId="2872CB0D">
            <w:pPr>
              <w:adjustRightInd w:val="0"/>
              <w:snapToGrid w:val="0"/>
              <w:spacing w:before="50" w:line="360" w:lineRule="auto"/>
              <w:jc w:val="left"/>
              <w:rPr>
                <w:rFonts w:hint="eastAsia" w:ascii="宋体" w:hAnsi="宋体" w:eastAsia="宋体"/>
                <w:color w:val="auto"/>
                <w:szCs w:val="21"/>
                <w:highlight w:val="none"/>
                <w:lang w:eastAsia="zh-CN"/>
              </w:rPr>
            </w:pPr>
            <w:r>
              <w:rPr>
                <w:rFonts w:hint="eastAsia" w:ascii="宋体" w:hAnsi="宋体"/>
                <w:color w:val="auto"/>
                <w:szCs w:val="21"/>
                <w:highlight w:val="none"/>
              </w:rPr>
              <w:t>采购项目预算</w:t>
            </w:r>
            <w:r>
              <w:rPr>
                <w:rFonts w:hint="eastAsia" w:ascii="宋体" w:hAnsi="宋体"/>
                <w:color w:val="auto"/>
                <w:szCs w:val="21"/>
                <w:highlight w:val="none"/>
                <w:lang w:eastAsia="zh-CN"/>
              </w:rPr>
              <w:t>及最高限价</w:t>
            </w:r>
          </w:p>
        </w:tc>
        <w:tc>
          <w:tcPr>
            <w:tcW w:w="4272" w:type="dxa"/>
            <w:vAlign w:val="center"/>
          </w:tcPr>
          <w:p w14:paraId="2548085E">
            <w:pPr>
              <w:adjustRightInd w:val="0"/>
              <w:snapToGrid w:val="0"/>
              <w:spacing w:before="50" w:line="360" w:lineRule="auto"/>
              <w:jc w:val="left"/>
              <w:rPr>
                <w:rFonts w:hint="eastAsia" w:ascii="宋体" w:hAnsi="宋体"/>
                <w:b/>
                <w:bCs w:val="0"/>
                <w:color w:val="auto"/>
                <w:szCs w:val="21"/>
                <w:highlight w:val="none"/>
                <w:u w:val="none"/>
                <w:lang w:val="en-US" w:eastAsia="zh-CN"/>
              </w:rPr>
            </w:pPr>
            <w:r>
              <w:rPr>
                <w:rFonts w:hint="eastAsia" w:ascii="宋体" w:hAnsi="宋体"/>
                <w:color w:val="auto"/>
                <w:szCs w:val="21"/>
                <w:highlight w:val="none"/>
                <w:lang w:eastAsia="zh-CN"/>
              </w:rPr>
              <w:t>本</w:t>
            </w:r>
            <w:r>
              <w:rPr>
                <w:rFonts w:hint="eastAsia" w:ascii="宋体" w:hAnsi="宋体"/>
                <w:color w:val="auto"/>
                <w:szCs w:val="21"/>
                <w:highlight w:val="none"/>
              </w:rPr>
              <w:t>项目预算</w:t>
            </w:r>
            <w:r>
              <w:rPr>
                <w:rFonts w:hint="eastAsia" w:ascii="宋体" w:hAnsi="宋体"/>
                <w:color w:val="auto"/>
                <w:szCs w:val="21"/>
                <w:highlight w:val="none"/>
                <w:lang w:eastAsia="zh-CN"/>
              </w:rPr>
              <w:t>及最高限价：</w:t>
            </w:r>
            <w:r>
              <w:rPr>
                <w:rFonts w:hint="eastAsia" w:ascii="宋体" w:hAnsi="宋体"/>
                <w:b/>
                <w:bCs w:val="0"/>
                <w:color w:val="auto"/>
                <w:szCs w:val="21"/>
                <w:highlight w:val="none"/>
                <w:u w:val="none"/>
                <w:lang w:val="en-US" w:eastAsia="zh-CN"/>
              </w:rPr>
              <w:t>120万元</w:t>
            </w:r>
          </w:p>
          <w:p w14:paraId="7122C35B">
            <w:pPr>
              <w:pStyle w:val="2"/>
              <w:ind w:left="0" w:leftChars="0" w:firstLine="0" w:firstLineChars="0"/>
              <w:rPr>
                <w:rFonts w:hint="eastAsia" w:ascii="宋体" w:hAnsi="宋体"/>
                <w:b/>
                <w:bCs w:val="0"/>
                <w:color w:val="auto"/>
                <w:szCs w:val="21"/>
                <w:highlight w:val="none"/>
                <w:u w:val="none"/>
                <w:lang w:val="en-US" w:eastAsia="zh-CN"/>
              </w:rPr>
            </w:pPr>
            <w:r>
              <w:rPr>
                <w:rFonts w:hint="eastAsia" w:ascii="宋体" w:hAnsi="宋体"/>
                <w:b/>
                <w:bCs w:val="0"/>
                <w:color w:val="auto"/>
                <w:szCs w:val="21"/>
                <w:highlight w:val="none"/>
                <w:u w:val="none"/>
                <w:lang w:val="en-US" w:eastAsia="zh-CN"/>
              </w:rPr>
              <w:t>其中：血液透析机最高单价限价11万元/台</w:t>
            </w:r>
          </w:p>
          <w:p w14:paraId="68D83AE8">
            <w:pPr>
              <w:pStyle w:val="2"/>
              <w:ind w:left="0" w:leftChars="0" w:firstLine="0" w:firstLineChars="0"/>
              <w:rPr>
                <w:rFonts w:hint="eastAsia" w:ascii="宋体" w:hAnsi="宋体"/>
                <w:b/>
                <w:bCs w:val="0"/>
                <w:color w:val="auto"/>
                <w:szCs w:val="21"/>
                <w:highlight w:val="none"/>
                <w:u w:val="none"/>
                <w:lang w:val="en-US" w:eastAsia="zh-CN"/>
              </w:rPr>
            </w:pPr>
            <w:r>
              <w:rPr>
                <w:rFonts w:hint="eastAsia" w:ascii="宋体" w:hAnsi="宋体"/>
                <w:b/>
                <w:bCs w:val="0"/>
                <w:color w:val="auto"/>
                <w:szCs w:val="21"/>
                <w:highlight w:val="none"/>
                <w:u w:val="none"/>
                <w:lang w:val="en-US" w:eastAsia="zh-CN"/>
              </w:rPr>
              <w:t>血液透析用制水设备最高单价限价19万元/套</w:t>
            </w:r>
          </w:p>
          <w:p w14:paraId="544F9F5C">
            <w:pPr>
              <w:pStyle w:val="2"/>
              <w:ind w:left="0" w:leftChars="0" w:firstLine="0" w:firstLineChars="0"/>
              <w:rPr>
                <w:rFonts w:hint="default" w:ascii="宋体" w:hAnsi="宋体"/>
                <w:b/>
                <w:bCs w:val="0"/>
                <w:color w:val="auto"/>
                <w:szCs w:val="21"/>
                <w:highlight w:val="none"/>
                <w:u w:val="none"/>
                <w:lang w:val="en-US" w:eastAsia="zh-CN"/>
              </w:rPr>
            </w:pPr>
            <w:r>
              <w:rPr>
                <w:rFonts w:hint="eastAsia" w:ascii="宋体" w:hAnsi="宋体"/>
                <w:b/>
                <w:bCs w:val="0"/>
                <w:color w:val="auto"/>
                <w:szCs w:val="21"/>
                <w:highlight w:val="none"/>
                <w:u w:val="none"/>
                <w:lang w:val="en-US" w:eastAsia="zh-CN"/>
              </w:rPr>
              <w:t>血液透析滤过机最高单价限价13万元/台</w:t>
            </w:r>
          </w:p>
        </w:tc>
      </w:tr>
      <w:tr w14:paraId="08E07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622" w:type="dxa"/>
            <w:vAlign w:val="center"/>
          </w:tcPr>
          <w:p w14:paraId="2C081072">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第11.6款</w:t>
            </w:r>
          </w:p>
        </w:tc>
        <w:tc>
          <w:tcPr>
            <w:tcW w:w="3358" w:type="dxa"/>
            <w:gridSpan w:val="2"/>
            <w:vAlign w:val="center"/>
          </w:tcPr>
          <w:p w14:paraId="148614DF">
            <w:pPr>
              <w:adjustRightInd w:val="0"/>
              <w:snapToGrid w:val="0"/>
              <w:spacing w:before="50" w:line="360" w:lineRule="auto"/>
              <w:jc w:val="left"/>
              <w:rPr>
                <w:rFonts w:ascii="宋体" w:hAnsi="宋体"/>
                <w:color w:val="auto"/>
                <w:szCs w:val="21"/>
                <w:highlight w:val="none"/>
              </w:rPr>
            </w:pPr>
            <w:r>
              <w:rPr>
                <w:rFonts w:hint="eastAsia" w:ascii="宋体" w:hAnsi="宋体"/>
                <w:color w:val="auto"/>
                <w:szCs w:val="21"/>
                <w:highlight w:val="none"/>
              </w:rPr>
              <w:t>报价的其他要求</w:t>
            </w:r>
          </w:p>
        </w:tc>
        <w:tc>
          <w:tcPr>
            <w:tcW w:w="4272" w:type="dxa"/>
            <w:vAlign w:val="center"/>
          </w:tcPr>
          <w:p w14:paraId="7F54572A">
            <w:pPr>
              <w:adjustRightInd w:val="0"/>
              <w:snapToGrid w:val="0"/>
              <w:spacing w:before="50" w:line="360" w:lineRule="auto"/>
              <w:jc w:val="left"/>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供应商</w:t>
            </w:r>
            <w:r>
              <w:rPr>
                <w:rFonts w:hint="eastAsia" w:ascii="宋体" w:hAnsi="宋体"/>
                <w:color w:val="auto"/>
                <w:szCs w:val="21"/>
                <w:highlight w:val="none"/>
                <w:lang w:eastAsia="zh-CN"/>
              </w:rPr>
              <w:t>投标</w:t>
            </w:r>
            <w:r>
              <w:rPr>
                <w:rFonts w:hint="eastAsia" w:ascii="宋体" w:hAnsi="宋体"/>
                <w:color w:val="auto"/>
                <w:szCs w:val="21"/>
                <w:highlight w:val="none"/>
                <w:lang w:val="en-US" w:eastAsia="zh-CN"/>
              </w:rPr>
              <w:t>单价及</w:t>
            </w:r>
            <w:r>
              <w:rPr>
                <w:rFonts w:hint="eastAsia" w:ascii="宋体" w:hAnsi="宋体"/>
                <w:color w:val="auto"/>
                <w:szCs w:val="21"/>
                <w:highlight w:val="none"/>
                <w:lang w:eastAsia="zh-CN"/>
              </w:rPr>
              <w:t>总</w:t>
            </w:r>
            <w:r>
              <w:rPr>
                <w:rFonts w:hint="eastAsia" w:ascii="宋体" w:hAnsi="宋体"/>
                <w:color w:val="auto"/>
                <w:szCs w:val="21"/>
                <w:highlight w:val="none"/>
              </w:rPr>
              <w:t>价</w:t>
            </w:r>
            <w:r>
              <w:rPr>
                <w:rFonts w:hint="eastAsia" w:ascii="宋体" w:hAnsi="宋体"/>
                <w:color w:val="auto"/>
                <w:szCs w:val="21"/>
                <w:highlight w:val="none"/>
                <w:lang w:val="en-US" w:eastAsia="zh-CN"/>
              </w:rPr>
              <w:t>均</w:t>
            </w:r>
            <w:r>
              <w:rPr>
                <w:rFonts w:hint="eastAsia" w:ascii="宋体" w:hAnsi="宋体"/>
                <w:color w:val="auto"/>
                <w:szCs w:val="21"/>
                <w:highlight w:val="none"/>
              </w:rPr>
              <w:t>不</w:t>
            </w:r>
            <w:r>
              <w:rPr>
                <w:rFonts w:hint="eastAsia" w:ascii="宋体" w:hAnsi="宋体"/>
                <w:color w:val="auto"/>
                <w:szCs w:val="21"/>
                <w:highlight w:val="none"/>
                <w:lang w:eastAsia="zh-CN"/>
              </w:rPr>
              <w:t>得</w:t>
            </w:r>
            <w:r>
              <w:rPr>
                <w:rFonts w:hint="eastAsia" w:ascii="宋体" w:hAnsi="宋体"/>
                <w:color w:val="auto"/>
                <w:szCs w:val="21"/>
                <w:highlight w:val="none"/>
              </w:rPr>
              <w:t>超出</w:t>
            </w:r>
            <w:r>
              <w:rPr>
                <w:rFonts w:hint="eastAsia" w:ascii="宋体" w:hAnsi="宋体"/>
                <w:color w:val="auto"/>
                <w:szCs w:val="21"/>
                <w:highlight w:val="none"/>
                <w:lang w:val="en-US" w:eastAsia="zh-CN"/>
              </w:rPr>
              <w:t>公布的</w:t>
            </w:r>
            <w:r>
              <w:rPr>
                <w:rFonts w:hint="eastAsia" w:ascii="宋体" w:hAnsi="宋体"/>
                <w:color w:val="auto"/>
                <w:szCs w:val="21"/>
                <w:highlight w:val="none"/>
                <w:lang w:eastAsia="zh-CN"/>
              </w:rPr>
              <w:t>最高限价</w:t>
            </w:r>
            <w:r>
              <w:rPr>
                <w:rFonts w:hint="eastAsia" w:ascii="宋体" w:hAnsi="宋体"/>
                <w:color w:val="auto"/>
                <w:szCs w:val="21"/>
                <w:highlight w:val="none"/>
                <w:lang w:val="en-US" w:eastAsia="zh-CN"/>
              </w:rPr>
              <w:t>单价及总价</w:t>
            </w:r>
            <w:r>
              <w:rPr>
                <w:rFonts w:hint="eastAsia" w:ascii="宋体" w:hAnsi="宋体"/>
                <w:color w:val="auto"/>
                <w:szCs w:val="21"/>
                <w:highlight w:val="none"/>
              </w:rPr>
              <w:t>，否则视为</w:t>
            </w:r>
            <w:r>
              <w:rPr>
                <w:rFonts w:hint="eastAsia" w:ascii="宋体" w:hAnsi="宋体"/>
                <w:color w:val="auto"/>
                <w:szCs w:val="21"/>
                <w:highlight w:val="none"/>
                <w:lang w:eastAsia="zh-CN"/>
              </w:rPr>
              <w:t>无效响应文件</w:t>
            </w:r>
            <w:r>
              <w:rPr>
                <w:rFonts w:hint="eastAsia" w:ascii="宋体" w:hAnsi="宋体"/>
                <w:color w:val="auto"/>
                <w:szCs w:val="21"/>
                <w:highlight w:val="none"/>
              </w:rPr>
              <w:t>。</w:t>
            </w:r>
          </w:p>
          <w:p w14:paraId="07C75426">
            <w:pPr>
              <w:adjustRightInd w:val="0"/>
              <w:snapToGrid w:val="0"/>
              <w:spacing w:before="50" w:line="360" w:lineRule="auto"/>
              <w:jc w:val="left"/>
              <w:rPr>
                <w:rFonts w:hint="eastAsia" w:ascii="宋体" w:hAnsi="宋体"/>
                <w:color w:val="auto"/>
                <w:szCs w:val="21"/>
                <w:highlight w:val="none"/>
                <w:lang w:val="en-US" w:eastAsia="en-US"/>
              </w:rPr>
            </w:pPr>
            <w:r>
              <w:rPr>
                <w:rFonts w:hint="eastAsia" w:ascii="宋体" w:hAnsi="宋体"/>
                <w:color w:val="auto"/>
                <w:szCs w:val="21"/>
                <w:highlight w:val="none"/>
                <w:lang w:val="en-US" w:eastAsia="en-US"/>
              </w:rPr>
              <w:t>2、根据财库〔2026〕2 号文之规定，当政府采购评审中出现下列情形之一的，评审委员会应当启动异常低价投标（响应）审查程序：</w:t>
            </w:r>
          </w:p>
          <w:p w14:paraId="49C7114B">
            <w:pPr>
              <w:adjustRightInd w:val="0"/>
              <w:snapToGrid w:val="0"/>
              <w:spacing w:before="50" w:line="360" w:lineRule="auto"/>
              <w:jc w:val="left"/>
              <w:rPr>
                <w:rFonts w:hint="eastAsia" w:ascii="宋体" w:hAnsi="宋体"/>
                <w:color w:val="auto"/>
                <w:szCs w:val="21"/>
                <w:highlight w:val="none"/>
                <w:lang w:val="en-US" w:eastAsia="en-US"/>
              </w:rPr>
            </w:pPr>
            <w:r>
              <w:rPr>
                <w:rFonts w:hint="eastAsia" w:ascii="宋体" w:hAnsi="宋体"/>
                <w:color w:val="auto"/>
                <w:szCs w:val="21"/>
                <w:highlight w:val="none"/>
                <w:lang w:val="en-US" w:eastAsia="en-US"/>
              </w:rPr>
              <w:t>（1）投标（响应）报价低于全部通过符合性审查供应商投标（响应）报价平均值50%的，即投标（响应）报价&lt;全部通过符合性审查供应商投标（响应）报价平均值×50%；</w:t>
            </w:r>
          </w:p>
          <w:p w14:paraId="67A0F589">
            <w:pPr>
              <w:adjustRightInd w:val="0"/>
              <w:snapToGrid w:val="0"/>
              <w:spacing w:before="50" w:line="360" w:lineRule="auto"/>
              <w:jc w:val="left"/>
              <w:rPr>
                <w:rFonts w:hint="eastAsia" w:ascii="宋体" w:hAnsi="宋体"/>
                <w:color w:val="auto"/>
                <w:szCs w:val="21"/>
                <w:highlight w:val="none"/>
                <w:lang w:val="en-US" w:eastAsia="en-US"/>
              </w:rPr>
            </w:pPr>
            <w:r>
              <w:rPr>
                <w:rFonts w:hint="eastAsia" w:ascii="宋体" w:hAnsi="宋体"/>
                <w:color w:val="auto"/>
                <w:szCs w:val="21"/>
                <w:highlight w:val="none"/>
                <w:lang w:val="en-US" w:eastAsia="en-US"/>
              </w:rPr>
              <w:t>（2）投标（响应）报价低于通过符合性审查的次低报价供应商投标（响应）报价50%的，即投标（响应）报价&lt;通过符合性审查的次低报价供应商投标（响应）报价×50% ；</w:t>
            </w:r>
          </w:p>
          <w:p w14:paraId="070AE8A7">
            <w:pPr>
              <w:adjustRightInd w:val="0"/>
              <w:snapToGrid w:val="0"/>
              <w:spacing w:before="50"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en-US"/>
              </w:rPr>
              <w:t>（3）投标（响应）报价低于采购项目最高限价</w:t>
            </w:r>
            <w:r>
              <w:rPr>
                <w:rFonts w:hint="eastAsia" w:ascii="宋体" w:hAnsi="宋体"/>
                <w:color w:val="auto"/>
                <w:szCs w:val="21"/>
                <w:highlight w:val="none"/>
                <w:lang w:val="en-US" w:eastAsia="zh-CN"/>
              </w:rPr>
              <w:t>45%的，即投标（响应）报价&lt;采购项目最高限价×45% ；</w:t>
            </w:r>
          </w:p>
          <w:p w14:paraId="7A4ADDE2">
            <w:pPr>
              <w:adjustRightInd w:val="0"/>
              <w:snapToGrid w:val="0"/>
              <w:spacing w:before="50" w:line="360" w:lineRule="auto"/>
              <w:jc w:val="left"/>
              <w:rPr>
                <w:rFonts w:hint="eastAsia" w:ascii="宋体" w:hAnsi="宋体"/>
                <w:color w:val="auto"/>
                <w:szCs w:val="21"/>
                <w:highlight w:val="none"/>
                <w:lang w:val="en-US" w:eastAsia="en-US"/>
              </w:rPr>
            </w:pPr>
            <w:r>
              <w:rPr>
                <w:rFonts w:hint="eastAsia" w:ascii="宋体" w:hAnsi="宋体"/>
                <w:color w:val="auto"/>
                <w:szCs w:val="21"/>
                <w:highlight w:val="none"/>
                <w:lang w:val="en-US" w:eastAsia="en-US"/>
              </w:rPr>
              <w:t>（4）评审委员会基于专业判断，认为供应商报价过低，有可能影响产品质量或者不能诚信履约的其他情形。</w:t>
            </w:r>
          </w:p>
          <w:p w14:paraId="08C9EA15">
            <w:pPr>
              <w:adjustRightInd w:val="0"/>
              <w:snapToGrid w:val="0"/>
              <w:spacing w:before="50" w:line="360" w:lineRule="auto"/>
              <w:ind w:firstLine="420" w:firstLineChars="200"/>
              <w:jc w:val="left"/>
              <w:rPr>
                <w:rFonts w:hint="eastAsia" w:ascii="宋体" w:hAnsi="宋体"/>
                <w:color w:val="auto"/>
                <w:szCs w:val="21"/>
                <w:highlight w:val="none"/>
                <w:lang w:val="en-US" w:eastAsia="en-US"/>
              </w:rPr>
            </w:pPr>
            <w:r>
              <w:rPr>
                <w:rFonts w:hint="eastAsia" w:ascii="宋体" w:hAnsi="宋体"/>
                <w:color w:val="auto"/>
                <w:szCs w:val="21"/>
                <w:highlight w:val="none"/>
                <w:lang w:val="en-US" w:eastAsia="en-US"/>
              </w:rPr>
              <w:t>采购人可以结合具体项目实际情况，提高上述第1项至第3项中启动异常低价投标（响应）审查的数值标准，但是最高不得超过65%。</w:t>
            </w:r>
          </w:p>
          <w:p w14:paraId="29086A4F">
            <w:pPr>
              <w:adjustRightInd w:val="0"/>
              <w:snapToGrid w:val="0"/>
              <w:spacing w:before="50" w:line="360" w:lineRule="auto"/>
              <w:jc w:val="left"/>
              <w:rPr>
                <w:rFonts w:ascii="宋体" w:hAnsi="宋体"/>
                <w:color w:val="auto"/>
                <w:szCs w:val="21"/>
                <w:highlight w:val="none"/>
              </w:rPr>
            </w:pPr>
            <w:r>
              <w:rPr>
                <w:rFonts w:hint="eastAsia" w:ascii="宋体" w:hAnsi="宋体"/>
                <w:color w:val="auto"/>
                <w:szCs w:val="21"/>
                <w:highlight w:val="none"/>
                <w:lang w:val="en-US" w:eastAsia="en-US"/>
              </w:rPr>
              <w:t>相关法律法规对供应商报价有规定的，从其规定。</w:t>
            </w:r>
          </w:p>
        </w:tc>
      </w:tr>
      <w:tr w14:paraId="22A6EF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622" w:type="dxa"/>
            <w:vAlign w:val="center"/>
          </w:tcPr>
          <w:p w14:paraId="777A7610">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第12.1款</w:t>
            </w:r>
          </w:p>
        </w:tc>
        <w:tc>
          <w:tcPr>
            <w:tcW w:w="3358" w:type="dxa"/>
            <w:gridSpan w:val="2"/>
            <w:vAlign w:val="center"/>
          </w:tcPr>
          <w:p w14:paraId="543E8604">
            <w:pPr>
              <w:adjustRightInd w:val="0"/>
              <w:snapToGrid w:val="0"/>
              <w:spacing w:before="156" w:beforeLines="50" w:line="360" w:lineRule="auto"/>
              <w:ind w:left="-533" w:leftChars="-254" w:firstLine="533" w:firstLineChars="254"/>
              <w:rPr>
                <w:rFonts w:ascii="宋体" w:hAnsi="宋体"/>
                <w:color w:val="auto"/>
                <w:szCs w:val="21"/>
                <w:highlight w:val="none"/>
              </w:rPr>
            </w:pPr>
            <w:r>
              <w:rPr>
                <w:rFonts w:hint="eastAsia" w:ascii="宋体" w:hAnsi="宋体"/>
                <w:color w:val="auto"/>
                <w:szCs w:val="21"/>
                <w:highlight w:val="none"/>
              </w:rPr>
              <w:t>保证金</w:t>
            </w:r>
          </w:p>
        </w:tc>
        <w:tc>
          <w:tcPr>
            <w:tcW w:w="4272" w:type="dxa"/>
            <w:vAlign w:val="center"/>
          </w:tcPr>
          <w:p w14:paraId="01DC7DC7">
            <w:pPr>
              <w:adjustRightInd w:val="0"/>
              <w:snapToGrid w:val="0"/>
              <w:spacing w:before="50" w:line="360"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不要求提供</w:t>
            </w:r>
          </w:p>
        </w:tc>
      </w:tr>
      <w:tr w14:paraId="14118D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AF87C3C">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第13.1款</w:t>
            </w:r>
          </w:p>
        </w:tc>
        <w:tc>
          <w:tcPr>
            <w:tcW w:w="3358" w:type="dxa"/>
            <w:gridSpan w:val="2"/>
            <w:vAlign w:val="center"/>
          </w:tcPr>
          <w:p w14:paraId="55FA8690">
            <w:pPr>
              <w:adjustRightInd w:val="0"/>
              <w:snapToGrid w:val="0"/>
              <w:spacing w:before="156" w:beforeLines="50" w:line="360" w:lineRule="auto"/>
              <w:rPr>
                <w:rFonts w:ascii="宋体" w:hAnsi="宋体"/>
                <w:bCs/>
                <w:color w:val="auto"/>
                <w:szCs w:val="21"/>
                <w:highlight w:val="none"/>
              </w:rPr>
            </w:pPr>
            <w:r>
              <w:rPr>
                <w:rFonts w:hint="eastAsia" w:ascii="宋体" w:hAnsi="宋体"/>
                <w:bCs/>
                <w:color w:val="auto"/>
                <w:szCs w:val="21"/>
                <w:highlight w:val="none"/>
              </w:rPr>
              <w:t>响应文件有效期</w:t>
            </w:r>
          </w:p>
        </w:tc>
        <w:tc>
          <w:tcPr>
            <w:tcW w:w="4272" w:type="dxa"/>
            <w:vAlign w:val="center"/>
          </w:tcPr>
          <w:p w14:paraId="76CE410B">
            <w:pPr>
              <w:adjustRightInd w:val="0"/>
              <w:snapToGrid w:val="0"/>
              <w:spacing w:before="50" w:line="360" w:lineRule="auto"/>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90</w:t>
            </w:r>
            <w:r>
              <w:rPr>
                <w:color w:val="auto"/>
                <w:spacing w:val="-9"/>
                <w:highlight w:val="none"/>
              </w:rPr>
              <w:t>日（</w:t>
            </w:r>
            <w:r>
              <w:rPr>
                <w:color w:val="auto"/>
                <w:spacing w:val="-19"/>
                <w:highlight w:val="none"/>
              </w:rPr>
              <w:t xml:space="preserve"> </w:t>
            </w:r>
            <w:r>
              <w:rPr>
                <w:color w:val="auto"/>
                <w:spacing w:val="-9"/>
                <w:highlight w:val="none"/>
              </w:rPr>
              <w:t>日历日）</w:t>
            </w:r>
          </w:p>
        </w:tc>
      </w:tr>
      <w:tr w14:paraId="62C670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14" w:hRule="atLeast"/>
          <w:jc w:val="center"/>
        </w:trPr>
        <w:tc>
          <w:tcPr>
            <w:tcW w:w="1622" w:type="dxa"/>
            <w:vAlign w:val="center"/>
          </w:tcPr>
          <w:p w14:paraId="22C70685">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第14.1款</w:t>
            </w:r>
          </w:p>
        </w:tc>
        <w:tc>
          <w:tcPr>
            <w:tcW w:w="3358" w:type="dxa"/>
            <w:gridSpan w:val="2"/>
            <w:vAlign w:val="center"/>
          </w:tcPr>
          <w:p w14:paraId="02543825">
            <w:pPr>
              <w:adjustRightInd w:val="0"/>
              <w:snapToGrid w:val="0"/>
              <w:spacing w:before="156" w:beforeLines="50" w:line="360" w:lineRule="auto"/>
              <w:rPr>
                <w:rFonts w:ascii="宋体" w:hAnsi="宋体"/>
                <w:bCs/>
                <w:color w:val="auto"/>
                <w:szCs w:val="21"/>
                <w:highlight w:val="none"/>
              </w:rPr>
            </w:pPr>
            <w:r>
              <w:rPr>
                <w:rFonts w:hint="eastAsia" w:ascii="宋体" w:hAnsi="宋体"/>
                <w:bCs/>
                <w:color w:val="auto"/>
                <w:szCs w:val="21"/>
                <w:highlight w:val="none"/>
              </w:rPr>
              <w:t>分包</w:t>
            </w:r>
          </w:p>
        </w:tc>
        <w:tc>
          <w:tcPr>
            <w:tcW w:w="4272" w:type="dxa"/>
            <w:vAlign w:val="center"/>
          </w:tcPr>
          <w:p w14:paraId="66BA9164">
            <w:pPr>
              <w:adjustRightInd w:val="0"/>
              <w:snapToGrid w:val="0"/>
              <w:spacing w:before="50" w:line="360" w:lineRule="auto"/>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不允许</w:t>
            </w:r>
          </w:p>
        </w:tc>
      </w:tr>
      <w:tr w14:paraId="0487BB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1E6C113">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第15.2款</w:t>
            </w:r>
          </w:p>
        </w:tc>
        <w:tc>
          <w:tcPr>
            <w:tcW w:w="3358" w:type="dxa"/>
            <w:gridSpan w:val="2"/>
            <w:vAlign w:val="center"/>
          </w:tcPr>
          <w:p w14:paraId="20852F92">
            <w:pPr>
              <w:adjustRightInd w:val="0"/>
              <w:snapToGrid w:val="0"/>
              <w:spacing w:before="50" w:line="360" w:lineRule="auto"/>
              <w:rPr>
                <w:rFonts w:ascii="宋体" w:hAnsi="宋体"/>
                <w:bCs/>
                <w:color w:val="auto"/>
                <w:szCs w:val="21"/>
                <w:highlight w:val="none"/>
              </w:rPr>
            </w:pPr>
            <w:r>
              <w:rPr>
                <w:rFonts w:hint="eastAsia" w:ascii="宋体" w:hAnsi="宋体"/>
                <w:bCs/>
                <w:color w:val="auto"/>
                <w:szCs w:val="21"/>
                <w:highlight w:val="none"/>
              </w:rPr>
              <w:t>响应</w:t>
            </w:r>
            <w:r>
              <w:rPr>
                <w:rFonts w:hint="eastAsia" w:ascii="宋体" w:hAnsi="宋体"/>
                <w:color w:val="auto"/>
                <w:szCs w:val="21"/>
                <w:highlight w:val="none"/>
              </w:rPr>
              <w:t>文件副本份数</w:t>
            </w:r>
          </w:p>
        </w:tc>
        <w:tc>
          <w:tcPr>
            <w:tcW w:w="4272" w:type="dxa"/>
            <w:vAlign w:val="center"/>
          </w:tcPr>
          <w:p w14:paraId="4A216194">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正本1份，副本</w:t>
            </w:r>
            <w:r>
              <w:rPr>
                <w:rFonts w:hint="eastAsia" w:ascii="宋体" w:hAnsi="宋体" w:cs="宋体"/>
                <w:b/>
                <w:color w:val="auto"/>
                <w:szCs w:val="21"/>
                <w:highlight w:val="none"/>
                <w:lang w:val="en-US" w:eastAsia="zh-CN"/>
              </w:rPr>
              <w:t>2</w:t>
            </w:r>
            <w:r>
              <w:rPr>
                <w:rFonts w:hint="eastAsia" w:ascii="宋体" w:hAnsi="宋体" w:eastAsia="宋体" w:cs="宋体"/>
                <w:b/>
                <w:color w:val="auto"/>
                <w:szCs w:val="21"/>
                <w:highlight w:val="none"/>
              </w:rPr>
              <w:t>份</w:t>
            </w:r>
          </w:p>
          <w:p w14:paraId="32D65BD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采用</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胶装</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方式装订，装订应牢固、不易拆散和换页，不得采用活页装订，提倡双面打印。</w:t>
            </w:r>
          </w:p>
          <w:p w14:paraId="2A4D1008">
            <w:pPr>
              <w:pStyle w:val="2"/>
              <w:ind w:left="0" w:leftChars="0" w:firstLine="0" w:firstLineChars="0"/>
              <w:rPr>
                <w:rFonts w:hint="eastAsia" w:eastAsia="宋体"/>
                <w:color w:val="auto"/>
                <w:highlight w:val="none"/>
                <w:lang w:eastAsia="zh-CN"/>
              </w:rPr>
            </w:pPr>
            <w:r>
              <w:rPr>
                <w:rFonts w:hint="eastAsia" w:eastAsia="宋体"/>
                <w:color w:val="auto"/>
                <w:highlight w:val="none"/>
                <w:lang w:eastAsia="zh-CN"/>
              </w:rPr>
              <w:t>响应文件</w:t>
            </w:r>
            <w:r>
              <w:rPr>
                <w:rFonts w:hint="eastAsia"/>
                <w:color w:val="auto"/>
                <w:highlight w:val="none"/>
                <w:lang w:val="en-US" w:eastAsia="zh-CN"/>
              </w:rPr>
              <w:t>盖章版电子扫描件</w:t>
            </w:r>
            <w:r>
              <w:rPr>
                <w:rFonts w:hint="eastAsia" w:eastAsia="宋体"/>
                <w:color w:val="auto"/>
                <w:highlight w:val="none"/>
                <w:lang w:eastAsia="zh-CN"/>
              </w:rPr>
              <w:t>一份，不作密封要求（</w:t>
            </w:r>
            <w:r>
              <w:rPr>
                <w:rFonts w:hint="eastAsia" w:eastAsia="宋体"/>
                <w:color w:val="auto"/>
                <w:highlight w:val="none"/>
                <w:lang w:val="en-US" w:eastAsia="zh-CN"/>
              </w:rPr>
              <w:t>U盘</w:t>
            </w:r>
            <w:r>
              <w:rPr>
                <w:rFonts w:hint="eastAsia" w:eastAsia="宋体"/>
                <w:color w:val="auto"/>
                <w:highlight w:val="none"/>
                <w:lang w:eastAsia="zh-CN"/>
              </w:rPr>
              <w:t>）；</w:t>
            </w:r>
          </w:p>
          <w:p w14:paraId="2A5F03DE">
            <w:pPr>
              <w:adjustRightInd w:val="0"/>
              <w:snapToGrid w:val="0"/>
              <w:spacing w:before="50" w:line="360" w:lineRule="auto"/>
              <w:rPr>
                <w:rFonts w:ascii="宋体" w:hAnsi="宋体"/>
                <w:color w:val="auto"/>
                <w:szCs w:val="21"/>
                <w:highlight w:val="none"/>
                <w:u w:val="single"/>
              </w:rPr>
            </w:pPr>
            <w:r>
              <w:rPr>
                <w:rFonts w:hint="eastAsia" w:ascii="宋体" w:hAnsi="宋体" w:cs="宋体"/>
                <w:b w:val="0"/>
                <w:bCs/>
                <w:color w:val="auto"/>
                <w:szCs w:val="21"/>
                <w:highlight w:val="none"/>
                <w:u w:val="none"/>
                <w:lang w:val="en-US" w:eastAsia="zh-CN"/>
              </w:rPr>
              <w:t>响应</w:t>
            </w:r>
            <w:r>
              <w:rPr>
                <w:rFonts w:hint="eastAsia" w:ascii="宋体" w:hAnsi="宋体" w:eastAsia="宋体" w:cs="宋体"/>
                <w:b w:val="0"/>
                <w:bCs/>
                <w:color w:val="auto"/>
                <w:szCs w:val="21"/>
                <w:highlight w:val="none"/>
                <w:u w:val="none"/>
              </w:rPr>
              <w:t>文件须编制目录和页码。</w:t>
            </w:r>
          </w:p>
        </w:tc>
      </w:tr>
      <w:tr w14:paraId="59C3C3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4"/>
            <w:vAlign w:val="center"/>
          </w:tcPr>
          <w:p w14:paraId="5C29A97E">
            <w:pPr>
              <w:adjustRightInd w:val="0"/>
              <w:snapToGrid w:val="0"/>
              <w:spacing w:before="50" w:line="360" w:lineRule="auto"/>
              <w:rPr>
                <w:rFonts w:ascii="宋体" w:hAnsi="宋体"/>
                <w:b/>
                <w:bCs/>
                <w:color w:val="auto"/>
                <w:szCs w:val="21"/>
                <w:highlight w:val="none"/>
              </w:rPr>
            </w:pPr>
            <w:r>
              <w:rPr>
                <w:rFonts w:hint="eastAsia" w:ascii="宋体" w:hAnsi="宋体"/>
                <w:b/>
                <w:color w:val="auto"/>
                <w:szCs w:val="21"/>
                <w:highlight w:val="none"/>
              </w:rPr>
              <w:t>四、响应文件的递交</w:t>
            </w:r>
          </w:p>
        </w:tc>
      </w:tr>
      <w:tr w14:paraId="49734F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622" w:type="dxa"/>
            <w:vAlign w:val="center"/>
          </w:tcPr>
          <w:p w14:paraId="01638079">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第16.2款</w:t>
            </w:r>
          </w:p>
        </w:tc>
        <w:tc>
          <w:tcPr>
            <w:tcW w:w="3358" w:type="dxa"/>
            <w:gridSpan w:val="2"/>
            <w:vAlign w:val="center"/>
          </w:tcPr>
          <w:p w14:paraId="160077C8">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封套上应载明的信息</w:t>
            </w:r>
          </w:p>
        </w:tc>
        <w:tc>
          <w:tcPr>
            <w:tcW w:w="4272" w:type="dxa"/>
            <w:vAlign w:val="center"/>
          </w:tcPr>
          <w:p w14:paraId="40BEBD77">
            <w:pPr>
              <w:spacing w:line="360" w:lineRule="auto"/>
              <w:rPr>
                <w:rFonts w:ascii="宋体" w:hAnsi="宋体" w:cs="宋体"/>
                <w:color w:val="auto"/>
                <w:kern w:val="1"/>
                <w:szCs w:val="21"/>
                <w:highlight w:val="none"/>
              </w:rPr>
            </w:pPr>
            <w:r>
              <w:rPr>
                <w:rFonts w:ascii="宋体" w:hAnsi="宋体" w:cs="宋体"/>
                <w:color w:val="auto"/>
                <w:kern w:val="1"/>
                <w:szCs w:val="21"/>
                <w:highlight w:val="none"/>
                <w:u w:val="single"/>
              </w:rPr>
              <w:t xml:space="preserve">                    </w:t>
            </w:r>
            <w:r>
              <w:rPr>
                <w:rFonts w:hint="eastAsia" w:ascii="宋体" w:hAnsi="宋体" w:cs="宋体"/>
                <w:color w:val="auto"/>
                <w:kern w:val="1"/>
                <w:szCs w:val="21"/>
                <w:highlight w:val="none"/>
                <w:u w:val="single"/>
                <w:lang w:val="en-US" w:eastAsia="zh-CN"/>
              </w:rPr>
              <w:t xml:space="preserve">        </w:t>
            </w:r>
            <w:r>
              <w:rPr>
                <w:rFonts w:ascii="宋体" w:hAnsi="宋体" w:cs="宋体"/>
                <w:color w:val="auto"/>
                <w:kern w:val="1"/>
                <w:szCs w:val="21"/>
                <w:highlight w:val="none"/>
              </w:rPr>
              <w:t>响应文件</w:t>
            </w:r>
          </w:p>
          <w:p w14:paraId="26569BC8">
            <w:pPr>
              <w:pStyle w:val="13"/>
              <w:spacing w:line="360" w:lineRule="auto"/>
              <w:rPr>
                <w:color w:val="auto"/>
                <w:kern w:val="1"/>
                <w:sz w:val="21"/>
                <w:highlight w:val="none"/>
              </w:rPr>
            </w:pPr>
            <w:r>
              <w:rPr>
                <w:color w:val="auto"/>
                <w:kern w:val="1"/>
                <w:sz w:val="21"/>
                <w:highlight w:val="none"/>
              </w:rPr>
              <w:t>政府采购编号：</w:t>
            </w:r>
            <w:r>
              <w:rPr>
                <w:rFonts w:ascii="宋体" w:hAnsi="宋体" w:cs="宋体"/>
                <w:color w:val="auto"/>
                <w:kern w:val="1"/>
                <w:szCs w:val="21"/>
                <w:highlight w:val="none"/>
                <w:u w:val="single"/>
              </w:rPr>
              <w:t xml:space="preserve">                    </w:t>
            </w:r>
            <w:r>
              <w:rPr>
                <w:color w:val="auto"/>
                <w:kern w:val="1"/>
                <w:sz w:val="21"/>
                <w:highlight w:val="none"/>
              </w:rPr>
              <w:t xml:space="preserve">             </w:t>
            </w:r>
          </w:p>
          <w:p w14:paraId="0506CF71">
            <w:pPr>
              <w:spacing w:line="360" w:lineRule="auto"/>
              <w:rPr>
                <w:rFonts w:ascii="宋体" w:hAnsi="宋体" w:cs="宋体"/>
                <w:color w:val="auto"/>
                <w:kern w:val="1"/>
                <w:szCs w:val="21"/>
                <w:highlight w:val="none"/>
                <w:u w:val="single"/>
              </w:rPr>
            </w:pPr>
            <w:r>
              <w:rPr>
                <w:rFonts w:ascii="宋体" w:hAnsi="宋体" w:cs="宋体"/>
                <w:color w:val="auto"/>
                <w:kern w:val="1"/>
                <w:szCs w:val="21"/>
                <w:highlight w:val="none"/>
              </w:rPr>
              <w:t>委托代理编号：</w:t>
            </w:r>
            <w:r>
              <w:rPr>
                <w:rFonts w:ascii="宋体" w:hAnsi="宋体" w:cs="宋体"/>
                <w:color w:val="auto"/>
                <w:kern w:val="1"/>
                <w:szCs w:val="21"/>
                <w:highlight w:val="none"/>
                <w:u w:val="single"/>
              </w:rPr>
              <w:t xml:space="preserve">                    </w:t>
            </w:r>
          </w:p>
          <w:p w14:paraId="1AFD757E">
            <w:pPr>
              <w:spacing w:line="360" w:lineRule="auto"/>
              <w:rPr>
                <w:rFonts w:ascii="宋体" w:hAnsi="宋体" w:cs="宋体"/>
                <w:color w:val="auto"/>
                <w:kern w:val="1"/>
                <w:szCs w:val="21"/>
                <w:highlight w:val="none"/>
              </w:rPr>
            </w:pPr>
            <w:r>
              <w:rPr>
                <w:rFonts w:ascii="宋体" w:hAnsi="宋体" w:cs="宋体"/>
                <w:color w:val="auto"/>
                <w:kern w:val="1"/>
                <w:szCs w:val="21"/>
                <w:highlight w:val="none"/>
              </w:rPr>
              <w:t>供应商名称：</w:t>
            </w:r>
            <w:r>
              <w:rPr>
                <w:rFonts w:ascii="宋体" w:hAnsi="宋体" w:cs="宋体"/>
                <w:color w:val="auto"/>
                <w:kern w:val="1"/>
                <w:szCs w:val="21"/>
                <w:highlight w:val="none"/>
                <w:u w:val="single"/>
              </w:rPr>
              <w:t xml:space="preserve">                    </w:t>
            </w:r>
          </w:p>
          <w:p w14:paraId="345DBF86">
            <w:pPr>
              <w:adjustRightInd w:val="0"/>
              <w:snapToGrid w:val="0"/>
              <w:spacing w:before="156" w:beforeLines="50" w:line="360" w:lineRule="auto"/>
              <w:rPr>
                <w:rFonts w:ascii="宋体" w:hAnsi="宋体"/>
                <w:color w:val="auto"/>
                <w:szCs w:val="21"/>
                <w:highlight w:val="none"/>
              </w:rPr>
            </w:pPr>
            <w:r>
              <w:rPr>
                <w:rFonts w:ascii="宋体" w:hAnsi="宋体" w:cs="宋体"/>
                <w:color w:val="auto"/>
                <w:kern w:val="1"/>
                <w:szCs w:val="21"/>
                <w:highlight w:val="none"/>
              </w:rPr>
              <w:t>在</w:t>
            </w:r>
            <w:r>
              <w:rPr>
                <w:rFonts w:hint="eastAsia" w:ascii="宋体" w:hAnsi="宋体" w:cs="宋体"/>
                <w:color w:val="auto"/>
                <w:kern w:val="1"/>
                <w:szCs w:val="21"/>
                <w:highlight w:val="none"/>
                <w:u w:val="single"/>
                <w:lang w:val="en-US" w:eastAsia="zh-CN"/>
              </w:rPr>
              <w:t xml:space="preserve">     </w:t>
            </w:r>
            <w:r>
              <w:rPr>
                <w:rFonts w:ascii="宋体" w:hAnsi="宋体" w:cs="宋体"/>
                <w:color w:val="auto"/>
                <w:kern w:val="1"/>
                <w:szCs w:val="21"/>
                <w:highlight w:val="none"/>
                <w:u w:val="none"/>
              </w:rPr>
              <w:t>年</w:t>
            </w:r>
            <w:r>
              <w:rPr>
                <w:rFonts w:ascii="宋体" w:hAnsi="宋体" w:cs="宋体"/>
                <w:color w:val="auto"/>
                <w:kern w:val="1"/>
                <w:szCs w:val="21"/>
                <w:highlight w:val="none"/>
                <w:u w:val="single"/>
              </w:rPr>
              <w:t xml:space="preserve"> </w:t>
            </w:r>
            <w:r>
              <w:rPr>
                <w:rFonts w:hint="eastAsia" w:ascii="宋体" w:hAnsi="宋体" w:cs="宋体"/>
                <w:color w:val="auto"/>
                <w:kern w:val="1"/>
                <w:szCs w:val="21"/>
                <w:highlight w:val="none"/>
                <w:u w:val="single"/>
                <w:lang w:val="en-US" w:eastAsia="zh-CN"/>
              </w:rPr>
              <w:t xml:space="preserve">   </w:t>
            </w:r>
            <w:r>
              <w:rPr>
                <w:rFonts w:hint="eastAsia" w:ascii="宋体" w:hAnsi="宋体" w:cs="宋体"/>
                <w:color w:val="auto"/>
                <w:kern w:val="1"/>
                <w:szCs w:val="21"/>
                <w:highlight w:val="none"/>
                <w:u w:val="none"/>
              </w:rPr>
              <w:t xml:space="preserve"> </w:t>
            </w:r>
            <w:r>
              <w:rPr>
                <w:rFonts w:ascii="宋体" w:hAnsi="宋体" w:cs="宋体"/>
                <w:color w:val="auto"/>
                <w:kern w:val="1"/>
                <w:szCs w:val="21"/>
                <w:highlight w:val="none"/>
                <w:u w:val="none"/>
              </w:rPr>
              <w:t>月</w:t>
            </w:r>
            <w:r>
              <w:rPr>
                <w:rFonts w:hint="eastAsia" w:ascii="宋体" w:hAnsi="宋体" w:cs="宋体"/>
                <w:color w:val="auto"/>
                <w:kern w:val="1"/>
                <w:szCs w:val="21"/>
                <w:highlight w:val="none"/>
                <w:u w:val="single"/>
                <w:lang w:val="en-US" w:eastAsia="zh-CN"/>
              </w:rPr>
              <w:t xml:space="preserve">   </w:t>
            </w:r>
            <w:r>
              <w:rPr>
                <w:rFonts w:ascii="宋体" w:hAnsi="宋体" w:cs="宋体"/>
                <w:color w:val="auto"/>
                <w:kern w:val="1"/>
                <w:szCs w:val="21"/>
                <w:highlight w:val="none"/>
                <w:u w:val="single"/>
              </w:rPr>
              <w:t xml:space="preserve"> </w:t>
            </w:r>
            <w:r>
              <w:rPr>
                <w:rFonts w:ascii="宋体" w:hAnsi="宋体" w:cs="宋体"/>
                <w:color w:val="auto"/>
                <w:kern w:val="1"/>
                <w:szCs w:val="21"/>
                <w:highlight w:val="none"/>
                <w:u w:val="none"/>
              </w:rPr>
              <w:t>日</w:t>
            </w:r>
            <w:r>
              <w:rPr>
                <w:rFonts w:hint="eastAsia" w:ascii="宋体" w:hAnsi="宋体" w:cs="宋体"/>
                <w:color w:val="auto"/>
                <w:kern w:val="1"/>
                <w:szCs w:val="21"/>
                <w:highlight w:val="none"/>
                <w:u w:val="single"/>
                <w:lang w:val="en-US" w:eastAsia="zh-CN"/>
              </w:rPr>
              <w:t xml:space="preserve">   </w:t>
            </w:r>
            <w:r>
              <w:rPr>
                <w:rFonts w:hint="eastAsia" w:ascii="宋体" w:hAnsi="宋体" w:cs="宋体"/>
                <w:color w:val="auto"/>
                <w:kern w:val="1"/>
                <w:szCs w:val="21"/>
                <w:highlight w:val="none"/>
                <w:u w:val="single"/>
              </w:rPr>
              <w:t xml:space="preserve"> </w:t>
            </w:r>
            <w:r>
              <w:rPr>
                <w:rFonts w:ascii="宋体" w:hAnsi="宋体" w:cs="宋体"/>
                <w:color w:val="auto"/>
                <w:kern w:val="1"/>
                <w:szCs w:val="21"/>
                <w:highlight w:val="none"/>
              </w:rPr>
              <w:t>时</w:t>
            </w:r>
            <w:r>
              <w:rPr>
                <w:rFonts w:ascii="宋体" w:hAnsi="宋体" w:cs="宋体"/>
                <w:color w:val="auto"/>
                <w:kern w:val="1"/>
                <w:szCs w:val="21"/>
                <w:highlight w:val="none"/>
                <w:u w:val="single"/>
              </w:rPr>
              <w:t xml:space="preserve"> </w:t>
            </w:r>
            <w:r>
              <w:rPr>
                <w:rFonts w:hint="eastAsia" w:ascii="宋体" w:hAnsi="宋体" w:cs="宋体"/>
                <w:color w:val="auto"/>
                <w:kern w:val="1"/>
                <w:szCs w:val="21"/>
                <w:highlight w:val="none"/>
                <w:u w:val="single"/>
                <w:lang w:val="en-US" w:eastAsia="zh-CN"/>
              </w:rPr>
              <w:t xml:space="preserve">   </w:t>
            </w:r>
            <w:r>
              <w:rPr>
                <w:rFonts w:ascii="宋体" w:hAnsi="宋体" w:cs="宋体"/>
                <w:color w:val="auto"/>
                <w:kern w:val="1"/>
                <w:szCs w:val="21"/>
                <w:highlight w:val="none"/>
              </w:rPr>
              <w:t>分之前不得启封</w:t>
            </w:r>
          </w:p>
        </w:tc>
      </w:tr>
      <w:tr w14:paraId="4BD642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2A7CA759">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第18.1款</w:t>
            </w:r>
          </w:p>
        </w:tc>
        <w:tc>
          <w:tcPr>
            <w:tcW w:w="3358" w:type="dxa"/>
            <w:gridSpan w:val="2"/>
            <w:vAlign w:val="center"/>
          </w:tcPr>
          <w:p w14:paraId="54806216">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响应文件的递交</w:t>
            </w:r>
            <w:r>
              <w:rPr>
                <w:rFonts w:hint="eastAsia" w:ascii="宋体" w:hAnsi="宋体"/>
                <w:bCs/>
                <w:color w:val="auto"/>
                <w:szCs w:val="21"/>
                <w:highlight w:val="none"/>
              </w:rPr>
              <w:t>时间和</w:t>
            </w:r>
            <w:r>
              <w:rPr>
                <w:rFonts w:hint="eastAsia" w:ascii="宋体" w:hAnsi="宋体"/>
                <w:color w:val="auto"/>
                <w:szCs w:val="21"/>
                <w:highlight w:val="none"/>
              </w:rPr>
              <w:t>地点</w:t>
            </w:r>
          </w:p>
        </w:tc>
        <w:tc>
          <w:tcPr>
            <w:tcW w:w="4272" w:type="dxa"/>
            <w:vAlign w:val="center"/>
          </w:tcPr>
          <w:p w14:paraId="68129767">
            <w:pPr>
              <w:adjustRightInd w:val="0"/>
              <w:snapToGrid w:val="0"/>
              <w:spacing w:line="360" w:lineRule="auto"/>
              <w:ind w:left="210" w:hanging="210" w:hangingChars="100"/>
              <w:rPr>
                <w:rFonts w:ascii="宋体" w:hAnsi="宋体"/>
                <w:color w:val="auto"/>
                <w:szCs w:val="21"/>
                <w:highlight w:val="none"/>
              </w:rPr>
            </w:pPr>
            <w:r>
              <w:rPr>
                <w:rFonts w:hint="eastAsia" w:ascii="宋体" w:hAnsi="宋体"/>
                <w:color w:val="auto"/>
                <w:szCs w:val="21"/>
                <w:highlight w:val="none"/>
                <w:lang w:val="en-US" w:eastAsia="zh-CN"/>
              </w:rPr>
              <w:t>响应递交</w:t>
            </w:r>
            <w:r>
              <w:rPr>
                <w:rFonts w:hint="eastAsia" w:ascii="宋体" w:hAnsi="宋体"/>
                <w:color w:val="auto"/>
                <w:szCs w:val="21"/>
                <w:highlight w:val="none"/>
              </w:rPr>
              <w:t>时间</w:t>
            </w:r>
            <w:r>
              <w:rPr>
                <w:rFonts w:hint="eastAsia" w:ascii="宋体" w:hAnsi="宋体"/>
                <w:color w:val="auto"/>
                <w:szCs w:val="21"/>
                <w:highlight w:val="none"/>
                <w:lang w:eastAsia="zh-CN"/>
              </w:rPr>
              <w:t>截止时间</w:t>
            </w:r>
            <w:r>
              <w:rPr>
                <w:rFonts w:hint="eastAsia" w:ascii="宋体" w:hAnsi="宋体"/>
                <w:color w:val="auto"/>
                <w:szCs w:val="21"/>
                <w:highlight w:val="none"/>
              </w:rPr>
              <w:t>：</w:t>
            </w:r>
            <w:r>
              <w:rPr>
                <w:rFonts w:hint="eastAsia" w:ascii="宋体" w:hAnsi="宋体"/>
                <w:b/>
                <w:bCs/>
                <w:color w:val="auto"/>
                <w:szCs w:val="21"/>
                <w:highlight w:val="lightGray"/>
                <w:u w:val="single"/>
                <w:lang w:val="en-US" w:eastAsia="zh-CN"/>
              </w:rPr>
              <w:t>2026年09月24日10时00分</w:t>
            </w:r>
            <w:r>
              <w:rPr>
                <w:rFonts w:hint="eastAsia" w:ascii="宋体" w:hAnsi="宋体"/>
                <w:color w:val="auto"/>
                <w:szCs w:val="21"/>
                <w:highlight w:val="none"/>
              </w:rPr>
              <w:t>（北京时间）</w:t>
            </w:r>
          </w:p>
          <w:p w14:paraId="3C0ACEB5">
            <w:pPr>
              <w:adjustRightInd w:val="0"/>
              <w:snapToGrid w:val="0"/>
              <w:spacing w:before="50" w:line="360" w:lineRule="auto"/>
              <w:rPr>
                <w:rFonts w:hint="eastAsia" w:ascii="宋体" w:hAnsi="宋体" w:eastAsia="宋体"/>
                <w:b/>
                <w:bCs/>
                <w:color w:val="auto"/>
                <w:szCs w:val="21"/>
                <w:highlight w:val="none"/>
                <w:lang w:val="en-US" w:eastAsia="zh-CN"/>
              </w:rPr>
            </w:pPr>
            <w:r>
              <w:rPr>
                <w:rFonts w:hint="eastAsia" w:ascii="宋体" w:hAnsi="宋体"/>
                <w:color w:val="auto"/>
                <w:szCs w:val="21"/>
                <w:highlight w:val="none"/>
                <w:lang w:val="en-US" w:eastAsia="zh-CN"/>
              </w:rPr>
              <w:t>递交</w:t>
            </w:r>
            <w:r>
              <w:rPr>
                <w:rFonts w:hint="eastAsia" w:ascii="宋体" w:hAnsi="宋体"/>
                <w:color w:val="auto"/>
                <w:szCs w:val="21"/>
                <w:highlight w:val="none"/>
              </w:rPr>
              <w:t>地点：</w:t>
            </w:r>
            <w:r>
              <w:rPr>
                <w:rFonts w:hint="eastAsia" w:ascii="宋体" w:hAnsi="宋体"/>
                <w:color w:val="auto"/>
                <w:szCs w:val="21"/>
                <w:highlight w:val="none"/>
                <w:u w:val="single"/>
                <w:lang w:val="en-US" w:eastAsia="zh-CN"/>
              </w:rPr>
              <w:t>辰溪县卫生健康局会议室</w:t>
            </w:r>
          </w:p>
        </w:tc>
      </w:tr>
      <w:tr w14:paraId="520D3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4"/>
            <w:vAlign w:val="center"/>
          </w:tcPr>
          <w:p w14:paraId="737DE61E">
            <w:pPr>
              <w:adjustRightInd w:val="0"/>
              <w:snapToGrid w:val="0"/>
              <w:spacing w:before="50" w:line="360" w:lineRule="auto"/>
              <w:rPr>
                <w:rFonts w:ascii="宋体" w:hAnsi="宋体"/>
                <w:b/>
                <w:bCs/>
                <w:color w:val="auto"/>
                <w:szCs w:val="21"/>
                <w:highlight w:val="none"/>
              </w:rPr>
            </w:pPr>
            <w:r>
              <w:rPr>
                <w:rFonts w:hint="eastAsia" w:ascii="宋体" w:hAnsi="宋体"/>
                <w:b/>
                <w:bCs/>
                <w:color w:val="auto"/>
                <w:szCs w:val="21"/>
                <w:highlight w:val="none"/>
              </w:rPr>
              <w:t>五、响应文件的评审与谈判</w:t>
            </w:r>
          </w:p>
        </w:tc>
      </w:tr>
      <w:tr w14:paraId="350847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E5A2FB4">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第22.4款</w:t>
            </w:r>
          </w:p>
        </w:tc>
        <w:tc>
          <w:tcPr>
            <w:tcW w:w="3358" w:type="dxa"/>
            <w:gridSpan w:val="2"/>
            <w:vAlign w:val="center"/>
          </w:tcPr>
          <w:p w14:paraId="54B13B3F">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谈判文件规定的实质性要求和条件</w:t>
            </w:r>
          </w:p>
        </w:tc>
        <w:tc>
          <w:tcPr>
            <w:tcW w:w="4272" w:type="dxa"/>
            <w:vAlign w:val="center"/>
          </w:tcPr>
          <w:p w14:paraId="425D7725">
            <w:pPr>
              <w:adjustRightInd w:val="0"/>
              <w:snapToGrid w:val="0"/>
              <w:spacing w:before="50" w:line="360" w:lineRule="auto"/>
              <w:rPr>
                <w:rFonts w:hint="default" w:ascii="宋体" w:hAnsi="宋体" w:eastAsia="宋体"/>
                <w:b/>
                <w:bCs/>
                <w:color w:val="auto"/>
                <w:szCs w:val="21"/>
                <w:highlight w:val="none"/>
                <w:lang w:val="en-US" w:eastAsia="zh-CN"/>
              </w:rPr>
            </w:pPr>
            <w:r>
              <w:rPr>
                <w:rFonts w:hint="eastAsia" w:ascii="宋体" w:hAnsi="宋体"/>
                <w:b w:val="0"/>
                <w:bCs w:val="0"/>
                <w:color w:val="auto"/>
                <w:szCs w:val="21"/>
                <w:highlight w:val="none"/>
                <w:u w:val="none"/>
                <w:lang w:val="en-US" w:eastAsia="zh-CN"/>
              </w:rPr>
              <w:t>采购需求</w:t>
            </w:r>
          </w:p>
        </w:tc>
      </w:tr>
      <w:tr w14:paraId="47642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6391A26">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第28.3款</w:t>
            </w:r>
          </w:p>
        </w:tc>
        <w:tc>
          <w:tcPr>
            <w:tcW w:w="3358" w:type="dxa"/>
            <w:gridSpan w:val="2"/>
            <w:vAlign w:val="center"/>
          </w:tcPr>
          <w:p w14:paraId="4DAD0E27">
            <w:pPr>
              <w:adjustRightInd w:val="0"/>
              <w:snapToGrid w:val="0"/>
              <w:spacing w:before="50" w:line="360" w:lineRule="auto"/>
              <w:rPr>
                <w:rFonts w:ascii="宋体" w:hAnsi="宋体"/>
                <w:color w:val="auto"/>
                <w:szCs w:val="21"/>
                <w:highlight w:val="none"/>
              </w:rPr>
            </w:pPr>
            <w:r>
              <w:rPr>
                <w:rFonts w:hint="eastAsia" w:ascii="宋体" w:hAnsi="宋体"/>
                <w:bCs/>
                <w:color w:val="auto"/>
                <w:szCs w:val="21"/>
                <w:highlight w:val="none"/>
              </w:rPr>
              <w:t>最后报价的算术修正</w:t>
            </w:r>
          </w:p>
        </w:tc>
        <w:tc>
          <w:tcPr>
            <w:tcW w:w="4272" w:type="dxa"/>
            <w:vAlign w:val="center"/>
          </w:tcPr>
          <w:p w14:paraId="601E2D5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1、大写金额与小写金额不一致的，以大写金额为准。</w:t>
            </w:r>
          </w:p>
          <w:p w14:paraId="04686F0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2、总价金额与按单价汇总金额不一致的，以单价金额计算结果为准。</w:t>
            </w:r>
          </w:p>
          <w:p w14:paraId="379AD71E">
            <w:pPr>
              <w:adjustRightInd w:val="0"/>
              <w:snapToGrid w:val="0"/>
              <w:spacing w:before="50" w:line="360" w:lineRule="auto"/>
              <w:rPr>
                <w:rFonts w:ascii="宋体" w:hAnsi="宋体"/>
                <w:b/>
                <w:bCs/>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修正后的报价由供应商代表签字或者加盖单位公章确认后产生约束力，不确认的，其报价无效。</w:t>
            </w:r>
          </w:p>
        </w:tc>
      </w:tr>
      <w:tr w14:paraId="4BD77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252" w:type="dxa"/>
            <w:gridSpan w:val="4"/>
            <w:vAlign w:val="center"/>
          </w:tcPr>
          <w:p w14:paraId="72601E64">
            <w:pPr>
              <w:adjustRightInd w:val="0"/>
              <w:snapToGrid w:val="0"/>
              <w:spacing w:before="50" w:line="360" w:lineRule="auto"/>
              <w:rPr>
                <w:rFonts w:ascii="宋体" w:hAnsi="宋体"/>
                <w:color w:val="auto"/>
                <w:szCs w:val="21"/>
                <w:highlight w:val="none"/>
              </w:rPr>
            </w:pPr>
            <w:r>
              <w:rPr>
                <w:rFonts w:hint="eastAsia" w:ascii="宋体" w:hAnsi="宋体"/>
                <w:b/>
                <w:color w:val="auto"/>
                <w:szCs w:val="21"/>
                <w:highlight w:val="none"/>
              </w:rPr>
              <w:t>六、成交结果信息公布与授予合同</w:t>
            </w:r>
          </w:p>
        </w:tc>
      </w:tr>
      <w:tr w14:paraId="353713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312CDA2">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第34.1款</w:t>
            </w:r>
          </w:p>
        </w:tc>
        <w:tc>
          <w:tcPr>
            <w:tcW w:w="3358" w:type="dxa"/>
            <w:gridSpan w:val="2"/>
            <w:vAlign w:val="center"/>
          </w:tcPr>
          <w:p w14:paraId="5EE6ADEC">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财政部门指定的媒体</w:t>
            </w:r>
          </w:p>
        </w:tc>
        <w:tc>
          <w:tcPr>
            <w:tcW w:w="4272" w:type="dxa"/>
            <w:vAlign w:val="center"/>
          </w:tcPr>
          <w:p w14:paraId="1511945E">
            <w:pPr>
              <w:adjustRightInd w:val="0"/>
              <w:snapToGrid w:val="0"/>
              <w:spacing w:before="50" w:line="360" w:lineRule="auto"/>
              <w:rPr>
                <w:rFonts w:hint="default" w:ascii="宋体" w:hAnsi="宋体" w:eastAsia="宋体"/>
                <w:color w:val="auto"/>
                <w:szCs w:val="21"/>
                <w:highlight w:val="none"/>
                <w:u w:val="single"/>
                <w:lang w:val="en-US" w:eastAsia="zh-CN"/>
              </w:rPr>
            </w:pPr>
            <w:r>
              <w:rPr>
                <w:rFonts w:hint="default" w:ascii="宋体" w:hAnsi="宋体" w:eastAsia="宋体"/>
                <w:color w:val="auto"/>
                <w:szCs w:val="21"/>
                <w:highlight w:val="none"/>
                <w:u w:val="none"/>
                <w:lang w:val="en-US" w:eastAsia="zh-CN"/>
              </w:rPr>
              <w:t>中国·湖南政府采购网(www.ccgp-hunan.gov.cn)</w:t>
            </w:r>
          </w:p>
        </w:tc>
      </w:tr>
      <w:tr w14:paraId="4F1CC9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EC83D5F">
            <w:pPr>
              <w:adjustRightInd w:val="0"/>
              <w:snapToGrid w:val="0"/>
              <w:spacing w:line="360" w:lineRule="auto"/>
              <w:jc w:val="center"/>
              <w:rPr>
                <w:rFonts w:ascii="宋体" w:hAnsi="宋体" w:eastAsia="宋体"/>
                <w:color w:val="auto"/>
                <w:szCs w:val="21"/>
                <w:highlight w:val="none"/>
              </w:rPr>
            </w:pPr>
            <w:r>
              <w:rPr>
                <w:rFonts w:hint="eastAsia" w:ascii="宋体" w:hAnsi="宋体" w:eastAsia="宋体"/>
                <w:color w:val="auto"/>
                <w:szCs w:val="21"/>
                <w:highlight w:val="none"/>
              </w:rPr>
              <w:t>第35.3</w:t>
            </w:r>
            <w:r>
              <w:rPr>
                <w:rFonts w:hint="eastAsia" w:ascii="宋体" w:hAnsi="宋体" w:eastAsia="宋体" w:cs="宋体"/>
                <w:color w:val="auto"/>
                <w:kern w:val="0"/>
                <w:szCs w:val="21"/>
                <w:highlight w:val="none"/>
                <w:lang w:val="zh-CN"/>
              </w:rPr>
              <w:t>款</w:t>
            </w:r>
          </w:p>
        </w:tc>
        <w:tc>
          <w:tcPr>
            <w:tcW w:w="3358" w:type="dxa"/>
            <w:gridSpan w:val="2"/>
            <w:vAlign w:val="center"/>
          </w:tcPr>
          <w:p w14:paraId="44859E6D">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接收质疑函的联系部门、联系电话和通讯地址</w:t>
            </w:r>
          </w:p>
        </w:tc>
        <w:tc>
          <w:tcPr>
            <w:tcW w:w="4272" w:type="dxa"/>
            <w:vAlign w:val="center"/>
          </w:tcPr>
          <w:p w14:paraId="66A232F9">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bCs/>
                <w:color w:val="auto"/>
                <w:szCs w:val="21"/>
                <w:highlight w:val="none"/>
              </w:rPr>
              <w:t>名</w:t>
            </w:r>
            <w:r>
              <w:rPr>
                <w:rFonts w:hint="eastAsia" w:ascii="宋体" w:hAnsi="宋体"/>
                <w:bCs/>
                <w:color w:val="auto"/>
                <w:szCs w:val="21"/>
                <w:highlight w:val="none"/>
                <w:u w:val="none"/>
              </w:rPr>
              <w:t xml:space="preserve">  称：</w:t>
            </w:r>
            <w:r>
              <w:rPr>
                <w:rFonts w:hint="eastAsia" w:ascii="宋体" w:hAnsi="宋体"/>
                <w:color w:val="auto"/>
                <w:szCs w:val="21"/>
                <w:highlight w:val="none"/>
                <w:u w:val="none"/>
                <w:lang w:val="en-US" w:eastAsia="zh-CN"/>
              </w:rPr>
              <w:t>辰溪县卫生健康局</w:t>
            </w:r>
          </w:p>
          <w:p w14:paraId="2BF68A69">
            <w:pPr>
              <w:adjustRightInd w:val="0"/>
              <w:snapToGrid w:val="0"/>
              <w:spacing w:line="360" w:lineRule="auto"/>
              <w:rPr>
                <w:rFonts w:hint="eastAsia" w:ascii="宋体" w:hAnsi="宋体" w:eastAsia="宋体"/>
                <w:color w:val="auto"/>
                <w:szCs w:val="21"/>
                <w:highlight w:val="none"/>
                <w:u w:val="none"/>
                <w:lang w:val="en-US" w:eastAsia="zh-CN"/>
              </w:rPr>
            </w:pPr>
            <w:r>
              <w:rPr>
                <w:rFonts w:hint="eastAsia" w:ascii="宋体" w:hAnsi="宋体"/>
                <w:color w:val="auto"/>
                <w:szCs w:val="21"/>
                <w:highlight w:val="none"/>
                <w:u w:val="none"/>
              </w:rPr>
              <w:t>地  址：</w:t>
            </w:r>
            <w:r>
              <w:rPr>
                <w:rFonts w:hint="eastAsia" w:ascii="宋体" w:hAnsi="宋体"/>
                <w:color w:val="auto"/>
                <w:szCs w:val="21"/>
                <w:highlight w:val="none"/>
                <w:u w:val="none"/>
                <w:lang w:eastAsia="zh-CN"/>
              </w:rPr>
              <w:t>怀化市辰溪县辰阳镇八一路62号</w:t>
            </w:r>
          </w:p>
          <w:p w14:paraId="6483F465">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rPr>
              <w:t>联系人：</w:t>
            </w:r>
            <w:r>
              <w:rPr>
                <w:rFonts w:hint="eastAsia" w:ascii="宋体" w:hAnsi="宋体"/>
                <w:color w:val="auto"/>
                <w:szCs w:val="21"/>
                <w:highlight w:val="none"/>
                <w:u w:val="none"/>
                <w:lang w:val="en-US" w:eastAsia="zh-CN"/>
              </w:rPr>
              <w:t>陈先生</w:t>
            </w:r>
          </w:p>
          <w:p w14:paraId="6F7F7B2A">
            <w:pPr>
              <w:adjustRightInd w:val="0"/>
              <w:snapToGrid w:val="0"/>
              <w:spacing w:line="360" w:lineRule="auto"/>
              <w:rPr>
                <w:rFonts w:hint="eastAsia" w:ascii="宋体" w:hAnsi="宋体"/>
                <w:bCs/>
                <w:color w:val="auto"/>
                <w:szCs w:val="21"/>
                <w:highlight w:val="none"/>
                <w:u w:val="none"/>
              </w:rPr>
            </w:pPr>
            <w:r>
              <w:rPr>
                <w:rFonts w:hint="eastAsia" w:ascii="宋体" w:hAnsi="宋体"/>
                <w:color w:val="auto"/>
                <w:szCs w:val="21"/>
                <w:highlight w:val="none"/>
                <w:u w:val="none"/>
              </w:rPr>
              <w:t>电  话：</w:t>
            </w:r>
            <w:r>
              <w:rPr>
                <w:rFonts w:hint="eastAsia" w:ascii="宋体" w:hAnsi="宋体"/>
                <w:color w:val="auto"/>
                <w:szCs w:val="21"/>
                <w:highlight w:val="none"/>
                <w:u w:val="none"/>
                <w:lang w:val="en-US" w:eastAsia="zh-CN"/>
              </w:rPr>
              <w:t>13974574031</w:t>
            </w:r>
          </w:p>
          <w:p w14:paraId="7091E49F">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bCs/>
                <w:color w:val="auto"/>
                <w:szCs w:val="21"/>
                <w:highlight w:val="none"/>
                <w:u w:val="none"/>
              </w:rPr>
              <w:t>名  称：</w:t>
            </w:r>
            <w:r>
              <w:rPr>
                <w:rFonts w:hint="eastAsia" w:ascii="宋体" w:hAnsi="宋体"/>
                <w:color w:val="auto"/>
                <w:szCs w:val="21"/>
                <w:highlight w:val="none"/>
                <w:u w:val="none"/>
                <w:lang w:val="en-US" w:eastAsia="zh-CN"/>
              </w:rPr>
              <w:t>湖南华中源工程项目管理有限公司</w:t>
            </w:r>
          </w:p>
          <w:p w14:paraId="34E33504">
            <w:pPr>
              <w:adjustRightInd w:val="0"/>
              <w:snapToGrid w:val="0"/>
              <w:spacing w:line="360" w:lineRule="auto"/>
              <w:rPr>
                <w:rFonts w:ascii="宋体" w:hAnsi="宋体"/>
                <w:color w:val="auto"/>
                <w:szCs w:val="21"/>
                <w:highlight w:val="none"/>
                <w:u w:val="none"/>
              </w:rPr>
            </w:pPr>
            <w:r>
              <w:rPr>
                <w:rFonts w:hint="eastAsia" w:ascii="宋体" w:hAnsi="宋体"/>
                <w:color w:val="auto"/>
                <w:szCs w:val="21"/>
                <w:highlight w:val="none"/>
                <w:u w:val="none"/>
              </w:rPr>
              <w:t>地  址：</w:t>
            </w:r>
            <w:r>
              <w:rPr>
                <w:rFonts w:hint="eastAsia" w:ascii="宋体" w:hAnsi="宋体" w:cs="宋体"/>
                <w:color w:val="auto"/>
                <w:szCs w:val="21"/>
                <w:highlight w:val="none"/>
                <w:u w:val="none"/>
                <w:lang w:eastAsia="zh-CN"/>
              </w:rPr>
              <w:t>怀化市鹤城区怀北路华美立家1栋三楼</w:t>
            </w:r>
          </w:p>
          <w:p w14:paraId="01F5A3CA">
            <w:pPr>
              <w:adjustRightInd w:val="0"/>
              <w:snapToGrid w:val="0"/>
              <w:spacing w:line="360" w:lineRule="auto"/>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rPr>
              <w:t>联系人：</w:t>
            </w:r>
            <w:r>
              <w:rPr>
                <w:rFonts w:hint="eastAsia" w:ascii="宋体" w:hAnsi="宋体"/>
                <w:color w:val="auto"/>
                <w:szCs w:val="21"/>
                <w:highlight w:val="none"/>
                <w:u w:val="none"/>
                <w:lang w:val="en-US" w:eastAsia="zh-CN"/>
              </w:rPr>
              <w:t>杨先生、张女士</w:t>
            </w:r>
          </w:p>
          <w:p w14:paraId="7863CC75">
            <w:pPr>
              <w:adjustRightInd w:val="0"/>
              <w:snapToGrid w:val="0"/>
              <w:spacing w:before="50" w:line="360" w:lineRule="auto"/>
              <w:rPr>
                <w:rFonts w:ascii="宋体" w:hAnsi="宋体"/>
                <w:color w:val="auto"/>
                <w:szCs w:val="21"/>
                <w:highlight w:val="none"/>
                <w:u w:val="single"/>
              </w:rPr>
            </w:pPr>
            <w:r>
              <w:rPr>
                <w:rFonts w:hint="eastAsia" w:ascii="宋体" w:hAnsi="宋体"/>
                <w:color w:val="auto"/>
                <w:szCs w:val="21"/>
                <w:highlight w:val="none"/>
                <w:u w:val="none"/>
              </w:rPr>
              <w:t>电  话：</w:t>
            </w:r>
            <w:r>
              <w:rPr>
                <w:rFonts w:hint="eastAsia" w:ascii="宋体" w:hAnsi="宋体"/>
                <w:color w:val="auto"/>
                <w:szCs w:val="21"/>
                <w:highlight w:val="none"/>
                <w:u w:val="none"/>
                <w:lang w:val="en-US" w:eastAsia="zh-CN"/>
              </w:rPr>
              <w:t>0745-2235900、18174539988</w:t>
            </w:r>
          </w:p>
        </w:tc>
      </w:tr>
      <w:tr w14:paraId="3721B6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41ED68E">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第36.1款</w:t>
            </w:r>
          </w:p>
        </w:tc>
        <w:tc>
          <w:tcPr>
            <w:tcW w:w="3358" w:type="dxa"/>
            <w:gridSpan w:val="2"/>
            <w:vAlign w:val="center"/>
          </w:tcPr>
          <w:p w14:paraId="6FE21AFA">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履约担保</w:t>
            </w:r>
          </w:p>
        </w:tc>
        <w:tc>
          <w:tcPr>
            <w:tcW w:w="4272" w:type="dxa"/>
            <w:vAlign w:val="center"/>
          </w:tcPr>
          <w:p w14:paraId="385CA4BA">
            <w:pPr>
              <w:adjustRightInd w:val="0"/>
              <w:snapToGrid w:val="0"/>
              <w:spacing w:before="50"/>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不要求提供</w:t>
            </w:r>
          </w:p>
        </w:tc>
      </w:tr>
      <w:tr w14:paraId="39A3E0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4"/>
            <w:vAlign w:val="center"/>
          </w:tcPr>
          <w:p w14:paraId="42FE84F6">
            <w:pPr>
              <w:adjustRightInd w:val="0"/>
              <w:snapToGrid w:val="0"/>
              <w:spacing w:before="50" w:line="360" w:lineRule="auto"/>
              <w:rPr>
                <w:rFonts w:ascii="宋体" w:hAnsi="宋体"/>
                <w:b/>
                <w:color w:val="auto"/>
                <w:szCs w:val="21"/>
                <w:highlight w:val="none"/>
              </w:rPr>
            </w:pPr>
            <w:r>
              <w:rPr>
                <w:rFonts w:hint="eastAsia" w:ascii="宋体" w:hAnsi="宋体"/>
                <w:b/>
                <w:color w:val="auto"/>
                <w:szCs w:val="21"/>
                <w:highlight w:val="none"/>
              </w:rPr>
              <w:t>七、政府采购政策</w:t>
            </w:r>
          </w:p>
        </w:tc>
      </w:tr>
      <w:tr w14:paraId="6955A6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CF7FDF3">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w:t>
            </w:r>
            <w:r>
              <w:rPr>
                <w:rFonts w:ascii="宋体" w:hAnsi="宋体"/>
                <w:color w:val="auto"/>
                <w:szCs w:val="21"/>
                <w:highlight w:val="none"/>
              </w:rPr>
              <w:t>40</w:t>
            </w: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款</w:t>
            </w:r>
          </w:p>
        </w:tc>
        <w:tc>
          <w:tcPr>
            <w:tcW w:w="3358" w:type="dxa"/>
            <w:gridSpan w:val="2"/>
            <w:vAlign w:val="top"/>
          </w:tcPr>
          <w:p w14:paraId="6E7999FA">
            <w:pPr>
              <w:rPr>
                <w:color w:val="auto"/>
                <w:highlight w:val="none"/>
              </w:rPr>
            </w:pPr>
            <w:r>
              <w:rPr>
                <w:rFonts w:hint="eastAsia"/>
                <w:color w:val="auto"/>
                <w:highlight w:val="none"/>
                <w:lang w:val="en-US" w:eastAsia="zh-CN"/>
              </w:rPr>
              <w:t>节能产品、</w:t>
            </w:r>
            <w:r>
              <w:rPr>
                <w:rFonts w:hint="eastAsia"/>
                <w:color w:val="auto"/>
                <w:highlight w:val="none"/>
              </w:rPr>
              <w:t>环境标志产品</w:t>
            </w:r>
            <w:r>
              <w:rPr>
                <w:rFonts w:hint="eastAsia" w:ascii="宋体" w:hAnsi="宋体"/>
                <w:color w:val="auto"/>
                <w:szCs w:val="21"/>
                <w:highlight w:val="none"/>
              </w:rPr>
              <w:t>的价格折扣比例</w:t>
            </w:r>
          </w:p>
        </w:tc>
        <w:tc>
          <w:tcPr>
            <w:tcW w:w="4272" w:type="dxa"/>
            <w:vAlign w:val="center"/>
          </w:tcPr>
          <w:p w14:paraId="34DC61A0">
            <w:p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r>
      <w:tr w14:paraId="7F5B49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4DADDFA">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w:t>
            </w:r>
            <w:r>
              <w:rPr>
                <w:rFonts w:ascii="宋体" w:hAnsi="宋体"/>
                <w:color w:val="auto"/>
                <w:szCs w:val="21"/>
                <w:highlight w:val="none"/>
              </w:rPr>
              <w:t>41</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（1）项</w:t>
            </w:r>
          </w:p>
        </w:tc>
        <w:tc>
          <w:tcPr>
            <w:tcW w:w="3358" w:type="dxa"/>
            <w:gridSpan w:val="2"/>
            <w:vAlign w:val="center"/>
          </w:tcPr>
          <w:p w14:paraId="56FD26A7">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小型、微型企业的价格折扣比例</w:t>
            </w:r>
          </w:p>
        </w:tc>
        <w:tc>
          <w:tcPr>
            <w:tcW w:w="4272" w:type="dxa"/>
            <w:vAlign w:val="center"/>
          </w:tcPr>
          <w:p w14:paraId="141DCAFB">
            <w:pPr>
              <w:adjustRightInd w:val="0"/>
              <w:snapToGrid w:val="0"/>
              <w:spacing w:line="320" w:lineRule="exac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专门面向中小企业采购：</w:t>
            </w:r>
            <w:r>
              <w:rPr>
                <w:rFonts w:hint="eastAsia" w:ascii="宋体" w:hAnsi="宋体"/>
                <w:color w:val="auto"/>
                <w:szCs w:val="21"/>
                <w:highlight w:val="none"/>
                <w:lang w:val="en-US" w:eastAsia="zh-CN"/>
              </w:rPr>
              <w:t xml:space="preserve">/ </w:t>
            </w:r>
            <w:r>
              <w:rPr>
                <w:rFonts w:hint="eastAsia" w:ascii="宋体" w:hAnsi="宋体"/>
                <w:b/>
                <w:bCs/>
                <w:color w:val="auto"/>
                <w:szCs w:val="21"/>
                <w:highlight w:val="none"/>
              </w:rPr>
              <w:t>。</w:t>
            </w:r>
          </w:p>
          <w:p w14:paraId="0FC6E1ED">
            <w:pPr>
              <w:adjustRightInd w:val="0"/>
              <w:snapToGrid w:val="0"/>
              <w:spacing w:line="320" w:lineRule="exact"/>
              <w:rPr>
                <w:rFonts w:hint="eastAsia" w:ascii="宋体" w:hAnsi="宋体"/>
                <w:color w:val="auto"/>
                <w:szCs w:val="21"/>
                <w:highlight w:val="none"/>
              </w:rPr>
            </w:pPr>
            <w:r>
              <w:rPr>
                <w:rFonts w:hint="eastAsia" w:ascii="宋体" w:hAnsi="宋体"/>
                <w:b/>
                <w:bCs/>
                <w:color w:val="auto"/>
                <w:szCs w:val="21"/>
                <w:highlight w:val="none"/>
                <w:lang w:eastAsia="zh-CN"/>
              </w:rPr>
              <w:t>☑</w:t>
            </w:r>
            <w:r>
              <w:rPr>
                <w:rFonts w:hint="eastAsia" w:ascii="宋体" w:hAnsi="宋体"/>
                <w:b/>
                <w:bCs/>
                <w:color w:val="auto"/>
                <w:szCs w:val="21"/>
                <w:highlight w:val="none"/>
              </w:rPr>
              <w:t>非专门面向小微企业采购：</w:t>
            </w:r>
            <w:r>
              <w:rPr>
                <w:rFonts w:hint="eastAsia" w:ascii="宋体" w:hAnsi="宋体"/>
                <w:color w:val="auto"/>
                <w:szCs w:val="21"/>
                <w:highlight w:val="none"/>
              </w:rPr>
              <w:t xml:space="preserve"> </w:t>
            </w:r>
          </w:p>
          <w:p w14:paraId="5078C4C4">
            <w:pPr>
              <w:adjustRightInd w:val="0"/>
              <w:snapToGrid w:val="0"/>
              <w:rPr>
                <w:rFonts w:hint="eastAsia" w:ascii="宋体" w:hAnsi="宋体"/>
                <w:color w:val="auto"/>
                <w:szCs w:val="21"/>
                <w:highlight w:val="none"/>
              </w:rPr>
            </w:pPr>
            <w:r>
              <w:rPr>
                <w:rFonts w:hint="eastAsia" w:ascii="宋体" w:hAnsi="宋体"/>
                <w:color w:val="auto"/>
                <w:szCs w:val="21"/>
                <w:highlight w:val="none"/>
              </w:rPr>
              <w:t>①小型和微型企业产品的价格给予10%-20%的扣除，用扣除后的价格参与评审，本项目具体扣除比例为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4DA0AF7">
            <w:p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rPr>
              <w:t>②监狱企业、残疾人福利性单位视同小型、微型企业。享受评审中价格扣除等促进中小企业发展的政府采购政策。</w:t>
            </w:r>
          </w:p>
        </w:tc>
      </w:tr>
      <w:tr w14:paraId="6A8CA9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9" w:hRule="atLeast"/>
          <w:jc w:val="center"/>
        </w:trPr>
        <w:tc>
          <w:tcPr>
            <w:tcW w:w="1622" w:type="dxa"/>
            <w:vAlign w:val="center"/>
          </w:tcPr>
          <w:p w14:paraId="4019DE1F">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w:t>
            </w:r>
            <w:r>
              <w:rPr>
                <w:rFonts w:ascii="宋体" w:hAnsi="宋体"/>
                <w:color w:val="auto"/>
                <w:szCs w:val="21"/>
                <w:highlight w:val="none"/>
              </w:rPr>
              <w:t>41</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（2）项</w:t>
            </w:r>
          </w:p>
        </w:tc>
        <w:tc>
          <w:tcPr>
            <w:tcW w:w="3358" w:type="dxa"/>
            <w:gridSpan w:val="2"/>
            <w:vAlign w:val="center"/>
          </w:tcPr>
          <w:p w14:paraId="7F82A416">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小型、微型企业组成联合体或者大中型企业向小微企业分包的价格折扣比例</w:t>
            </w:r>
          </w:p>
        </w:tc>
        <w:tc>
          <w:tcPr>
            <w:tcW w:w="4272" w:type="dxa"/>
            <w:vAlign w:val="center"/>
          </w:tcPr>
          <w:p w14:paraId="42AB036D">
            <w:p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r>
      <w:tr w14:paraId="4F0EB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9" w:hRule="atLeast"/>
          <w:jc w:val="center"/>
        </w:trPr>
        <w:tc>
          <w:tcPr>
            <w:tcW w:w="1622" w:type="dxa"/>
            <w:vAlign w:val="center"/>
          </w:tcPr>
          <w:p w14:paraId="594EC6AC">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第44.1款</w:t>
            </w:r>
          </w:p>
        </w:tc>
        <w:tc>
          <w:tcPr>
            <w:tcW w:w="3358" w:type="dxa"/>
            <w:gridSpan w:val="2"/>
            <w:vAlign w:val="center"/>
          </w:tcPr>
          <w:p w14:paraId="1DB0FCE6">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采购进口产品</w:t>
            </w:r>
          </w:p>
        </w:tc>
        <w:tc>
          <w:tcPr>
            <w:tcW w:w="4272" w:type="dxa"/>
            <w:vAlign w:val="center"/>
          </w:tcPr>
          <w:p w14:paraId="30891134">
            <w:pPr>
              <w:adjustRightInd w:val="0"/>
              <w:snapToGrid w:val="0"/>
              <w:spacing w:before="50" w:line="360"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不接受</w:t>
            </w:r>
          </w:p>
        </w:tc>
      </w:tr>
      <w:tr w14:paraId="2F63E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4"/>
            <w:vAlign w:val="center"/>
          </w:tcPr>
          <w:p w14:paraId="3120961F">
            <w:pPr>
              <w:adjustRightInd w:val="0"/>
              <w:snapToGrid w:val="0"/>
              <w:spacing w:before="50" w:line="360" w:lineRule="auto"/>
              <w:rPr>
                <w:rFonts w:ascii="宋体" w:hAnsi="宋体"/>
                <w:b/>
                <w:color w:val="auto"/>
                <w:szCs w:val="21"/>
                <w:highlight w:val="none"/>
              </w:rPr>
            </w:pPr>
            <w:r>
              <w:rPr>
                <w:rFonts w:hint="eastAsia" w:ascii="宋体" w:hAnsi="宋体"/>
                <w:b/>
                <w:color w:val="auto"/>
                <w:szCs w:val="21"/>
                <w:highlight w:val="none"/>
              </w:rPr>
              <w:t>八、其他规定</w:t>
            </w:r>
          </w:p>
        </w:tc>
      </w:tr>
      <w:tr w14:paraId="3402F7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3EA0D0D7">
            <w:pPr>
              <w:adjustRightInd w:val="0"/>
              <w:snapToGrid w:val="0"/>
              <w:spacing w:before="50" w:line="360" w:lineRule="auto"/>
              <w:jc w:val="center"/>
              <w:rPr>
                <w:rFonts w:ascii="宋体" w:hAnsi="宋体"/>
                <w:color w:val="auto"/>
                <w:szCs w:val="21"/>
                <w:highlight w:val="none"/>
              </w:rPr>
            </w:pPr>
            <w:r>
              <w:rPr>
                <w:rFonts w:hint="eastAsia" w:ascii="宋体" w:hAnsi="宋体" w:eastAsia="宋体"/>
                <w:color w:val="auto"/>
                <w:szCs w:val="21"/>
                <w:highlight w:val="none"/>
              </w:rPr>
              <w:t>第</w:t>
            </w:r>
            <w:r>
              <w:rPr>
                <w:rFonts w:ascii="宋体" w:hAnsi="宋体" w:eastAsia="宋体"/>
                <w:color w:val="auto"/>
                <w:szCs w:val="21"/>
                <w:highlight w:val="none"/>
              </w:rPr>
              <w:t>4</w:t>
            </w:r>
            <w:r>
              <w:rPr>
                <w:rFonts w:hint="eastAsia" w:ascii="宋体" w:hAnsi="宋体" w:eastAsia="宋体"/>
                <w:color w:val="auto"/>
                <w:szCs w:val="21"/>
                <w:highlight w:val="none"/>
              </w:rPr>
              <w:t>6.1</w:t>
            </w: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zh-CN"/>
              </w:rPr>
              <w:t>）</w:t>
            </w:r>
            <w:r>
              <w:rPr>
                <w:rFonts w:hint="eastAsia" w:ascii="宋体" w:hAnsi="宋体"/>
                <w:color w:val="auto"/>
                <w:szCs w:val="21"/>
                <w:highlight w:val="none"/>
              </w:rPr>
              <w:t>项</w:t>
            </w:r>
          </w:p>
        </w:tc>
        <w:tc>
          <w:tcPr>
            <w:tcW w:w="3358" w:type="dxa"/>
            <w:gridSpan w:val="2"/>
            <w:vAlign w:val="center"/>
          </w:tcPr>
          <w:p w14:paraId="07510A0E">
            <w:pPr>
              <w:adjustRightInd w:val="0"/>
              <w:snapToGrid w:val="0"/>
              <w:spacing w:before="50" w:line="360" w:lineRule="auto"/>
              <w:rPr>
                <w:rFonts w:ascii="宋体" w:hAnsi="宋体"/>
                <w:color w:val="auto"/>
                <w:szCs w:val="21"/>
                <w:highlight w:val="none"/>
              </w:rPr>
            </w:pPr>
            <w:r>
              <w:rPr>
                <w:rFonts w:hint="eastAsia" w:ascii="宋体" w:hAnsi="宋体" w:eastAsia="宋体"/>
                <w:color w:val="auto"/>
                <w:szCs w:val="21"/>
                <w:highlight w:val="none"/>
              </w:rPr>
              <w:t>合同预付款的支付比例和支付条件</w:t>
            </w:r>
          </w:p>
        </w:tc>
        <w:tc>
          <w:tcPr>
            <w:tcW w:w="4272" w:type="dxa"/>
            <w:vAlign w:val="center"/>
          </w:tcPr>
          <w:p w14:paraId="73EE39CA">
            <w:p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见采购需求</w:t>
            </w:r>
          </w:p>
        </w:tc>
      </w:tr>
      <w:tr w14:paraId="2223B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6B6207E">
            <w:pPr>
              <w:adjustRightInd w:val="0"/>
              <w:snapToGrid w:val="0"/>
              <w:spacing w:before="50" w:line="360" w:lineRule="auto"/>
              <w:jc w:val="center"/>
              <w:rPr>
                <w:rFonts w:ascii="宋体" w:hAnsi="宋体"/>
                <w:color w:val="auto"/>
                <w:szCs w:val="21"/>
                <w:highlight w:val="none"/>
              </w:rPr>
            </w:pPr>
            <w:r>
              <w:rPr>
                <w:rFonts w:hint="eastAsia" w:ascii="宋体" w:hAnsi="宋体" w:eastAsia="宋体"/>
                <w:color w:val="auto"/>
                <w:szCs w:val="21"/>
                <w:highlight w:val="none"/>
              </w:rPr>
              <w:t>第</w:t>
            </w:r>
            <w:r>
              <w:rPr>
                <w:rFonts w:ascii="宋体" w:hAnsi="宋体" w:eastAsia="宋体"/>
                <w:color w:val="auto"/>
                <w:szCs w:val="21"/>
                <w:highlight w:val="none"/>
              </w:rPr>
              <w:t>4</w:t>
            </w:r>
            <w:r>
              <w:rPr>
                <w:rFonts w:hint="eastAsia" w:ascii="宋体" w:hAnsi="宋体" w:eastAsia="宋体"/>
                <w:color w:val="auto"/>
                <w:szCs w:val="21"/>
                <w:highlight w:val="none"/>
              </w:rPr>
              <w:t>6.1</w:t>
            </w: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zh-CN"/>
              </w:rPr>
              <w:t>）</w:t>
            </w:r>
            <w:r>
              <w:rPr>
                <w:rFonts w:hint="eastAsia" w:ascii="宋体" w:hAnsi="宋体"/>
                <w:color w:val="auto"/>
                <w:szCs w:val="21"/>
                <w:highlight w:val="none"/>
              </w:rPr>
              <w:t>项</w:t>
            </w:r>
          </w:p>
        </w:tc>
        <w:tc>
          <w:tcPr>
            <w:tcW w:w="3358" w:type="dxa"/>
            <w:gridSpan w:val="2"/>
            <w:vAlign w:val="center"/>
          </w:tcPr>
          <w:p w14:paraId="3713DC71">
            <w:pPr>
              <w:adjustRightInd w:val="0"/>
              <w:snapToGrid w:val="0"/>
              <w:spacing w:before="50" w:line="360" w:lineRule="auto"/>
              <w:rPr>
                <w:rFonts w:ascii="宋体" w:hAnsi="宋体"/>
                <w:color w:val="auto"/>
                <w:szCs w:val="21"/>
                <w:highlight w:val="none"/>
              </w:rPr>
            </w:pPr>
            <w:r>
              <w:rPr>
                <w:rFonts w:hint="eastAsia" w:ascii="宋体" w:hAnsi="宋体" w:eastAsia="宋体"/>
                <w:color w:val="auto"/>
                <w:szCs w:val="21"/>
                <w:highlight w:val="none"/>
              </w:rPr>
              <w:t>质量保证金</w:t>
            </w:r>
          </w:p>
        </w:tc>
        <w:tc>
          <w:tcPr>
            <w:tcW w:w="4272" w:type="dxa"/>
            <w:vAlign w:val="center"/>
          </w:tcPr>
          <w:p w14:paraId="04A842D2">
            <w:pPr>
              <w:adjustRightInd w:val="0"/>
              <w:snapToGrid w:val="0"/>
              <w:spacing w:before="50" w:line="360" w:lineRule="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不要求提供</w:t>
            </w:r>
          </w:p>
        </w:tc>
      </w:tr>
      <w:tr w14:paraId="6E194F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94" w:hRule="atLeast"/>
          <w:jc w:val="center"/>
        </w:trPr>
        <w:tc>
          <w:tcPr>
            <w:tcW w:w="1622" w:type="dxa"/>
            <w:vMerge w:val="restart"/>
            <w:vAlign w:val="center"/>
          </w:tcPr>
          <w:p w14:paraId="2C8714CD">
            <w:pPr>
              <w:adjustRightInd w:val="0"/>
              <w:snapToGrid w:val="0"/>
              <w:spacing w:before="50" w:line="360" w:lineRule="auto"/>
              <w:jc w:val="center"/>
              <w:rPr>
                <w:rFonts w:ascii="宋体" w:hAnsi="宋体"/>
                <w:color w:val="auto"/>
                <w:szCs w:val="21"/>
                <w:highlight w:val="none"/>
              </w:rPr>
            </w:pPr>
            <w:r>
              <w:rPr>
                <w:rFonts w:hint="eastAsia" w:ascii="宋体" w:hAnsi="宋体"/>
                <w:color w:val="auto"/>
                <w:szCs w:val="21"/>
                <w:highlight w:val="none"/>
              </w:rPr>
              <w:t>第46.</w:t>
            </w:r>
            <w:r>
              <w:rPr>
                <w:rFonts w:ascii="宋体" w:hAnsi="宋体"/>
                <w:color w:val="auto"/>
                <w:szCs w:val="21"/>
                <w:highlight w:val="none"/>
              </w:rPr>
              <w:t>2</w:t>
            </w:r>
            <w:r>
              <w:rPr>
                <w:rFonts w:hint="eastAsia" w:ascii="宋体" w:hAnsi="宋体"/>
                <w:color w:val="auto"/>
                <w:szCs w:val="21"/>
                <w:highlight w:val="none"/>
              </w:rPr>
              <w:t>款</w:t>
            </w:r>
          </w:p>
        </w:tc>
        <w:tc>
          <w:tcPr>
            <w:tcW w:w="1317" w:type="dxa"/>
            <w:vMerge w:val="restart"/>
            <w:tcBorders>
              <w:right w:val="single" w:color="auto" w:sz="4" w:space="0"/>
            </w:tcBorders>
            <w:vAlign w:val="center"/>
          </w:tcPr>
          <w:p w14:paraId="50E6024E">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其他规定</w:t>
            </w:r>
          </w:p>
        </w:tc>
        <w:tc>
          <w:tcPr>
            <w:tcW w:w="2041" w:type="dxa"/>
            <w:tcBorders>
              <w:left w:val="single" w:color="auto" w:sz="4" w:space="0"/>
              <w:bottom w:val="single" w:color="auto" w:sz="4" w:space="0"/>
            </w:tcBorders>
            <w:vAlign w:val="center"/>
          </w:tcPr>
          <w:p w14:paraId="1742722A">
            <w:pPr>
              <w:adjustRightInd w:val="0"/>
              <w:snapToGrid w:val="0"/>
              <w:spacing w:before="50" w:line="360"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采购代理服务费</w:t>
            </w:r>
          </w:p>
        </w:tc>
        <w:tc>
          <w:tcPr>
            <w:tcW w:w="4272" w:type="dxa"/>
            <w:tcBorders>
              <w:bottom w:val="single" w:color="auto" w:sz="4" w:space="0"/>
            </w:tcBorders>
            <w:vAlign w:val="center"/>
          </w:tcPr>
          <w:p w14:paraId="3F26C7AF">
            <w:pPr>
              <w:adjustRightInd w:val="0"/>
              <w:snapToGrid w:val="0"/>
              <w:spacing w:before="50" w:line="360" w:lineRule="auto"/>
              <w:rPr>
                <w:rFonts w:ascii="宋体" w:hAnsi="宋体"/>
                <w:color w:val="auto"/>
                <w:szCs w:val="21"/>
                <w:highlight w:val="none"/>
              </w:rPr>
            </w:pPr>
            <w:r>
              <w:rPr>
                <w:rFonts w:ascii="宋体" w:hAnsi="宋体"/>
                <w:color w:val="auto"/>
                <w:szCs w:val="21"/>
                <w:highlight w:val="none"/>
              </w:rPr>
              <w:t>参照原国家计委《招标代理服务收费管理暂行办法》计价格〔2002〕1980 号文件收取</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金额不超过17200元</w:t>
            </w:r>
            <w:r>
              <w:rPr>
                <w:rFonts w:ascii="宋体" w:hAnsi="宋体"/>
                <w:color w:val="auto"/>
                <w:szCs w:val="21"/>
                <w:highlight w:val="none"/>
              </w:rPr>
              <w:t>。</w:t>
            </w:r>
          </w:p>
        </w:tc>
      </w:tr>
      <w:tr w14:paraId="70D4F0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43" w:hRule="atLeast"/>
          <w:jc w:val="center"/>
        </w:trPr>
        <w:tc>
          <w:tcPr>
            <w:tcW w:w="1622" w:type="dxa"/>
            <w:vMerge w:val="continue"/>
            <w:vAlign w:val="center"/>
          </w:tcPr>
          <w:p w14:paraId="0269D0BE">
            <w:pPr>
              <w:adjustRightInd w:val="0"/>
              <w:snapToGrid w:val="0"/>
              <w:spacing w:before="50" w:line="360" w:lineRule="auto"/>
              <w:jc w:val="center"/>
              <w:rPr>
                <w:rFonts w:hint="eastAsia" w:ascii="宋体" w:hAnsi="宋体"/>
                <w:color w:val="auto"/>
                <w:szCs w:val="21"/>
                <w:highlight w:val="none"/>
              </w:rPr>
            </w:pPr>
          </w:p>
        </w:tc>
        <w:tc>
          <w:tcPr>
            <w:tcW w:w="1317" w:type="dxa"/>
            <w:vMerge w:val="continue"/>
            <w:tcBorders>
              <w:right w:val="single" w:color="auto" w:sz="4" w:space="0"/>
            </w:tcBorders>
            <w:vAlign w:val="center"/>
          </w:tcPr>
          <w:p w14:paraId="159C9E2A">
            <w:pPr>
              <w:adjustRightInd w:val="0"/>
              <w:snapToGrid w:val="0"/>
              <w:spacing w:before="50" w:line="360" w:lineRule="auto"/>
              <w:rPr>
                <w:rFonts w:hint="eastAsia" w:ascii="宋体" w:hAnsi="宋体"/>
                <w:color w:val="auto"/>
                <w:szCs w:val="21"/>
                <w:highlight w:val="none"/>
              </w:rPr>
            </w:pPr>
          </w:p>
        </w:tc>
        <w:tc>
          <w:tcPr>
            <w:tcW w:w="2041" w:type="dxa"/>
            <w:tcBorders>
              <w:top w:val="single" w:color="auto" w:sz="4" w:space="0"/>
              <w:left w:val="single" w:color="auto" w:sz="4" w:space="0"/>
            </w:tcBorders>
            <w:vAlign w:val="center"/>
          </w:tcPr>
          <w:p w14:paraId="2712FF11">
            <w:pPr>
              <w:adjustRightInd w:val="0"/>
              <w:snapToGrid w:val="0"/>
              <w:spacing w:before="50" w:line="360"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开标会议</w:t>
            </w:r>
          </w:p>
        </w:tc>
        <w:tc>
          <w:tcPr>
            <w:tcW w:w="4272" w:type="dxa"/>
            <w:tcBorders>
              <w:top w:val="single" w:color="auto" w:sz="4" w:space="0"/>
            </w:tcBorders>
            <w:vAlign w:val="center"/>
          </w:tcPr>
          <w:p w14:paraId="4CC26914">
            <w:pPr>
              <w:adjustRightInd w:val="0"/>
              <w:snapToGrid w:val="0"/>
              <w:spacing w:before="50" w:line="360" w:lineRule="auto"/>
              <w:rPr>
                <w:rFonts w:hint="eastAsia" w:ascii="宋体" w:hAnsi="宋体"/>
                <w:b/>
                <w:bCs/>
                <w:color w:val="auto"/>
                <w:szCs w:val="21"/>
                <w:highlight w:val="none"/>
              </w:rPr>
            </w:pPr>
            <w:r>
              <w:rPr>
                <w:rFonts w:hint="eastAsia" w:ascii="宋体" w:hAnsi="宋体"/>
                <w:b/>
                <w:bCs/>
                <w:color w:val="auto"/>
                <w:szCs w:val="21"/>
                <w:highlight w:val="none"/>
              </w:rPr>
              <w:t>开标时单独提交以下材料：</w:t>
            </w:r>
          </w:p>
          <w:p w14:paraId="21A2ECA8">
            <w:pPr>
              <w:adjustRightInd w:val="0"/>
              <w:snapToGrid w:val="0"/>
              <w:spacing w:before="50" w:line="360" w:lineRule="auto"/>
              <w:rPr>
                <w:rFonts w:hint="eastAsia" w:ascii="宋体" w:hAnsi="宋体"/>
                <w:b/>
                <w:bCs/>
                <w:color w:val="auto"/>
                <w:szCs w:val="21"/>
                <w:highlight w:val="none"/>
              </w:rPr>
            </w:pPr>
            <w:r>
              <w:rPr>
                <w:rFonts w:hint="eastAsia" w:ascii="宋体" w:hAnsi="宋体"/>
                <w:b/>
                <w:bCs/>
                <w:color w:val="auto"/>
                <w:szCs w:val="21"/>
                <w:highlight w:val="none"/>
              </w:rPr>
              <w:t>1.投标人是法定代表人的持法定代表人身份证明、本人二代身份证参加开标会议；</w:t>
            </w:r>
          </w:p>
          <w:p w14:paraId="400E096E">
            <w:pPr>
              <w:adjustRightInd w:val="0"/>
              <w:snapToGrid w:val="0"/>
              <w:spacing w:before="50" w:line="360" w:lineRule="auto"/>
              <w:rPr>
                <w:rFonts w:hint="eastAsia" w:ascii="宋体" w:hAnsi="宋体"/>
                <w:b/>
                <w:bCs/>
                <w:color w:val="auto"/>
                <w:szCs w:val="21"/>
                <w:highlight w:val="none"/>
              </w:rPr>
            </w:pPr>
            <w:r>
              <w:rPr>
                <w:rFonts w:hint="eastAsia" w:ascii="宋体" w:hAnsi="宋体"/>
                <w:b/>
                <w:bCs/>
                <w:color w:val="auto"/>
                <w:szCs w:val="21"/>
                <w:highlight w:val="none"/>
              </w:rPr>
              <w:t>2.投标人是授权委托人的持法人授权书和本人二代身份证参加开标会议。</w:t>
            </w:r>
          </w:p>
        </w:tc>
      </w:tr>
    </w:tbl>
    <w:p w14:paraId="74ED37B1">
      <w:pPr>
        <w:adjustRightInd w:val="0"/>
        <w:snapToGrid w:val="0"/>
        <w:spacing w:line="360" w:lineRule="auto"/>
        <w:rPr>
          <w:rFonts w:ascii="宋体" w:hAnsi="宋体"/>
          <w:b/>
          <w:bCs/>
          <w:color w:val="auto"/>
          <w:szCs w:val="21"/>
          <w:highlight w:val="none"/>
        </w:rPr>
      </w:pPr>
    </w:p>
    <w:p w14:paraId="61FC72CD">
      <w:pPr>
        <w:adjustRightInd w:val="0"/>
        <w:snapToGrid w:val="0"/>
        <w:spacing w:before="156" w:beforeLines="50" w:line="360" w:lineRule="auto"/>
        <w:jc w:val="center"/>
        <w:outlineLvl w:val="1"/>
        <w:rPr>
          <w:rFonts w:ascii="黑体" w:hAnsi="黑体" w:eastAsia="黑体"/>
          <w:b/>
          <w:bCs/>
          <w:color w:val="auto"/>
          <w:sz w:val="32"/>
          <w:szCs w:val="32"/>
          <w:highlight w:val="none"/>
        </w:rPr>
      </w:pPr>
      <w:r>
        <w:rPr>
          <w:rFonts w:ascii="Arial" w:hAnsi="Arial"/>
          <w:b/>
          <w:bCs/>
          <w:color w:val="auto"/>
          <w:sz w:val="24"/>
          <w:szCs w:val="32"/>
          <w:highlight w:val="none"/>
        </w:rPr>
        <w:br w:type="page"/>
      </w:r>
      <w:bookmarkStart w:id="16" w:name="_Toc32339"/>
      <w:r>
        <w:rPr>
          <w:rFonts w:hint="eastAsia" w:ascii="黑体" w:hAnsi="黑体" w:eastAsia="黑体"/>
          <w:b/>
          <w:bCs/>
          <w:color w:val="auto"/>
          <w:sz w:val="32"/>
          <w:szCs w:val="32"/>
          <w:highlight w:val="none"/>
        </w:rPr>
        <w:t>第二节 谈判须知正文</w:t>
      </w:r>
      <w:bookmarkEnd w:id="16"/>
    </w:p>
    <w:p w14:paraId="560B6B26">
      <w:pPr>
        <w:adjustRightInd w:val="0"/>
        <w:snapToGrid w:val="0"/>
        <w:spacing w:before="156" w:beforeLines="50" w:line="360" w:lineRule="auto"/>
        <w:jc w:val="center"/>
        <w:outlineLvl w:val="2"/>
        <w:rPr>
          <w:rFonts w:ascii="黑体" w:hAnsi="黑体" w:eastAsia="黑体"/>
          <w:b/>
          <w:bCs/>
          <w:color w:val="auto"/>
          <w:sz w:val="28"/>
          <w:szCs w:val="28"/>
          <w:highlight w:val="none"/>
        </w:rPr>
      </w:pPr>
      <w:bookmarkStart w:id="17" w:name="_Toc2065"/>
      <w:r>
        <w:rPr>
          <w:rFonts w:hint="eastAsia" w:ascii="黑体" w:hAnsi="黑体" w:eastAsia="黑体"/>
          <w:b/>
          <w:bCs/>
          <w:color w:val="auto"/>
          <w:sz w:val="28"/>
          <w:szCs w:val="28"/>
          <w:highlight w:val="none"/>
        </w:rPr>
        <w:t>一、说明</w:t>
      </w:r>
      <w:bookmarkEnd w:id="17"/>
    </w:p>
    <w:p w14:paraId="65A20215">
      <w:pPr>
        <w:spacing w:line="360" w:lineRule="auto"/>
        <w:outlineLvl w:val="3"/>
        <w:rPr>
          <w:rFonts w:ascii="黑体" w:hAnsi="黑体" w:eastAsia="黑体"/>
          <w:b/>
          <w:bCs/>
          <w:color w:val="auto"/>
          <w:sz w:val="24"/>
          <w:highlight w:val="none"/>
        </w:rPr>
      </w:pPr>
      <w:bookmarkStart w:id="18" w:name="_Toc107997835"/>
      <w:bookmarkStart w:id="19" w:name="_Toc107997962"/>
      <w:r>
        <w:rPr>
          <w:rFonts w:hint="eastAsia" w:ascii="黑体" w:hAnsi="黑体" w:eastAsia="黑体"/>
          <w:b/>
          <w:bCs/>
          <w:color w:val="auto"/>
          <w:sz w:val="24"/>
          <w:highlight w:val="none"/>
        </w:rPr>
        <w:t>1.适用范围</w:t>
      </w:r>
      <w:bookmarkEnd w:id="18"/>
      <w:bookmarkEnd w:id="19"/>
    </w:p>
    <w:p w14:paraId="0CA4CFC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1.1本竞争性谈判文件仅适用于本章第一节“谈判须知前附表”（以下简称</w:t>
      </w:r>
      <w:r>
        <w:rPr>
          <w:rFonts w:hint="eastAsia" w:ascii="宋体" w:hAnsi="宋体"/>
          <w:b/>
          <w:color w:val="auto"/>
          <w:szCs w:val="21"/>
          <w:highlight w:val="none"/>
        </w:rPr>
        <w:t>【谈判须知前附表】</w:t>
      </w:r>
      <w:r>
        <w:rPr>
          <w:rFonts w:hint="eastAsia" w:ascii="宋体" w:hAnsi="宋体"/>
          <w:color w:val="auto"/>
          <w:szCs w:val="21"/>
          <w:highlight w:val="none"/>
        </w:rPr>
        <w:t>）中所叙述的采购项目。</w:t>
      </w:r>
    </w:p>
    <w:p w14:paraId="79BBCE0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w:t>
      </w:r>
      <w:r>
        <w:rPr>
          <w:rFonts w:hint="eastAsia" w:ascii="宋体" w:hAnsi="宋体"/>
          <w:b/>
          <w:color w:val="auto"/>
          <w:szCs w:val="21"/>
          <w:highlight w:val="none"/>
        </w:rPr>
        <w:t>【谈判须知前附表】</w:t>
      </w:r>
      <w:r>
        <w:rPr>
          <w:rFonts w:hint="eastAsia" w:ascii="宋体" w:hAnsi="宋体"/>
          <w:color w:val="auto"/>
          <w:szCs w:val="21"/>
          <w:highlight w:val="none"/>
        </w:rPr>
        <w:t>规定采购项目或者采购包属于“预留采购份额”的，供应商应当符合本章第3</w:t>
      </w:r>
      <w:r>
        <w:rPr>
          <w:rFonts w:ascii="宋体" w:hAnsi="宋体"/>
          <w:color w:val="auto"/>
          <w:szCs w:val="21"/>
          <w:highlight w:val="none"/>
        </w:rPr>
        <w:t>8</w:t>
      </w:r>
      <w:r>
        <w:rPr>
          <w:rFonts w:hint="eastAsia" w:ascii="宋体" w:hAnsi="宋体"/>
          <w:color w:val="auto"/>
          <w:szCs w:val="21"/>
          <w:highlight w:val="none"/>
        </w:rPr>
        <w:t>.1款规定，否则</w:t>
      </w:r>
      <w:r>
        <w:rPr>
          <w:rFonts w:hint="eastAsia" w:ascii="宋体" w:hAnsi="宋体"/>
          <w:color w:val="auto"/>
          <w:szCs w:val="21"/>
          <w:highlight w:val="none"/>
          <w:lang w:eastAsia="zh-CN"/>
        </w:rPr>
        <w:t>，</w:t>
      </w:r>
      <w:r>
        <w:rPr>
          <w:rFonts w:hint="eastAsia" w:ascii="宋体" w:hAnsi="宋体"/>
          <w:b/>
          <w:bCs/>
          <w:color w:val="auto"/>
          <w:kern w:val="0"/>
          <w:szCs w:val="21"/>
          <w:highlight w:val="none"/>
        </w:rPr>
        <w:t>其响应无效</w:t>
      </w:r>
      <w:r>
        <w:rPr>
          <w:rFonts w:hint="eastAsia" w:ascii="宋体" w:hAnsi="宋体"/>
          <w:color w:val="auto"/>
          <w:szCs w:val="21"/>
          <w:highlight w:val="none"/>
        </w:rPr>
        <w:t>。</w:t>
      </w:r>
    </w:p>
    <w:p w14:paraId="255D16D2">
      <w:pPr>
        <w:spacing w:line="360" w:lineRule="auto"/>
        <w:outlineLvl w:val="3"/>
        <w:rPr>
          <w:rFonts w:ascii="黑体" w:hAnsi="黑体" w:eastAsia="黑体"/>
          <w:b/>
          <w:bCs/>
          <w:color w:val="auto"/>
          <w:sz w:val="24"/>
          <w:highlight w:val="none"/>
        </w:rPr>
      </w:pPr>
      <w:bookmarkStart w:id="20" w:name="_Toc107997836"/>
      <w:bookmarkStart w:id="21" w:name="_Toc107997963"/>
      <w:r>
        <w:rPr>
          <w:rFonts w:hint="eastAsia" w:ascii="黑体" w:hAnsi="黑体" w:eastAsia="黑体"/>
          <w:b/>
          <w:bCs/>
          <w:color w:val="auto"/>
          <w:sz w:val="24"/>
          <w:highlight w:val="none"/>
        </w:rPr>
        <w:t>2.定义</w:t>
      </w:r>
      <w:bookmarkEnd w:id="20"/>
      <w:bookmarkEnd w:id="21"/>
    </w:p>
    <w:p w14:paraId="763A969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2.1采购项目联系人姓名和电话见</w:t>
      </w:r>
      <w:r>
        <w:rPr>
          <w:rFonts w:hint="eastAsia" w:ascii="宋体" w:hAnsi="宋体"/>
          <w:b/>
          <w:color w:val="auto"/>
          <w:szCs w:val="21"/>
          <w:highlight w:val="none"/>
        </w:rPr>
        <w:t>【谈判须知前附表】</w:t>
      </w:r>
      <w:r>
        <w:rPr>
          <w:rFonts w:hint="eastAsia" w:ascii="宋体" w:hAnsi="宋体"/>
          <w:color w:val="auto"/>
          <w:szCs w:val="21"/>
          <w:highlight w:val="none"/>
        </w:rPr>
        <w:t>。</w:t>
      </w:r>
    </w:p>
    <w:p w14:paraId="3C44527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2.2采购人名称、地址、电话、联系人见</w:t>
      </w:r>
      <w:r>
        <w:rPr>
          <w:rFonts w:hint="eastAsia" w:ascii="宋体" w:hAnsi="宋体"/>
          <w:b/>
          <w:color w:val="auto"/>
          <w:szCs w:val="21"/>
          <w:highlight w:val="none"/>
        </w:rPr>
        <w:t>【谈判须知前附表】</w:t>
      </w:r>
      <w:r>
        <w:rPr>
          <w:rFonts w:hint="eastAsia" w:ascii="宋体" w:hAnsi="宋体"/>
          <w:color w:val="auto"/>
          <w:szCs w:val="21"/>
          <w:highlight w:val="none"/>
        </w:rPr>
        <w:t>。</w:t>
      </w:r>
    </w:p>
    <w:p w14:paraId="7217F31C">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2.3采购代理机构名称、地址、电话、联系人见【谈判须知前附表】。</w:t>
      </w:r>
    </w:p>
    <w:p w14:paraId="6D9A4A03">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2.4供应商是指响应谈判文件要求、参加竞争性谈判采购的法人、其他组织或者自然人。</w:t>
      </w:r>
      <w:bookmarkStart w:id="22" w:name="_Toc107997837"/>
      <w:bookmarkStart w:id="23" w:name="_Toc107997964"/>
    </w:p>
    <w:p w14:paraId="08D192FA">
      <w:pPr>
        <w:spacing w:line="360" w:lineRule="auto"/>
        <w:outlineLvl w:val="3"/>
        <w:rPr>
          <w:rFonts w:hint="eastAsia" w:ascii="黑体" w:hAnsi="黑体" w:eastAsia="黑体"/>
          <w:b/>
          <w:bCs/>
          <w:color w:val="auto"/>
          <w:sz w:val="24"/>
          <w:highlight w:val="none"/>
        </w:rPr>
      </w:pPr>
      <w:r>
        <w:rPr>
          <w:rFonts w:hint="eastAsia" w:ascii="黑体" w:hAnsi="黑体" w:eastAsia="黑体"/>
          <w:b/>
          <w:bCs/>
          <w:color w:val="auto"/>
          <w:sz w:val="24"/>
          <w:highlight w:val="none"/>
        </w:rPr>
        <w:t>3.供应商的资格要求</w:t>
      </w:r>
      <w:bookmarkEnd w:id="22"/>
      <w:bookmarkEnd w:id="23"/>
    </w:p>
    <w:p w14:paraId="4D9C236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3.1供应商应当符合</w:t>
      </w:r>
      <w:r>
        <w:rPr>
          <w:rFonts w:hint="eastAsia" w:ascii="宋体" w:hAnsi="宋体"/>
          <w:b/>
          <w:color w:val="auto"/>
          <w:szCs w:val="21"/>
          <w:highlight w:val="none"/>
        </w:rPr>
        <w:t>【谈判须知前附表】</w:t>
      </w:r>
      <w:r>
        <w:rPr>
          <w:rFonts w:hint="eastAsia" w:ascii="宋体" w:hAnsi="宋体"/>
          <w:color w:val="auto"/>
          <w:szCs w:val="21"/>
          <w:highlight w:val="none"/>
        </w:rPr>
        <w:t>规定的供应商资格条件。</w:t>
      </w:r>
    </w:p>
    <w:p w14:paraId="56C6ACC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w:t>
      </w:r>
      <w:r>
        <w:rPr>
          <w:rFonts w:hint="eastAsia" w:ascii="宋体" w:hAnsi="宋体"/>
          <w:b/>
          <w:color w:val="auto"/>
          <w:szCs w:val="21"/>
          <w:highlight w:val="none"/>
        </w:rPr>
        <w:t>【谈判须知前附表】</w:t>
      </w:r>
      <w:r>
        <w:rPr>
          <w:rFonts w:hint="eastAsia" w:ascii="宋体" w:hAnsi="宋体"/>
          <w:color w:val="auto"/>
          <w:szCs w:val="21"/>
          <w:highlight w:val="none"/>
        </w:rPr>
        <w:t>规定接受联合体形式的，供应商除应符合本章第3.1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 xml:space="preserve">规定外，还应遵守以下规定： </w:t>
      </w:r>
    </w:p>
    <w:p w14:paraId="0882592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（l）联合体中有同类资质的供应商按照联合体分工承担相同工作的，应当按照资质等级较低的供应商确定资质等级。</w:t>
      </w:r>
    </w:p>
    <w:p w14:paraId="1DE36F7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（2）联合体各方应按谈判文件提供的格式签订联合体协议书，明确联合体牵头人和各方的权利义务、合同工作量比例；</w:t>
      </w:r>
    </w:p>
    <w:p w14:paraId="214567A6">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（3）联合体各方签订联合体协议书后，</w:t>
      </w:r>
      <w:r>
        <w:rPr>
          <w:rFonts w:hint="eastAsia" w:ascii="宋体" w:hAnsi="宋体" w:cs="宋体"/>
          <w:color w:val="auto"/>
          <w:kern w:val="0"/>
          <w:szCs w:val="21"/>
          <w:highlight w:val="none"/>
          <w:lang w:val="zh-CN"/>
        </w:rPr>
        <w:t>不得再单独参加或者与其他供应商组成新的联合体参加同一合同项下的采购活动。</w:t>
      </w:r>
    </w:p>
    <w:p w14:paraId="6871DBC0">
      <w:pPr>
        <w:spacing w:line="360" w:lineRule="auto"/>
        <w:outlineLvl w:val="3"/>
        <w:rPr>
          <w:rFonts w:ascii="黑体" w:hAnsi="黑体" w:eastAsia="黑体"/>
          <w:b/>
          <w:bCs/>
          <w:color w:val="auto"/>
          <w:sz w:val="24"/>
          <w:highlight w:val="none"/>
        </w:rPr>
      </w:pPr>
      <w:bookmarkStart w:id="24" w:name="_Toc107997965"/>
      <w:bookmarkStart w:id="25" w:name="_Toc107997838"/>
      <w:r>
        <w:rPr>
          <w:rFonts w:hint="eastAsia" w:ascii="黑体" w:hAnsi="黑体" w:eastAsia="黑体"/>
          <w:b/>
          <w:bCs/>
          <w:color w:val="auto"/>
          <w:sz w:val="24"/>
          <w:highlight w:val="none"/>
        </w:rPr>
        <w:t>4.参与谈判的费用</w:t>
      </w:r>
      <w:bookmarkEnd w:id="24"/>
      <w:bookmarkEnd w:id="25"/>
    </w:p>
    <w:p w14:paraId="7D7251E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4.1无论谈判的结果如何，供应商应自行承担所有与竞争性谈判采购活动有关的全部费用。</w:t>
      </w:r>
    </w:p>
    <w:p w14:paraId="47B4982D">
      <w:pPr>
        <w:spacing w:line="360" w:lineRule="auto"/>
        <w:outlineLvl w:val="3"/>
        <w:rPr>
          <w:rFonts w:ascii="黑体" w:hAnsi="黑体" w:eastAsia="黑体"/>
          <w:b/>
          <w:bCs/>
          <w:color w:val="auto"/>
          <w:sz w:val="24"/>
          <w:highlight w:val="none"/>
        </w:rPr>
      </w:pPr>
      <w:bookmarkStart w:id="26" w:name="_Toc107997839"/>
      <w:bookmarkStart w:id="27" w:name="_Toc107997966"/>
      <w:r>
        <w:rPr>
          <w:rFonts w:hint="eastAsia" w:ascii="黑体" w:hAnsi="黑体" w:eastAsia="黑体"/>
          <w:b/>
          <w:bCs/>
          <w:color w:val="auto"/>
          <w:sz w:val="24"/>
          <w:highlight w:val="none"/>
        </w:rPr>
        <w:t>5.现场勘察</w:t>
      </w:r>
      <w:bookmarkEnd w:id="26"/>
      <w:bookmarkEnd w:id="27"/>
    </w:p>
    <w:p w14:paraId="04AD4DB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5.1供应商应按</w:t>
      </w:r>
      <w:r>
        <w:rPr>
          <w:rFonts w:hint="eastAsia" w:ascii="宋体" w:hAnsi="宋体"/>
          <w:b/>
          <w:color w:val="auto"/>
          <w:szCs w:val="21"/>
          <w:highlight w:val="none"/>
        </w:rPr>
        <w:t>【谈判须知前附表】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0B0C339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5.2勘察现场的费用由供应商自己承担，勘察期间所发生的人身伤害及财产损失由供应商自己负责。</w:t>
      </w:r>
    </w:p>
    <w:p w14:paraId="4ABD8F51">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5.3采购人不对供应商据此而做出的推论、理解和结论负责。一旦成交，供应商不得以任何借口，而提出额外补偿，或延长合同期限的要求。</w:t>
      </w:r>
    </w:p>
    <w:p w14:paraId="3A77394D">
      <w:pPr>
        <w:adjustRightInd w:val="0"/>
        <w:snapToGrid w:val="0"/>
        <w:spacing w:line="360" w:lineRule="auto"/>
        <w:jc w:val="center"/>
        <w:outlineLvl w:val="2"/>
        <w:rPr>
          <w:rFonts w:hint="eastAsia" w:ascii="黑体" w:hAnsi="黑体" w:eastAsia="黑体"/>
          <w:b/>
          <w:bCs/>
          <w:color w:val="auto"/>
          <w:sz w:val="28"/>
          <w:szCs w:val="28"/>
          <w:highlight w:val="none"/>
        </w:rPr>
      </w:pPr>
      <w:bookmarkStart w:id="28" w:name="_Toc19589"/>
      <w:bookmarkStart w:id="29" w:name="_Toc107997967"/>
    </w:p>
    <w:p w14:paraId="17647E99">
      <w:pPr>
        <w:adjustRightInd w:val="0"/>
        <w:snapToGrid w:val="0"/>
        <w:spacing w:line="360" w:lineRule="auto"/>
        <w:jc w:val="center"/>
        <w:outlineLvl w:val="2"/>
        <w:rPr>
          <w:rFonts w:ascii="黑体" w:hAnsi="黑体" w:eastAsia="黑体"/>
          <w:b/>
          <w:bCs/>
          <w:color w:val="auto"/>
          <w:sz w:val="28"/>
          <w:szCs w:val="28"/>
          <w:highlight w:val="none"/>
        </w:rPr>
      </w:pPr>
      <w:r>
        <w:rPr>
          <w:rFonts w:hint="eastAsia" w:ascii="黑体" w:hAnsi="黑体" w:eastAsia="黑体"/>
          <w:b/>
          <w:bCs/>
          <w:color w:val="auto"/>
          <w:sz w:val="28"/>
          <w:szCs w:val="28"/>
          <w:highlight w:val="none"/>
        </w:rPr>
        <w:t>二、谈判文件</w:t>
      </w:r>
      <w:bookmarkEnd w:id="28"/>
      <w:bookmarkEnd w:id="29"/>
    </w:p>
    <w:p w14:paraId="07AD2677">
      <w:pPr>
        <w:spacing w:line="360" w:lineRule="auto"/>
        <w:outlineLvl w:val="3"/>
        <w:rPr>
          <w:rFonts w:ascii="黑体" w:hAnsi="黑体" w:eastAsia="黑体"/>
          <w:b/>
          <w:bCs/>
          <w:color w:val="auto"/>
          <w:sz w:val="24"/>
          <w:highlight w:val="none"/>
        </w:rPr>
      </w:pPr>
      <w:bookmarkStart w:id="30" w:name="_Toc107997841"/>
      <w:bookmarkStart w:id="31" w:name="_Toc107997968"/>
      <w:r>
        <w:rPr>
          <w:rFonts w:hint="eastAsia" w:ascii="黑体" w:hAnsi="黑体" w:eastAsia="黑体"/>
          <w:b/>
          <w:bCs/>
          <w:color w:val="auto"/>
          <w:sz w:val="24"/>
          <w:highlight w:val="none"/>
        </w:rPr>
        <w:t>6.谈判文件的组成</w:t>
      </w:r>
      <w:bookmarkEnd w:id="30"/>
      <w:bookmarkEnd w:id="31"/>
    </w:p>
    <w:p w14:paraId="4DEECB13">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6.1谈判文件由下列文件组成：</w:t>
      </w:r>
    </w:p>
    <w:p w14:paraId="69E9A2D9">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第一章 采购邀请</w:t>
      </w:r>
    </w:p>
    <w:p w14:paraId="4C2DB17B">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第二章 谈判须知</w:t>
      </w:r>
    </w:p>
    <w:p w14:paraId="71E9E1FD">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第三章 采购需求</w:t>
      </w:r>
    </w:p>
    <w:p w14:paraId="6128A008">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第四章 合同草案条款</w:t>
      </w:r>
    </w:p>
    <w:p w14:paraId="3187047C">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第五章 响应文件组成</w:t>
      </w:r>
    </w:p>
    <w:p w14:paraId="045228E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Courier New" w:cs="Courier New"/>
          <w:color w:val="auto"/>
          <w:szCs w:val="21"/>
          <w:highlight w:val="none"/>
        </w:rPr>
        <w:t>6.2</w:t>
      </w:r>
      <w:r>
        <w:rPr>
          <w:rFonts w:hint="eastAsia" w:ascii="宋体" w:hAnsi="宋体" w:cs="宋体"/>
          <w:color w:val="auto"/>
          <w:kern w:val="0"/>
          <w:szCs w:val="21"/>
          <w:highlight w:val="none"/>
        </w:rPr>
        <w:t>采购人、采购代理机构或者谈判小组在提交首次响应文件截止之日前对已发出的谈判文件进行的澄清或者修改，构成谈判文件的组成部分。</w:t>
      </w:r>
    </w:p>
    <w:p w14:paraId="3984149E">
      <w:pPr>
        <w:adjustRightInd w:val="0"/>
        <w:snapToGrid w:val="0"/>
        <w:spacing w:line="360" w:lineRule="auto"/>
        <w:ind w:firstLine="420" w:firstLineChars="200"/>
        <w:rPr>
          <w:rFonts w:ascii="宋体" w:hAnsi="Courier New" w:cs="Courier New"/>
          <w:color w:val="auto"/>
          <w:szCs w:val="21"/>
          <w:highlight w:val="none"/>
        </w:rPr>
      </w:pPr>
      <w:r>
        <w:rPr>
          <w:rFonts w:hint="eastAsia" w:ascii="宋体" w:hAnsi="宋体" w:cs="宋体"/>
          <w:color w:val="auto"/>
          <w:kern w:val="0"/>
          <w:szCs w:val="21"/>
          <w:highlight w:val="none"/>
        </w:rPr>
        <w:t>6.3谈判文件中，谈判小组根据与供应商谈判情况可能实质性变动的内容见</w:t>
      </w:r>
      <w:r>
        <w:rPr>
          <w:rFonts w:hint="eastAsia" w:ascii="宋体" w:hAnsi="宋体" w:cs="Courier New"/>
          <w:b/>
          <w:color w:val="auto"/>
          <w:szCs w:val="21"/>
          <w:highlight w:val="none"/>
        </w:rPr>
        <w:t>【谈判须知前附表】</w:t>
      </w:r>
      <w:r>
        <w:rPr>
          <w:rFonts w:hint="eastAsia" w:ascii="宋体" w:hAnsi="宋体" w:cs="宋体"/>
          <w:color w:val="auto"/>
          <w:kern w:val="0"/>
          <w:szCs w:val="21"/>
          <w:highlight w:val="none"/>
        </w:rPr>
        <w:t>。对谈判文件作出的实质性变动是谈判文件的有效组成部分。</w:t>
      </w:r>
    </w:p>
    <w:p w14:paraId="6C52BAB7">
      <w:pPr>
        <w:adjustRightInd w:val="0"/>
        <w:snapToGrid w:val="0"/>
        <w:spacing w:line="360" w:lineRule="auto"/>
        <w:ind w:firstLine="420" w:firstLineChars="200"/>
        <w:rPr>
          <w:rFonts w:ascii="宋体" w:hAnsi="宋体" w:cs="Courier New"/>
          <w:color w:val="auto"/>
          <w:szCs w:val="21"/>
          <w:highlight w:val="none"/>
        </w:rPr>
      </w:pPr>
      <w:r>
        <w:rPr>
          <w:rFonts w:hint="eastAsia" w:ascii="宋体" w:hAnsi="Courier New" w:cs="Courier New"/>
          <w:color w:val="auto"/>
          <w:szCs w:val="21"/>
          <w:highlight w:val="none"/>
        </w:rPr>
        <w:t>6.4</w:t>
      </w:r>
      <w:r>
        <w:rPr>
          <w:rFonts w:hint="eastAsia" w:ascii="宋体" w:hAnsi="宋体" w:cs="Courier New"/>
          <w:color w:val="auto"/>
          <w:szCs w:val="21"/>
          <w:highlight w:val="none"/>
        </w:rPr>
        <w:t>供应商应仔细阅读</w:t>
      </w:r>
      <w:r>
        <w:rPr>
          <w:rFonts w:hint="eastAsia" w:ascii="宋体" w:hAnsi="宋体" w:cs="Courier New"/>
          <w:bCs/>
          <w:color w:val="auto"/>
          <w:szCs w:val="21"/>
          <w:highlight w:val="none"/>
        </w:rPr>
        <w:t>谈判</w:t>
      </w:r>
      <w:r>
        <w:rPr>
          <w:rFonts w:hint="eastAsia" w:ascii="宋体" w:hAnsi="宋体" w:cs="Courier New"/>
          <w:color w:val="auto"/>
          <w:szCs w:val="21"/>
          <w:highlight w:val="none"/>
        </w:rPr>
        <w:t>文件的全部内容，按照</w:t>
      </w:r>
      <w:r>
        <w:rPr>
          <w:rFonts w:hint="eastAsia" w:ascii="宋体" w:hAnsi="宋体" w:cs="Courier New"/>
          <w:bCs/>
          <w:color w:val="auto"/>
          <w:szCs w:val="21"/>
          <w:highlight w:val="none"/>
        </w:rPr>
        <w:t>谈判</w:t>
      </w:r>
      <w:r>
        <w:rPr>
          <w:rFonts w:hint="eastAsia" w:ascii="宋体" w:hAnsi="宋体" w:cs="Courier New"/>
          <w:color w:val="auto"/>
          <w:szCs w:val="21"/>
          <w:highlight w:val="none"/>
        </w:rPr>
        <w:t>文件要求编制</w:t>
      </w:r>
      <w:r>
        <w:rPr>
          <w:rFonts w:hint="eastAsia" w:ascii="宋体" w:hAnsi="Courier New" w:cs="Courier New"/>
          <w:color w:val="auto"/>
          <w:szCs w:val="21"/>
          <w:highlight w:val="none"/>
        </w:rPr>
        <w:t>响应</w:t>
      </w:r>
      <w:r>
        <w:rPr>
          <w:rFonts w:hint="eastAsia" w:ascii="宋体" w:hAnsi="宋体" w:cs="Courier New"/>
          <w:color w:val="auto"/>
          <w:szCs w:val="21"/>
          <w:highlight w:val="none"/>
        </w:rPr>
        <w:t>文件。任何对</w:t>
      </w:r>
      <w:r>
        <w:rPr>
          <w:rFonts w:hint="eastAsia" w:ascii="宋体" w:hAnsi="宋体" w:cs="Courier New"/>
          <w:bCs/>
          <w:color w:val="auto"/>
          <w:szCs w:val="21"/>
          <w:highlight w:val="none"/>
        </w:rPr>
        <w:t>谈判</w:t>
      </w:r>
      <w:r>
        <w:rPr>
          <w:rFonts w:hint="eastAsia" w:ascii="宋体" w:hAnsi="宋体" w:cs="Courier New"/>
          <w:color w:val="auto"/>
          <w:szCs w:val="21"/>
          <w:highlight w:val="none"/>
        </w:rPr>
        <w:t>文件的忽略或误解不能作为</w:t>
      </w:r>
      <w:r>
        <w:rPr>
          <w:rFonts w:hint="eastAsia" w:ascii="宋体" w:hAnsi="Courier New" w:cs="Courier New"/>
          <w:color w:val="auto"/>
          <w:szCs w:val="21"/>
          <w:highlight w:val="none"/>
        </w:rPr>
        <w:t>响应</w:t>
      </w:r>
      <w:r>
        <w:rPr>
          <w:rFonts w:hint="eastAsia" w:ascii="宋体" w:hAnsi="宋体" w:cs="Courier New"/>
          <w:color w:val="auto"/>
          <w:szCs w:val="21"/>
          <w:highlight w:val="none"/>
        </w:rPr>
        <w:t>文件存在缺陷或瑕疵的理由，其风险由供应商承担。</w:t>
      </w:r>
    </w:p>
    <w:p w14:paraId="4DB9918C">
      <w:pPr>
        <w:spacing w:line="360" w:lineRule="auto"/>
        <w:outlineLvl w:val="3"/>
        <w:rPr>
          <w:rFonts w:ascii="黑体" w:hAnsi="黑体" w:eastAsia="黑体"/>
          <w:b/>
          <w:bCs/>
          <w:color w:val="auto"/>
          <w:sz w:val="24"/>
          <w:highlight w:val="none"/>
        </w:rPr>
      </w:pPr>
      <w:bookmarkStart w:id="32" w:name="_Toc107997842"/>
      <w:bookmarkStart w:id="33" w:name="_Toc107997969"/>
      <w:r>
        <w:rPr>
          <w:rFonts w:hint="eastAsia" w:ascii="黑体" w:hAnsi="黑体" w:eastAsia="黑体"/>
          <w:b/>
          <w:bCs/>
          <w:color w:val="auto"/>
          <w:sz w:val="24"/>
          <w:highlight w:val="none"/>
        </w:rPr>
        <w:t>7.谈判文件的澄清</w:t>
      </w:r>
      <w:r>
        <w:rPr>
          <w:rFonts w:hint="eastAsia" w:ascii="黑体" w:hAnsi="黑体" w:eastAsia="黑体"/>
          <w:b/>
          <w:bCs/>
          <w:color w:val="auto"/>
          <w:kern w:val="0"/>
          <w:sz w:val="24"/>
          <w:highlight w:val="none"/>
          <w:lang w:val="zh-CN"/>
        </w:rPr>
        <w:t>或者</w:t>
      </w:r>
      <w:r>
        <w:rPr>
          <w:rFonts w:hint="eastAsia" w:ascii="黑体" w:hAnsi="黑体" w:eastAsia="黑体"/>
          <w:b/>
          <w:bCs/>
          <w:color w:val="auto"/>
          <w:sz w:val="24"/>
          <w:highlight w:val="none"/>
        </w:rPr>
        <w:t>修改</w:t>
      </w:r>
      <w:bookmarkEnd w:id="32"/>
      <w:bookmarkEnd w:id="33"/>
    </w:p>
    <w:p w14:paraId="603947B1">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7.1在</w:t>
      </w:r>
      <w:r>
        <w:rPr>
          <w:rFonts w:hint="eastAsia" w:ascii="宋体" w:hAnsi="宋体" w:cs="宋体"/>
          <w:color w:val="auto"/>
          <w:kern w:val="0"/>
          <w:szCs w:val="21"/>
          <w:highlight w:val="none"/>
        </w:rPr>
        <w:t>提交首次响应文件截止之日前，采购人、采购代理机构或者谈判小组可以对已发出的谈判文件进行必要的澄清或者修改。</w:t>
      </w:r>
    </w:p>
    <w:p w14:paraId="17ADBCB6">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7.2</w:t>
      </w:r>
      <w:r>
        <w:rPr>
          <w:rFonts w:hint="eastAsia" w:ascii="宋体" w:hAnsi="宋体" w:cs="宋体"/>
          <w:color w:val="auto"/>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084574A5">
      <w:pPr>
        <w:adjustRightInd w:val="0"/>
        <w:snapToGrid w:val="0"/>
        <w:spacing w:line="360" w:lineRule="auto"/>
        <w:jc w:val="center"/>
        <w:outlineLvl w:val="2"/>
        <w:rPr>
          <w:rFonts w:ascii="黑体" w:hAnsi="黑体" w:eastAsia="黑体"/>
          <w:b/>
          <w:bCs/>
          <w:color w:val="auto"/>
          <w:sz w:val="28"/>
          <w:szCs w:val="28"/>
          <w:highlight w:val="none"/>
        </w:rPr>
      </w:pPr>
      <w:bookmarkStart w:id="34" w:name="_Toc18700"/>
      <w:bookmarkStart w:id="35" w:name="_Toc107997970"/>
      <w:r>
        <w:rPr>
          <w:rFonts w:hint="eastAsia" w:ascii="黑体" w:hAnsi="黑体" w:eastAsia="黑体"/>
          <w:b/>
          <w:bCs/>
          <w:color w:val="auto"/>
          <w:sz w:val="28"/>
          <w:szCs w:val="28"/>
          <w:highlight w:val="none"/>
        </w:rPr>
        <w:t>三、响应文件</w:t>
      </w:r>
      <w:bookmarkEnd w:id="34"/>
      <w:bookmarkEnd w:id="35"/>
    </w:p>
    <w:p w14:paraId="38FD41C4">
      <w:pPr>
        <w:spacing w:line="360" w:lineRule="auto"/>
        <w:outlineLvl w:val="3"/>
        <w:rPr>
          <w:rFonts w:ascii="黑体" w:hAnsi="黑体" w:eastAsia="黑体"/>
          <w:b/>
          <w:bCs/>
          <w:color w:val="auto"/>
          <w:sz w:val="24"/>
          <w:highlight w:val="none"/>
        </w:rPr>
      </w:pPr>
      <w:bookmarkStart w:id="36" w:name="_Toc107997971"/>
      <w:bookmarkStart w:id="37" w:name="_Toc107997844"/>
      <w:r>
        <w:rPr>
          <w:rFonts w:hint="eastAsia" w:ascii="黑体" w:hAnsi="黑体" w:eastAsia="黑体"/>
          <w:b/>
          <w:bCs/>
          <w:color w:val="auto"/>
          <w:sz w:val="24"/>
          <w:highlight w:val="none"/>
        </w:rPr>
        <w:t>8.一般要求</w:t>
      </w:r>
      <w:bookmarkEnd w:id="36"/>
      <w:bookmarkEnd w:id="37"/>
    </w:p>
    <w:p w14:paraId="359E8AA5">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8.1供应商应仔细阅读谈判文件的所有内容，按谈判文件的要求编制响应文件，并保证所提供的全部资料的真实性，以使其响应文件对谈判文件做出实质性的响应。</w:t>
      </w:r>
    </w:p>
    <w:p w14:paraId="78DA6143">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8.2</w:t>
      </w:r>
      <w:r>
        <w:rPr>
          <w:rFonts w:hint="eastAsia" w:ascii="宋体" w:hAnsi="宋体"/>
          <w:color w:val="auto"/>
          <w:szCs w:val="21"/>
          <w:highlight w:val="none"/>
        </w:rPr>
        <w:t>供应商提交的响应文件及供应商与采购人或采购代理机构、谈判小组就有关谈判的所有来往函电均使用中文。供应商可以提交其他语言的资料，但应附中文注释，在有差异时以中文为准。</w:t>
      </w:r>
    </w:p>
    <w:p w14:paraId="358CA050">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bCs/>
          <w:color w:val="auto"/>
          <w:szCs w:val="21"/>
          <w:highlight w:val="none"/>
        </w:rPr>
        <w:t>8.3</w:t>
      </w:r>
      <w:r>
        <w:rPr>
          <w:rFonts w:hint="eastAsia" w:ascii="宋体" w:hAnsi="宋体" w:cs="Courier New"/>
          <w:color w:val="auto"/>
          <w:szCs w:val="21"/>
          <w:highlight w:val="none"/>
        </w:rPr>
        <w:t>计量单位应使用我国法定计量单位，未列明时应默认为我国法定计量单位。</w:t>
      </w:r>
    </w:p>
    <w:p w14:paraId="12AC75C0">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8.4响应文件应采用书面形式，电报、传真、电子邮件形式的响应文件概不接受。</w:t>
      </w:r>
    </w:p>
    <w:p w14:paraId="3E24A72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8.5供应商应按谈判文件中提供的响应文件格式填写。</w:t>
      </w:r>
    </w:p>
    <w:p w14:paraId="22BB4499">
      <w:pPr>
        <w:spacing w:line="360" w:lineRule="auto"/>
        <w:outlineLvl w:val="3"/>
        <w:rPr>
          <w:rFonts w:ascii="黑体" w:hAnsi="黑体" w:eastAsia="黑体"/>
          <w:b/>
          <w:bCs/>
          <w:color w:val="auto"/>
          <w:sz w:val="24"/>
          <w:highlight w:val="none"/>
        </w:rPr>
      </w:pPr>
      <w:bookmarkStart w:id="38" w:name="_Toc107997845"/>
      <w:bookmarkStart w:id="39" w:name="_Toc107997972"/>
      <w:r>
        <w:rPr>
          <w:rFonts w:hint="eastAsia" w:ascii="黑体" w:hAnsi="黑体" w:eastAsia="黑体"/>
          <w:b/>
          <w:bCs/>
          <w:color w:val="auto"/>
          <w:sz w:val="24"/>
          <w:highlight w:val="none"/>
        </w:rPr>
        <w:t>9.响应文件的组成</w:t>
      </w:r>
      <w:bookmarkEnd w:id="38"/>
      <w:bookmarkEnd w:id="39"/>
    </w:p>
    <w:p w14:paraId="674615CB">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9.1响应文件包括下列内容：</w:t>
      </w:r>
    </w:p>
    <w:p w14:paraId="15887FC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（1）报价表及报价文件(格式)</w:t>
      </w:r>
    </w:p>
    <w:p w14:paraId="3F1C6CC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（2）谈判响应声明(格式)</w:t>
      </w:r>
    </w:p>
    <w:p w14:paraId="7091A5D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（3）保证金</w:t>
      </w:r>
    </w:p>
    <w:p w14:paraId="7783BC0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（4）授权委托书(格式)</w:t>
      </w:r>
    </w:p>
    <w:p w14:paraId="5160899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（5）供应商资格审查材料</w:t>
      </w:r>
    </w:p>
    <w:p w14:paraId="46C2B6B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（6）采购需求响应</w:t>
      </w:r>
    </w:p>
    <w:p w14:paraId="39D8CEE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（7）合同条款偏离表</w:t>
      </w:r>
    </w:p>
    <w:p w14:paraId="6A75A34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（8）采购需求偏离表</w:t>
      </w:r>
    </w:p>
    <w:p w14:paraId="3739BC9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（9）享受政府采购政策的证明资料</w:t>
      </w:r>
    </w:p>
    <w:p w14:paraId="23ADB2A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（10）响应标的符合谈判文件规定的证明文件</w:t>
      </w:r>
    </w:p>
    <w:p w14:paraId="731FC6E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（11）供应商认为需提供的其他资料（如有）</w:t>
      </w:r>
    </w:p>
    <w:p w14:paraId="39CC41E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（12）最后报价</w:t>
      </w:r>
    </w:p>
    <w:p w14:paraId="7159CF0F">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9.2在谈判过程中，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谈判小组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09FB84E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9.3</w:t>
      </w:r>
      <w:r>
        <w:rPr>
          <w:rFonts w:hint="eastAsia" w:ascii="宋体" w:hAnsi="宋体"/>
          <w:color w:val="auto"/>
          <w:szCs w:val="21"/>
          <w:highlight w:val="none"/>
        </w:rPr>
        <w:t>根据《政府采购法》第四十二条的规定，供应商无论成交与否，其响应文件不予退还。</w:t>
      </w:r>
    </w:p>
    <w:p w14:paraId="52445F8E">
      <w:pPr>
        <w:adjustRightInd w:val="0"/>
        <w:snapToGrid w:val="0"/>
        <w:spacing w:line="360" w:lineRule="auto"/>
        <w:outlineLvl w:val="3"/>
        <w:rPr>
          <w:rFonts w:ascii="黑体" w:hAnsi="黑体" w:eastAsia="黑体"/>
          <w:b/>
          <w:bCs/>
          <w:color w:val="auto"/>
          <w:sz w:val="24"/>
          <w:highlight w:val="none"/>
        </w:rPr>
      </w:pPr>
      <w:bookmarkStart w:id="40" w:name="_Toc62225434"/>
      <w:bookmarkStart w:id="41" w:name="_Toc107997974"/>
      <w:bookmarkStart w:id="42" w:name="_Toc107997847"/>
      <w:r>
        <w:rPr>
          <w:rFonts w:hint="eastAsia" w:ascii="黑体" w:hAnsi="黑体" w:eastAsia="黑体"/>
          <w:b/>
          <w:bCs/>
          <w:color w:val="auto"/>
          <w:sz w:val="24"/>
          <w:highlight w:val="none"/>
        </w:rPr>
        <w:t>10.供应商的资格更新证明</w:t>
      </w:r>
      <w:bookmarkEnd w:id="40"/>
      <w:bookmarkEnd w:id="41"/>
      <w:bookmarkEnd w:id="42"/>
      <w:r>
        <w:rPr>
          <w:rFonts w:hint="eastAsia" w:ascii="黑体" w:hAnsi="黑体" w:eastAsia="黑体"/>
          <w:b/>
          <w:bCs/>
          <w:color w:val="auto"/>
          <w:sz w:val="24"/>
          <w:highlight w:val="none"/>
        </w:rPr>
        <w:t>材料</w:t>
      </w:r>
    </w:p>
    <w:p w14:paraId="6BEB248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highlight w:val="none"/>
        </w:rPr>
        <w:t>10.1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7C8210C0">
      <w:pPr>
        <w:spacing w:line="360" w:lineRule="auto"/>
        <w:outlineLvl w:val="3"/>
        <w:rPr>
          <w:rFonts w:ascii="黑体" w:hAnsi="黑体" w:eastAsia="黑体"/>
          <w:b/>
          <w:bCs/>
          <w:color w:val="auto"/>
          <w:sz w:val="24"/>
          <w:highlight w:val="none"/>
        </w:rPr>
      </w:pPr>
      <w:bookmarkStart w:id="43" w:name="_Toc107997975"/>
      <w:bookmarkStart w:id="44" w:name="_Toc107997848"/>
      <w:r>
        <w:rPr>
          <w:rFonts w:hint="eastAsia" w:ascii="黑体" w:hAnsi="黑体" w:eastAsia="黑体"/>
          <w:b/>
          <w:bCs/>
          <w:color w:val="auto"/>
          <w:sz w:val="24"/>
          <w:highlight w:val="none"/>
        </w:rPr>
        <w:t>11.报价要求</w:t>
      </w:r>
      <w:bookmarkEnd w:id="43"/>
      <w:bookmarkEnd w:id="44"/>
    </w:p>
    <w:p w14:paraId="01024885">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color w:val="auto"/>
          <w:szCs w:val="21"/>
          <w:highlight w:val="none"/>
        </w:rPr>
        <w:t>11.1</w:t>
      </w:r>
      <w:r>
        <w:rPr>
          <w:rFonts w:hint="eastAsia" w:ascii="宋体" w:hAnsi="宋体" w:eastAsia="宋体"/>
          <w:color w:val="auto"/>
          <w:szCs w:val="21"/>
          <w:highlight w:val="none"/>
        </w:rPr>
        <w:t>供应商应当根据谈判文件第三章第一节“采购清单一览表”逐一报价；谈判文件第三章提供第二节“工程量清单”的，供应商应按其要求填写相应表格。</w:t>
      </w:r>
    </w:p>
    <w:p w14:paraId="1D14AAE9">
      <w:pPr>
        <w:adjustRightInd w:val="0"/>
        <w:snapToGrid w:val="0"/>
        <w:spacing w:line="360" w:lineRule="auto"/>
        <w:ind w:firstLine="420" w:firstLineChars="200"/>
        <w:rPr>
          <w:rFonts w:ascii="宋体" w:hAnsi="宋体"/>
          <w:color w:val="auto"/>
          <w:szCs w:val="21"/>
          <w:highlight w:val="none"/>
        </w:rPr>
      </w:pPr>
      <w:r>
        <w:rPr>
          <w:rFonts w:hint="eastAsia" w:ascii="宋体" w:hAnsi="宋体" w:eastAsia="宋体"/>
          <w:color w:val="auto"/>
          <w:szCs w:val="21"/>
          <w:highlight w:val="none"/>
        </w:rPr>
        <w:t>11.2</w:t>
      </w:r>
      <w:r>
        <w:rPr>
          <w:rFonts w:hint="eastAsia" w:ascii="宋体" w:hAnsi="宋体"/>
          <w:color w:val="auto"/>
          <w:szCs w:val="21"/>
          <w:highlight w:val="none"/>
        </w:rPr>
        <w:t>在报价表、分项报价表填写报价时应注意下列要求：</w:t>
      </w:r>
    </w:p>
    <w:p w14:paraId="26C158B8">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（1）采购需求要求的安装、调试、培训、售后服务及其他附加服务的费用。</w:t>
      </w:r>
    </w:p>
    <w:p w14:paraId="0E172F16">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（2）所有根据合同或其他原因应由供应商交纳和支付的税款和费用。</w:t>
      </w:r>
    </w:p>
    <w:p w14:paraId="72FEC473">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（3）谈判文件指定交货地点的运输、保险、装卸费。</w:t>
      </w:r>
    </w:p>
    <w:p w14:paraId="3CCB0A5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（4）实行工程量清单报价的，供应商提交最后报价应与已标价工程量清单总报价一致。</w:t>
      </w:r>
    </w:p>
    <w:p w14:paraId="1E2D6F26">
      <w:pPr>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11.3</w:t>
      </w:r>
      <w:r>
        <w:rPr>
          <w:rFonts w:hint="eastAsia" w:ascii="宋体" w:hAnsi="宋体" w:cs="宋体"/>
          <w:color w:val="auto"/>
          <w:kern w:val="0"/>
          <w:szCs w:val="21"/>
          <w:highlight w:val="none"/>
          <w:lang w:val="zh-CN"/>
        </w:rPr>
        <w:t>供应商</w:t>
      </w:r>
      <w:r>
        <w:rPr>
          <w:rFonts w:hint="eastAsia" w:ascii="宋体" w:hAnsi="宋体"/>
          <w:color w:val="auto"/>
          <w:kern w:val="0"/>
          <w:szCs w:val="21"/>
          <w:highlight w:val="none"/>
        </w:rPr>
        <w:t>的最后报价不得超过采购项目预算，</w:t>
      </w:r>
      <w:r>
        <w:rPr>
          <w:rFonts w:hint="eastAsia" w:ascii="宋体" w:hAnsi="宋体"/>
          <w:b/>
          <w:bCs/>
          <w:color w:val="auto"/>
          <w:kern w:val="0"/>
          <w:szCs w:val="21"/>
          <w:highlight w:val="none"/>
        </w:rPr>
        <w:t>否则，其响应无效</w:t>
      </w:r>
      <w:r>
        <w:rPr>
          <w:rFonts w:hint="eastAsia" w:ascii="宋体" w:hAnsi="宋体"/>
          <w:color w:val="auto"/>
          <w:kern w:val="0"/>
          <w:szCs w:val="21"/>
          <w:highlight w:val="none"/>
        </w:rPr>
        <w:t>。采购项目预算见</w:t>
      </w:r>
      <w:r>
        <w:rPr>
          <w:rFonts w:hint="eastAsia" w:ascii="宋体" w:hAnsi="宋体"/>
          <w:b/>
          <w:color w:val="auto"/>
          <w:kern w:val="0"/>
          <w:szCs w:val="21"/>
          <w:highlight w:val="none"/>
        </w:rPr>
        <w:t>【谈判须知前附表】</w:t>
      </w:r>
      <w:r>
        <w:rPr>
          <w:rFonts w:hint="eastAsia" w:ascii="宋体" w:hAnsi="宋体"/>
          <w:color w:val="auto"/>
          <w:kern w:val="0"/>
          <w:szCs w:val="21"/>
          <w:highlight w:val="none"/>
        </w:rPr>
        <w:t>。</w:t>
      </w:r>
    </w:p>
    <w:p w14:paraId="4802611F">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11.4</w:t>
      </w:r>
      <w:r>
        <w:rPr>
          <w:rFonts w:hint="eastAsia" w:ascii="宋体" w:hAnsi="宋体"/>
          <w:color w:val="auto"/>
          <w:szCs w:val="21"/>
          <w:highlight w:val="none"/>
        </w:rPr>
        <w:t>采用固定价格定价方式的采购项目，</w:t>
      </w:r>
      <w:r>
        <w:rPr>
          <w:rFonts w:hint="eastAsia" w:ascii="宋体" w:hAnsi="宋体" w:cs="Courier New"/>
          <w:color w:val="auto"/>
          <w:szCs w:val="21"/>
          <w:highlight w:val="none"/>
        </w:rPr>
        <w:t>供应商提交的最后报价在合同执行过程中是固定不变的，不得以任何理由予以变更。以可变动价格提交的报价将被认为是非实质响应而被拒绝。</w:t>
      </w:r>
    </w:p>
    <w:p w14:paraId="6461D4B7">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11.5采购人不接受供应商给予的赠品、回扣或者与采购无关的其他商品、服务。</w:t>
      </w:r>
    </w:p>
    <w:p w14:paraId="4AAD6034">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11.6报价的其他要求见</w:t>
      </w:r>
      <w:r>
        <w:rPr>
          <w:rFonts w:hint="eastAsia" w:ascii="宋体" w:hAnsi="宋体" w:cs="Courier New"/>
          <w:b/>
          <w:color w:val="auto"/>
          <w:szCs w:val="21"/>
          <w:highlight w:val="none"/>
        </w:rPr>
        <w:t>【谈判须知前附表】</w:t>
      </w:r>
      <w:r>
        <w:rPr>
          <w:rFonts w:hint="eastAsia" w:ascii="宋体" w:hAnsi="宋体" w:cs="Courier New"/>
          <w:color w:val="auto"/>
          <w:szCs w:val="21"/>
          <w:highlight w:val="none"/>
        </w:rPr>
        <w:t>。</w:t>
      </w:r>
    </w:p>
    <w:p w14:paraId="12848E53">
      <w:pPr>
        <w:spacing w:line="360" w:lineRule="auto"/>
        <w:outlineLvl w:val="3"/>
        <w:rPr>
          <w:rFonts w:ascii="黑体" w:hAnsi="黑体" w:eastAsia="黑体"/>
          <w:b/>
          <w:bCs/>
          <w:color w:val="auto"/>
          <w:sz w:val="24"/>
          <w:highlight w:val="none"/>
        </w:rPr>
      </w:pPr>
      <w:bookmarkStart w:id="45" w:name="_Toc107997976"/>
      <w:bookmarkStart w:id="46" w:name="_Toc107997849"/>
      <w:r>
        <w:rPr>
          <w:rFonts w:hint="eastAsia" w:ascii="黑体" w:hAnsi="黑体" w:eastAsia="黑体"/>
          <w:b/>
          <w:bCs/>
          <w:color w:val="auto"/>
          <w:sz w:val="24"/>
          <w:highlight w:val="none"/>
        </w:rPr>
        <w:t>12.谈判保证金</w:t>
      </w:r>
      <w:bookmarkEnd w:id="45"/>
      <w:bookmarkEnd w:id="46"/>
    </w:p>
    <w:p w14:paraId="3BF44480">
      <w:pPr>
        <w:autoSpaceDE w:val="0"/>
        <w:autoSpaceDN w:val="0"/>
        <w:adjustRightInd w:val="0"/>
        <w:spacing w:line="360" w:lineRule="auto"/>
        <w:ind w:firstLine="420" w:firstLineChars="200"/>
        <w:jc w:val="left"/>
        <w:rPr>
          <w:rFonts w:hAnsi="宋体"/>
          <w:bCs/>
          <w:color w:val="auto"/>
          <w:highlight w:val="none"/>
        </w:rPr>
      </w:pPr>
      <w:r>
        <w:rPr>
          <w:rFonts w:hint="eastAsia" w:hAnsi="宋体"/>
          <w:color w:val="auto"/>
          <w:highlight w:val="none"/>
        </w:rPr>
        <w:t>12.1</w:t>
      </w:r>
      <w:r>
        <w:rPr>
          <w:rFonts w:hint="eastAsia" w:hAnsi="宋体"/>
          <w:bCs/>
          <w:color w:val="auto"/>
          <w:highlight w:val="none"/>
        </w:rPr>
        <w:t>谈判文件要求供应商提交谈判保证金的，供应商应按</w:t>
      </w:r>
      <w:r>
        <w:rPr>
          <w:rFonts w:hint="eastAsia" w:hAnsi="宋体"/>
          <w:b/>
          <w:bCs/>
          <w:color w:val="auto"/>
          <w:highlight w:val="none"/>
        </w:rPr>
        <w:t>【谈判须知前附表】</w:t>
      </w:r>
      <w:r>
        <w:rPr>
          <w:rFonts w:hint="eastAsia" w:hAnsi="宋体"/>
          <w:bCs/>
          <w:color w:val="auto"/>
          <w:highlight w:val="none"/>
        </w:rPr>
        <w:t>规定，在提交首次响应文件的截止时间前提交谈判保证金。谈判保证金有效期应当与响应文件有效期一致。供应商可用保函、电子增信替代谈判保证金。</w:t>
      </w:r>
    </w:p>
    <w:p w14:paraId="03E754F9">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12.2</w:t>
      </w:r>
      <w:r>
        <w:rPr>
          <w:rFonts w:hint="eastAsia" w:ascii="宋体" w:hAnsi="宋体" w:cs="宋体"/>
          <w:color w:val="auto"/>
          <w:kern w:val="0"/>
          <w:szCs w:val="21"/>
          <w:highlight w:val="none"/>
          <w:lang w:val="zh-CN"/>
        </w:rPr>
        <w:t>供应商为联合体的，可以由联合体中的一方或者共同交纳</w:t>
      </w:r>
      <w:r>
        <w:rPr>
          <w:rFonts w:hint="eastAsia" w:hAnsi="宋体"/>
          <w:bCs/>
          <w:color w:val="auto"/>
          <w:highlight w:val="none"/>
        </w:rPr>
        <w:t>谈判</w:t>
      </w:r>
      <w:r>
        <w:rPr>
          <w:rFonts w:hint="eastAsia" w:ascii="宋体" w:hAnsi="宋体" w:cs="宋体"/>
          <w:color w:val="auto"/>
          <w:kern w:val="0"/>
          <w:szCs w:val="21"/>
          <w:highlight w:val="none"/>
          <w:lang w:val="zh-CN"/>
        </w:rPr>
        <w:t>保证金，其交纳的</w:t>
      </w:r>
      <w:r>
        <w:rPr>
          <w:rFonts w:hint="eastAsia" w:hAnsi="宋体"/>
          <w:bCs/>
          <w:color w:val="auto"/>
          <w:highlight w:val="none"/>
        </w:rPr>
        <w:t>谈判</w:t>
      </w:r>
      <w:r>
        <w:rPr>
          <w:rFonts w:hint="eastAsia" w:ascii="宋体" w:hAnsi="宋体" w:cs="宋体"/>
          <w:color w:val="auto"/>
          <w:kern w:val="0"/>
          <w:szCs w:val="21"/>
          <w:highlight w:val="none"/>
          <w:lang w:val="zh-CN"/>
        </w:rPr>
        <w:t>保证金，对联合体各方均具有约束力。</w:t>
      </w:r>
    </w:p>
    <w:p w14:paraId="300D33EC">
      <w:pPr>
        <w:tabs>
          <w:tab w:val="left" w:pos="6300"/>
        </w:tabs>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12.3采购人、采购代理机构在成交通知书发出后5个工作日内退还未成交供应商的</w:t>
      </w:r>
      <w:r>
        <w:rPr>
          <w:rFonts w:hint="eastAsia" w:ascii="宋体" w:hAnsi="宋体" w:cs="Courier New"/>
          <w:bCs/>
          <w:color w:val="auto"/>
          <w:szCs w:val="21"/>
          <w:highlight w:val="none"/>
        </w:rPr>
        <w:t>谈判</w:t>
      </w:r>
      <w:r>
        <w:rPr>
          <w:rFonts w:hint="eastAsia" w:ascii="宋体" w:hAnsi="宋体" w:cs="Courier New"/>
          <w:color w:val="auto"/>
          <w:szCs w:val="21"/>
          <w:highlight w:val="none"/>
        </w:rPr>
        <w:t>保证金；在采购合同签订后5个工作日内退还成交供应商的</w:t>
      </w:r>
      <w:r>
        <w:rPr>
          <w:rFonts w:hint="eastAsia" w:ascii="宋体" w:hAnsi="宋体" w:cs="Courier New"/>
          <w:bCs/>
          <w:color w:val="auto"/>
          <w:szCs w:val="21"/>
          <w:highlight w:val="none"/>
        </w:rPr>
        <w:t>谈判</w:t>
      </w:r>
      <w:r>
        <w:rPr>
          <w:rFonts w:hint="eastAsia" w:ascii="宋体" w:hAnsi="宋体" w:cs="Courier New"/>
          <w:color w:val="auto"/>
          <w:szCs w:val="21"/>
          <w:highlight w:val="none"/>
        </w:rPr>
        <w:t>保证金，但因供应商自身原因导致无法及时退还的除外。</w:t>
      </w:r>
    </w:p>
    <w:p w14:paraId="4472FDC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12.4</w:t>
      </w:r>
      <w:r>
        <w:rPr>
          <w:rFonts w:hint="eastAsia" w:hAnsi="宋体"/>
          <w:bCs/>
          <w:color w:val="auto"/>
          <w:highlight w:val="none"/>
        </w:rPr>
        <w:t>谈判</w:t>
      </w:r>
      <w:r>
        <w:rPr>
          <w:rFonts w:hint="eastAsia" w:ascii="宋体" w:hAnsi="宋体"/>
          <w:color w:val="auto"/>
          <w:szCs w:val="21"/>
          <w:highlight w:val="none"/>
        </w:rPr>
        <w:t>保证金的退还按以下规定办理：</w:t>
      </w:r>
    </w:p>
    <w:p w14:paraId="0175CD7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（1）成交供应商的</w:t>
      </w:r>
      <w:r>
        <w:rPr>
          <w:rFonts w:hint="eastAsia" w:hAnsi="宋体"/>
          <w:bCs/>
          <w:color w:val="auto"/>
          <w:highlight w:val="none"/>
        </w:rPr>
        <w:t>谈判</w:t>
      </w:r>
      <w:r>
        <w:rPr>
          <w:rFonts w:hint="eastAsia" w:ascii="宋体" w:hAnsi="宋体"/>
          <w:color w:val="auto"/>
          <w:szCs w:val="21"/>
          <w:highlight w:val="none"/>
        </w:rPr>
        <w:t>保证金，在政府采购合同签订后5个工作日内退还。</w:t>
      </w:r>
    </w:p>
    <w:p w14:paraId="559B2F8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（2）未成交供应商的</w:t>
      </w:r>
      <w:r>
        <w:rPr>
          <w:rFonts w:hint="eastAsia" w:hAnsi="宋体"/>
          <w:bCs/>
          <w:color w:val="auto"/>
          <w:highlight w:val="none"/>
        </w:rPr>
        <w:t>谈判</w:t>
      </w:r>
      <w:r>
        <w:rPr>
          <w:rFonts w:hint="eastAsia" w:ascii="宋体" w:hAnsi="宋体"/>
          <w:color w:val="auto"/>
          <w:szCs w:val="21"/>
          <w:highlight w:val="none"/>
        </w:rPr>
        <w:t>保证金，在成交通知书发出后5个工作日内退还。</w:t>
      </w:r>
    </w:p>
    <w:p w14:paraId="04BF38A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（3）终止竞争性谈判采购活动的，在发布项目终止公告后5个工作日内退还。</w:t>
      </w:r>
    </w:p>
    <w:p w14:paraId="76498137">
      <w:pPr>
        <w:adjustRightInd w:val="0"/>
        <w:snapToGrid w:val="0"/>
        <w:spacing w:line="360" w:lineRule="auto"/>
        <w:ind w:firstLine="420" w:firstLineChars="200"/>
        <w:rPr>
          <w:rFonts w:ascii="宋体" w:hAnsi="Courier New" w:cs="Courier New"/>
          <w:color w:val="auto"/>
          <w:kern w:val="0"/>
          <w:szCs w:val="21"/>
          <w:highlight w:val="none"/>
        </w:rPr>
      </w:pPr>
      <w:r>
        <w:rPr>
          <w:rFonts w:hint="eastAsia" w:ascii="宋体" w:hAnsi="Courier New" w:cs="Courier New"/>
          <w:color w:val="auto"/>
          <w:szCs w:val="21"/>
          <w:highlight w:val="none"/>
        </w:rPr>
        <w:t>12.5</w:t>
      </w:r>
      <w:r>
        <w:rPr>
          <w:rFonts w:hint="eastAsia" w:ascii="宋体" w:hAnsi="Courier New" w:cs="Courier New"/>
          <w:color w:val="auto"/>
          <w:kern w:val="0"/>
          <w:szCs w:val="21"/>
          <w:highlight w:val="none"/>
        </w:rPr>
        <w:t>有下列情形之一的，</w:t>
      </w:r>
      <w:r>
        <w:rPr>
          <w:rFonts w:hint="eastAsia" w:ascii="宋体" w:hAnsi="宋体" w:cs="Courier New"/>
          <w:bCs/>
          <w:color w:val="auto"/>
          <w:szCs w:val="21"/>
          <w:highlight w:val="none"/>
        </w:rPr>
        <w:t>谈判</w:t>
      </w:r>
      <w:r>
        <w:rPr>
          <w:rFonts w:hint="eastAsia" w:ascii="宋体" w:hAnsi="Courier New" w:cs="Courier New"/>
          <w:color w:val="auto"/>
          <w:kern w:val="0"/>
          <w:szCs w:val="21"/>
          <w:highlight w:val="none"/>
        </w:rPr>
        <w:t>保证金不予退还，并上缴本级财政国库：</w:t>
      </w:r>
    </w:p>
    <w:p w14:paraId="4C391F16">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（1）供应商在提交响应文件截止时间后撤回响应文件的；</w:t>
      </w:r>
    </w:p>
    <w:p w14:paraId="62FE1259">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（2）供应商在响应文件中提供虚假材料的；</w:t>
      </w:r>
    </w:p>
    <w:p w14:paraId="2E6ADAE5">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（3）除因不可抗力或谈判文件认可的情形以外，成交供应商不与采购人签订合同的；</w:t>
      </w:r>
    </w:p>
    <w:p w14:paraId="51CF6F17">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（4）供应商与采购人、其他供应商或者采购代理机构恶意串通的；</w:t>
      </w:r>
    </w:p>
    <w:p w14:paraId="12472A91">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（5）谈判文件规定的其他情形。</w:t>
      </w:r>
    </w:p>
    <w:p w14:paraId="778B23F8">
      <w:pPr>
        <w:spacing w:line="360" w:lineRule="auto"/>
        <w:outlineLvl w:val="3"/>
        <w:rPr>
          <w:rFonts w:ascii="黑体" w:hAnsi="黑体" w:eastAsia="黑体"/>
          <w:b/>
          <w:bCs/>
          <w:color w:val="auto"/>
          <w:sz w:val="24"/>
          <w:highlight w:val="none"/>
        </w:rPr>
      </w:pPr>
      <w:bookmarkStart w:id="47" w:name="_Toc107997850"/>
      <w:bookmarkStart w:id="48" w:name="_Toc107997977"/>
      <w:r>
        <w:rPr>
          <w:rFonts w:hint="eastAsia" w:ascii="黑体" w:hAnsi="黑体" w:eastAsia="黑体"/>
          <w:b/>
          <w:bCs/>
          <w:color w:val="auto"/>
          <w:sz w:val="24"/>
          <w:highlight w:val="none"/>
        </w:rPr>
        <w:t>13.响应文件有效期</w:t>
      </w:r>
      <w:bookmarkEnd w:id="47"/>
      <w:bookmarkEnd w:id="48"/>
    </w:p>
    <w:p w14:paraId="2A2D5B81">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13.1响应文件</w:t>
      </w:r>
      <w:r>
        <w:rPr>
          <w:rFonts w:hint="eastAsia" w:ascii="宋体" w:hAnsi="宋体"/>
          <w:color w:val="auto"/>
          <w:szCs w:val="21"/>
          <w:highlight w:val="none"/>
        </w:rPr>
        <w:t>有效期见</w:t>
      </w:r>
      <w:r>
        <w:rPr>
          <w:rFonts w:hint="eastAsia" w:hAnsi="宋体"/>
          <w:b/>
          <w:bCs/>
          <w:color w:val="auto"/>
          <w:highlight w:val="none"/>
        </w:rPr>
        <w:t>【谈判须知前附表】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w:t>
      </w:r>
      <w:r>
        <w:rPr>
          <w:rFonts w:hint="eastAsia" w:hAnsi="宋体"/>
          <w:color w:val="auto"/>
          <w:highlight w:val="none"/>
          <w:lang w:eastAsia="zh-CN"/>
        </w:rPr>
        <w:t>，</w:t>
      </w:r>
      <w:r>
        <w:rPr>
          <w:rFonts w:hint="eastAsia" w:ascii="宋体" w:hAnsi="宋体"/>
          <w:color w:val="auto"/>
          <w:highlight w:val="none"/>
        </w:rPr>
        <w:t>其</w:t>
      </w:r>
      <w:r>
        <w:rPr>
          <w:rFonts w:hint="eastAsia" w:ascii="宋体" w:hAnsi="宋体"/>
          <w:b/>
          <w:bCs/>
          <w:color w:val="auto"/>
          <w:highlight w:val="none"/>
        </w:rPr>
        <w:t>响应无效</w:t>
      </w:r>
      <w:r>
        <w:rPr>
          <w:rFonts w:hint="eastAsia" w:hAnsi="宋体"/>
          <w:color w:val="auto"/>
          <w:highlight w:val="none"/>
        </w:rPr>
        <w:t>。</w:t>
      </w:r>
    </w:p>
    <w:p w14:paraId="458D5447">
      <w:pPr>
        <w:spacing w:line="360" w:lineRule="auto"/>
        <w:outlineLvl w:val="3"/>
        <w:rPr>
          <w:rFonts w:ascii="黑体" w:hAnsi="黑体" w:eastAsia="黑体"/>
          <w:b/>
          <w:bCs/>
          <w:color w:val="auto"/>
          <w:sz w:val="24"/>
          <w:highlight w:val="none"/>
        </w:rPr>
      </w:pPr>
      <w:bookmarkStart w:id="49" w:name="_Toc107997978"/>
      <w:bookmarkStart w:id="50" w:name="_Toc107997851"/>
      <w:r>
        <w:rPr>
          <w:rFonts w:hint="eastAsia" w:ascii="黑体" w:hAnsi="黑体" w:eastAsia="黑体"/>
          <w:b/>
          <w:bCs/>
          <w:color w:val="auto"/>
          <w:sz w:val="24"/>
          <w:highlight w:val="none"/>
        </w:rPr>
        <w:t>14.分包</w:t>
      </w:r>
      <w:bookmarkEnd w:id="49"/>
      <w:bookmarkEnd w:id="50"/>
    </w:p>
    <w:p w14:paraId="6993E779">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w:t>
      </w:r>
      <w:r>
        <w:rPr>
          <w:rFonts w:ascii="宋体" w:hAnsi="宋体"/>
          <w:color w:val="auto"/>
          <w:highlight w:val="none"/>
        </w:rPr>
        <w:t>4</w:t>
      </w:r>
      <w:r>
        <w:rPr>
          <w:rFonts w:hint="eastAsia" w:ascii="宋体" w:hAnsi="宋体"/>
          <w:color w:val="auto"/>
          <w:highlight w:val="none"/>
        </w:rPr>
        <w:t>.1</w:t>
      </w:r>
      <w:r>
        <w:rPr>
          <w:rFonts w:hint="eastAsia" w:hAnsi="宋体"/>
          <w:b/>
          <w:bCs/>
          <w:color w:val="auto"/>
          <w:highlight w:val="none"/>
        </w:rPr>
        <w:t>【谈判须知前附表】</w:t>
      </w:r>
      <w:r>
        <w:rPr>
          <w:rFonts w:hint="eastAsia" w:ascii="宋体" w:hAnsi="宋体"/>
          <w:color w:val="auto"/>
          <w:highlight w:val="none"/>
        </w:rPr>
        <w:t>规定供应商分包的，供应商分包承诺不符合竞争性谈判文件中有关分包规定的，其</w:t>
      </w:r>
      <w:r>
        <w:rPr>
          <w:rFonts w:hint="eastAsia" w:ascii="宋体" w:hAnsi="宋体"/>
          <w:b/>
          <w:bCs/>
          <w:color w:val="auto"/>
          <w:highlight w:val="none"/>
        </w:rPr>
        <w:t>响应无效</w:t>
      </w:r>
      <w:r>
        <w:rPr>
          <w:rFonts w:hint="eastAsia" w:ascii="宋体" w:hAnsi="宋体"/>
          <w:color w:val="auto"/>
          <w:highlight w:val="none"/>
        </w:rPr>
        <w:t>。</w:t>
      </w:r>
    </w:p>
    <w:p w14:paraId="2AE52795">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w:t>
      </w:r>
      <w:r>
        <w:rPr>
          <w:rFonts w:ascii="宋体" w:hAnsi="宋体"/>
          <w:color w:val="auto"/>
          <w:highlight w:val="none"/>
        </w:rPr>
        <w:t>4</w:t>
      </w:r>
      <w:r>
        <w:rPr>
          <w:rFonts w:hint="eastAsia" w:ascii="宋体" w:hAnsi="宋体"/>
          <w:color w:val="auto"/>
          <w:highlight w:val="none"/>
        </w:rPr>
        <w:t>.2供应商应在签订政府采购合同前向采购人提供分包合同，否则，采购人有权拒绝签订采购合同。</w:t>
      </w:r>
    </w:p>
    <w:p w14:paraId="5AA1C1A1">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w:t>
      </w:r>
      <w:r>
        <w:rPr>
          <w:rFonts w:ascii="宋体" w:hAnsi="宋体"/>
          <w:color w:val="auto"/>
          <w:highlight w:val="none"/>
        </w:rPr>
        <w:t>4</w:t>
      </w:r>
      <w:r>
        <w:rPr>
          <w:rFonts w:hint="eastAsia" w:ascii="宋体" w:hAnsi="宋体"/>
          <w:color w:val="auto"/>
          <w:highlight w:val="none"/>
        </w:rPr>
        <w:t>.3享受中小企业扶持政策获得政府采购合同的，小微企业不得将合同分包给大中型企业，中型企业不得将合同分包给大型企业。</w:t>
      </w:r>
    </w:p>
    <w:p w14:paraId="1DD37E6E">
      <w:pPr>
        <w:adjustRightInd w:val="0"/>
        <w:snapToGrid w:val="0"/>
        <w:spacing w:before="156" w:beforeLines="50" w:line="360" w:lineRule="auto"/>
        <w:ind w:firstLine="420" w:firstLineChars="200"/>
        <w:jc w:val="left"/>
        <w:rPr>
          <w:rFonts w:ascii="宋体" w:hAnsi="宋体"/>
          <w:color w:val="auto"/>
          <w:highlight w:val="none"/>
        </w:rPr>
      </w:pPr>
      <w:r>
        <w:rPr>
          <w:rFonts w:hint="eastAsia" w:ascii="宋体" w:hAnsi="宋体"/>
          <w:color w:val="auto"/>
          <w:highlight w:val="none"/>
        </w:rPr>
        <w:t>1</w:t>
      </w:r>
      <w:r>
        <w:rPr>
          <w:rFonts w:ascii="宋体" w:hAnsi="宋体"/>
          <w:color w:val="auto"/>
          <w:highlight w:val="none"/>
        </w:rPr>
        <w:t>4</w:t>
      </w:r>
      <w:r>
        <w:rPr>
          <w:rFonts w:hint="eastAsia" w:ascii="宋体" w:hAnsi="宋体"/>
          <w:color w:val="auto"/>
          <w:highlight w:val="none"/>
        </w:rPr>
        <w:t>.4分包供应商不得再次分包。</w:t>
      </w:r>
    </w:p>
    <w:p w14:paraId="63C0EFC6">
      <w:pPr>
        <w:spacing w:line="360" w:lineRule="auto"/>
        <w:outlineLvl w:val="3"/>
        <w:rPr>
          <w:rFonts w:ascii="黑体" w:hAnsi="黑体" w:eastAsia="黑体"/>
          <w:b/>
          <w:bCs/>
          <w:color w:val="auto"/>
          <w:sz w:val="24"/>
          <w:highlight w:val="none"/>
        </w:rPr>
      </w:pPr>
      <w:bookmarkStart w:id="51" w:name="_Toc107997852"/>
      <w:bookmarkStart w:id="52" w:name="_Toc107997979"/>
      <w:r>
        <w:rPr>
          <w:rFonts w:hint="eastAsia" w:ascii="黑体" w:hAnsi="黑体" w:eastAsia="黑体"/>
          <w:b/>
          <w:bCs/>
          <w:color w:val="auto"/>
          <w:sz w:val="24"/>
          <w:highlight w:val="none"/>
        </w:rPr>
        <w:t>15.响应文件的签署及规定</w:t>
      </w:r>
      <w:bookmarkEnd w:id="51"/>
      <w:bookmarkEnd w:id="52"/>
    </w:p>
    <w:p w14:paraId="4F8BFD8D">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15.1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授权委托书。</w:t>
      </w:r>
    </w:p>
    <w:p w14:paraId="2E475ED5">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15.2响应文件正本一份，副本份数见</w:t>
      </w:r>
      <w:r>
        <w:rPr>
          <w:rFonts w:hint="eastAsia" w:ascii="宋体" w:hAnsi="宋体" w:cs="Courier New"/>
          <w:b/>
          <w:color w:val="auto"/>
          <w:szCs w:val="21"/>
          <w:highlight w:val="none"/>
        </w:rPr>
        <w:t>【谈判须知前附表】</w:t>
      </w:r>
      <w:r>
        <w:rPr>
          <w:rFonts w:hint="eastAsia" w:ascii="宋体" w:hAnsi="宋体" w:cs="Courier New"/>
          <w:color w:val="auto"/>
          <w:szCs w:val="21"/>
          <w:highlight w:val="none"/>
        </w:rPr>
        <w:t>；响应文件电子文档（U盘或光盘形式）：一份</w:t>
      </w:r>
      <w:r>
        <w:rPr>
          <w:rFonts w:hint="eastAsia" w:ascii="宋体" w:hAnsi="宋体" w:cs="Courier New"/>
          <w:b/>
          <w:color w:val="auto"/>
          <w:szCs w:val="21"/>
          <w:highlight w:val="none"/>
        </w:rPr>
        <w:t>。</w:t>
      </w:r>
      <w:r>
        <w:rPr>
          <w:rFonts w:hint="eastAsia" w:ascii="宋体" w:hAnsi="宋体" w:cs="Courier New"/>
          <w:color w:val="auto"/>
          <w:szCs w:val="21"/>
          <w:highlight w:val="none"/>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117D606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15.3</w:t>
      </w:r>
      <w:r>
        <w:rPr>
          <w:rFonts w:hint="eastAsia" w:hAnsi="宋体"/>
          <w:color w:val="auto"/>
          <w:highlight w:val="none"/>
        </w:rPr>
        <w:t>响应文件任何加行、涂改、增删等改动，改动之处应由供应商代表签字。否则，将导致</w:t>
      </w:r>
      <w:r>
        <w:rPr>
          <w:rFonts w:hint="eastAsia" w:hAnsi="宋体"/>
          <w:b/>
          <w:color w:val="auto"/>
          <w:highlight w:val="none"/>
        </w:rPr>
        <w:t>响应文件无效。</w:t>
      </w:r>
    </w:p>
    <w:p w14:paraId="6124A2D2">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15.4在谈判过程中，供应商按谈判文件规定和谈判小组要求</w:t>
      </w:r>
      <w:r>
        <w:rPr>
          <w:rFonts w:hint="eastAsia" w:ascii="宋体" w:hAnsi="宋体" w:cs="宋体"/>
          <w:color w:val="auto"/>
          <w:kern w:val="0"/>
          <w:szCs w:val="21"/>
          <w:highlight w:val="none"/>
        </w:rPr>
        <w:t>提交的</w:t>
      </w:r>
      <w:r>
        <w:rPr>
          <w:rFonts w:hint="eastAsia" w:ascii="宋体" w:hAnsi="宋体" w:cs="Courier New"/>
          <w:color w:val="auto"/>
          <w:szCs w:val="21"/>
          <w:highlight w:val="none"/>
        </w:rPr>
        <w:t>最后报价(或者</w:t>
      </w:r>
      <w:r>
        <w:rPr>
          <w:rFonts w:hint="eastAsia" w:ascii="宋体" w:hAnsi="宋体" w:cs="Courier New"/>
          <w:bCs/>
          <w:color w:val="auto"/>
          <w:szCs w:val="21"/>
          <w:highlight w:val="none"/>
        </w:rPr>
        <w:t>重</w:t>
      </w:r>
      <w:r>
        <w:rPr>
          <w:rFonts w:hint="eastAsia" w:ascii="宋体" w:hAnsi="宋体" w:cs="宋体"/>
          <w:color w:val="auto"/>
          <w:kern w:val="0"/>
          <w:szCs w:val="21"/>
          <w:highlight w:val="none"/>
        </w:rPr>
        <w:t>新提交的响应文件和</w:t>
      </w:r>
      <w:r>
        <w:rPr>
          <w:rFonts w:hint="eastAsia" w:ascii="宋体" w:hAnsi="宋体" w:cs="Courier New"/>
          <w:color w:val="auto"/>
          <w:szCs w:val="21"/>
          <w:highlight w:val="none"/>
        </w:rPr>
        <w:t>最后报价)，可打印或用不褪色材料书写，并经供应商代表签字，</w:t>
      </w:r>
      <w:r>
        <w:rPr>
          <w:rFonts w:hint="eastAsia" w:ascii="宋体" w:hAnsi="宋体" w:cs="宋体"/>
          <w:color w:val="auto"/>
          <w:kern w:val="0"/>
          <w:szCs w:val="21"/>
          <w:highlight w:val="none"/>
        </w:rPr>
        <w:t>或者加盖供应商单位公章</w:t>
      </w:r>
      <w:r>
        <w:rPr>
          <w:rFonts w:hint="eastAsia" w:ascii="宋体" w:hAnsi="宋体" w:cs="Courier New"/>
          <w:color w:val="auto"/>
          <w:szCs w:val="21"/>
          <w:highlight w:val="none"/>
        </w:rPr>
        <w:t>。否则，</w:t>
      </w:r>
      <w:r>
        <w:rPr>
          <w:rFonts w:hint="eastAsia" w:ascii="宋体" w:hAnsi="宋体" w:cs="Courier New"/>
          <w:b w:val="0"/>
          <w:bCs w:val="0"/>
          <w:color w:val="auto"/>
          <w:szCs w:val="21"/>
          <w:highlight w:val="none"/>
        </w:rPr>
        <w:t>将导致</w:t>
      </w:r>
      <w:r>
        <w:rPr>
          <w:rFonts w:hint="eastAsia" w:ascii="宋体" w:hAnsi="宋体" w:cs="Courier New"/>
          <w:b/>
          <w:bCs/>
          <w:color w:val="auto"/>
          <w:szCs w:val="21"/>
          <w:highlight w:val="none"/>
        </w:rPr>
        <w:t>响应文件无效。</w:t>
      </w:r>
    </w:p>
    <w:p w14:paraId="1D56BE6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15.5为便于采购文件保存，</w:t>
      </w:r>
      <w:r>
        <w:rPr>
          <w:rFonts w:hint="eastAsia" w:hAnsi="宋体"/>
          <w:color w:val="auto"/>
          <w:highlight w:val="none"/>
        </w:rPr>
        <w:t>响应文件</w:t>
      </w:r>
      <w:r>
        <w:rPr>
          <w:rFonts w:hint="eastAsia" w:ascii="宋体" w:hAnsi="宋体"/>
          <w:color w:val="auto"/>
          <w:szCs w:val="21"/>
          <w:highlight w:val="none"/>
        </w:rPr>
        <w:t>电子文档建议为PDF格式，内容与纸质</w:t>
      </w:r>
      <w:r>
        <w:rPr>
          <w:rFonts w:hint="eastAsia" w:hAnsi="宋体"/>
          <w:color w:val="auto"/>
          <w:highlight w:val="none"/>
        </w:rPr>
        <w:t>响应文件</w:t>
      </w:r>
      <w:r>
        <w:rPr>
          <w:rFonts w:hint="eastAsia" w:ascii="宋体" w:hAnsi="宋体"/>
          <w:color w:val="auto"/>
          <w:szCs w:val="21"/>
          <w:highlight w:val="none"/>
        </w:rPr>
        <w:t>正本一致。</w:t>
      </w:r>
    </w:p>
    <w:p w14:paraId="0E8C1121">
      <w:pPr>
        <w:adjustRightInd w:val="0"/>
        <w:snapToGrid w:val="0"/>
        <w:spacing w:line="360" w:lineRule="auto"/>
        <w:jc w:val="center"/>
        <w:outlineLvl w:val="2"/>
        <w:rPr>
          <w:rFonts w:ascii="黑体" w:hAnsi="黑体" w:eastAsia="黑体"/>
          <w:b/>
          <w:bCs/>
          <w:color w:val="auto"/>
          <w:sz w:val="28"/>
          <w:szCs w:val="28"/>
          <w:highlight w:val="none"/>
        </w:rPr>
      </w:pPr>
      <w:bookmarkStart w:id="53" w:name="_Toc107997980"/>
      <w:bookmarkStart w:id="54" w:name="_Toc26879"/>
      <w:r>
        <w:rPr>
          <w:rFonts w:hint="eastAsia" w:ascii="黑体" w:hAnsi="黑体" w:eastAsia="黑体"/>
          <w:b/>
          <w:bCs/>
          <w:color w:val="auto"/>
          <w:sz w:val="28"/>
          <w:szCs w:val="28"/>
          <w:highlight w:val="none"/>
        </w:rPr>
        <w:t>四、响应文件的递交</w:t>
      </w:r>
      <w:bookmarkEnd w:id="53"/>
      <w:bookmarkEnd w:id="54"/>
    </w:p>
    <w:p w14:paraId="41C4A2BE">
      <w:pPr>
        <w:spacing w:line="360" w:lineRule="auto"/>
        <w:outlineLvl w:val="3"/>
        <w:rPr>
          <w:rFonts w:ascii="黑体" w:hAnsi="黑体" w:eastAsia="黑体"/>
          <w:b/>
          <w:bCs/>
          <w:color w:val="auto"/>
          <w:sz w:val="24"/>
          <w:highlight w:val="none"/>
        </w:rPr>
      </w:pPr>
      <w:bookmarkStart w:id="55" w:name="_Toc107997981"/>
      <w:bookmarkStart w:id="56" w:name="_Toc107997854"/>
      <w:r>
        <w:rPr>
          <w:rFonts w:hint="eastAsia" w:ascii="黑体" w:hAnsi="黑体" w:eastAsia="黑体"/>
          <w:b/>
          <w:bCs/>
          <w:color w:val="auto"/>
          <w:sz w:val="24"/>
          <w:highlight w:val="none"/>
        </w:rPr>
        <w:t>16.响应文件的密封和标记</w:t>
      </w:r>
      <w:bookmarkEnd w:id="55"/>
      <w:bookmarkEnd w:id="56"/>
    </w:p>
    <w:p w14:paraId="2529F292">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16.1响应文件应密封包装，以保证其响应文件信息在提交首次响应文件截止时间前不被透露。</w:t>
      </w:r>
    </w:p>
    <w:p w14:paraId="1B1B482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16.2响应文件封套上应写明的内容见</w:t>
      </w:r>
      <w:r>
        <w:rPr>
          <w:rFonts w:hint="eastAsia" w:ascii="宋体" w:hAnsi="宋体"/>
          <w:b/>
          <w:color w:val="auto"/>
          <w:szCs w:val="21"/>
          <w:highlight w:val="none"/>
        </w:rPr>
        <w:t>【</w:t>
      </w:r>
      <w:r>
        <w:rPr>
          <w:rFonts w:hint="eastAsia" w:hAnsi="宋体"/>
          <w:b/>
          <w:color w:val="auto"/>
          <w:highlight w:val="none"/>
        </w:rPr>
        <w:t>谈判</w:t>
      </w:r>
      <w:r>
        <w:rPr>
          <w:rFonts w:hint="eastAsia" w:ascii="宋体" w:hAnsi="宋体"/>
          <w:b/>
          <w:color w:val="auto"/>
          <w:szCs w:val="21"/>
          <w:highlight w:val="none"/>
        </w:rPr>
        <w:t>须知前附表】。</w:t>
      </w:r>
    </w:p>
    <w:p w14:paraId="2BCF357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16.3响应文件如果未按本章第</w:t>
      </w:r>
      <w:r>
        <w:rPr>
          <w:rFonts w:hint="eastAsia" w:ascii="宋体" w:hAnsi="宋体"/>
          <w:color w:val="auto"/>
          <w:highlight w:val="none"/>
        </w:rPr>
        <w:t>16.1款</w:t>
      </w:r>
      <w:r>
        <w:rPr>
          <w:rFonts w:hint="eastAsia" w:ascii="宋体" w:hAnsi="宋体"/>
          <w:color w:val="auto"/>
          <w:szCs w:val="21"/>
          <w:highlight w:val="none"/>
        </w:rPr>
        <w:t>规定密封，采购人、采购代理机构将拒绝接收。</w:t>
      </w:r>
    </w:p>
    <w:p w14:paraId="1088A362">
      <w:pPr>
        <w:spacing w:line="360" w:lineRule="auto"/>
        <w:outlineLvl w:val="3"/>
        <w:rPr>
          <w:rFonts w:ascii="黑体" w:hAnsi="黑体" w:eastAsia="黑体"/>
          <w:b/>
          <w:bCs/>
          <w:color w:val="auto"/>
          <w:sz w:val="24"/>
          <w:highlight w:val="none"/>
        </w:rPr>
      </w:pPr>
      <w:bookmarkStart w:id="57" w:name="_Toc107997982"/>
      <w:bookmarkStart w:id="58" w:name="_Toc107997855"/>
      <w:r>
        <w:rPr>
          <w:rFonts w:hint="eastAsia" w:ascii="黑体" w:hAnsi="黑体" w:eastAsia="黑体"/>
          <w:b/>
          <w:bCs/>
          <w:color w:val="auto"/>
          <w:sz w:val="24"/>
          <w:highlight w:val="none"/>
        </w:rPr>
        <w:t>17.响应文件的</w:t>
      </w:r>
      <w:r>
        <w:rPr>
          <w:rFonts w:hint="eastAsia" w:ascii="黑体" w:hAnsi="黑体" w:eastAsia="黑体" w:cs="宋体"/>
          <w:b/>
          <w:bCs/>
          <w:color w:val="auto"/>
          <w:kern w:val="0"/>
          <w:sz w:val="24"/>
          <w:highlight w:val="none"/>
          <w:lang w:val="zh-CN"/>
        </w:rPr>
        <w:t>补充、修改或者撤回</w:t>
      </w:r>
      <w:bookmarkEnd w:id="57"/>
      <w:bookmarkEnd w:id="58"/>
    </w:p>
    <w:p w14:paraId="7B93C0DE">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17.1</w:t>
      </w:r>
      <w:r>
        <w:rPr>
          <w:rFonts w:hint="eastAsia" w:ascii="宋体" w:hAnsi="宋体" w:cs="宋体"/>
          <w:color w:val="auto"/>
          <w:kern w:val="0"/>
          <w:szCs w:val="21"/>
          <w:highlight w:val="none"/>
        </w:rPr>
        <w:t>供应商在提交首次响应文件截止时间前，可以对所提交的首次响应文件进行补充、修改或者撤回，并书面通知采购人、采购代理机构。</w:t>
      </w:r>
      <w:r>
        <w:rPr>
          <w:rFonts w:hint="eastAsia" w:ascii="宋体" w:hAnsi="宋体" w:cs="Courier New"/>
          <w:color w:val="auto"/>
          <w:szCs w:val="21"/>
          <w:highlight w:val="none"/>
        </w:rPr>
        <w:t>该通知应有供应商代表签字。</w:t>
      </w:r>
    </w:p>
    <w:p w14:paraId="45F2E0C9">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17.2</w:t>
      </w:r>
      <w:r>
        <w:rPr>
          <w:rFonts w:hint="eastAsia" w:ascii="宋体" w:hAnsi="宋体" w:cs="宋体"/>
          <w:color w:val="auto"/>
          <w:kern w:val="0"/>
          <w:szCs w:val="21"/>
          <w:highlight w:val="none"/>
          <w:lang w:val="zh-CN"/>
        </w:rPr>
        <w:t>补充、修改的内容与响应文件不一致时，以补充、修改的内容为准。</w:t>
      </w:r>
    </w:p>
    <w:p w14:paraId="54117061">
      <w:pPr>
        <w:spacing w:line="360" w:lineRule="auto"/>
        <w:outlineLvl w:val="3"/>
        <w:rPr>
          <w:rFonts w:ascii="黑体" w:hAnsi="黑体" w:eastAsia="黑体"/>
          <w:b/>
          <w:bCs/>
          <w:color w:val="auto"/>
          <w:sz w:val="24"/>
          <w:highlight w:val="none"/>
        </w:rPr>
      </w:pPr>
      <w:bookmarkStart w:id="59" w:name="_Toc107997856"/>
      <w:bookmarkStart w:id="60" w:name="_Toc107997983"/>
      <w:r>
        <w:rPr>
          <w:rFonts w:hint="eastAsia" w:ascii="黑体" w:hAnsi="黑体" w:eastAsia="黑体"/>
          <w:b/>
          <w:bCs/>
          <w:color w:val="auto"/>
          <w:sz w:val="24"/>
          <w:highlight w:val="none"/>
        </w:rPr>
        <w:t>18.响应文件的递交与接收</w:t>
      </w:r>
      <w:bookmarkEnd w:id="59"/>
      <w:bookmarkEnd w:id="60"/>
    </w:p>
    <w:p w14:paraId="42949A98">
      <w:pPr>
        <w:adjustRightInd w:val="0"/>
        <w:snapToGrid w:val="0"/>
        <w:spacing w:line="360" w:lineRule="auto"/>
        <w:ind w:firstLine="420" w:firstLineChars="200"/>
        <w:rPr>
          <w:rFonts w:hAnsi="宋体" w:cs="宋体"/>
          <w:color w:val="auto"/>
          <w:kern w:val="0"/>
          <w:highlight w:val="none"/>
        </w:rPr>
      </w:pPr>
      <w:r>
        <w:rPr>
          <w:rFonts w:hint="eastAsia" w:ascii="宋体" w:hAnsi="宋体"/>
          <w:color w:val="auto"/>
          <w:szCs w:val="21"/>
          <w:highlight w:val="none"/>
        </w:rPr>
        <w:t>18.1供应商应在</w:t>
      </w:r>
      <w:r>
        <w:rPr>
          <w:rFonts w:hint="eastAsia" w:ascii="宋体" w:hAnsi="宋体"/>
          <w:b/>
          <w:color w:val="auto"/>
          <w:szCs w:val="21"/>
          <w:highlight w:val="none"/>
        </w:rPr>
        <w:t>【</w:t>
      </w:r>
      <w:r>
        <w:rPr>
          <w:rFonts w:hint="eastAsia" w:hAnsi="宋体"/>
          <w:b/>
          <w:color w:val="auto"/>
          <w:highlight w:val="none"/>
        </w:rPr>
        <w:t>谈判</w:t>
      </w:r>
      <w:r>
        <w:rPr>
          <w:rFonts w:hint="eastAsia" w:ascii="宋体" w:hAnsi="宋体"/>
          <w:b/>
          <w:color w:val="auto"/>
          <w:szCs w:val="21"/>
          <w:highlight w:val="none"/>
        </w:rPr>
        <w:t>须知前附表】</w:t>
      </w:r>
      <w:r>
        <w:rPr>
          <w:rFonts w:hint="eastAsia" w:hAnsi="宋体"/>
          <w:color w:val="auto"/>
          <w:highlight w:val="none"/>
        </w:rPr>
        <w:t>规定的</w:t>
      </w:r>
      <w:r>
        <w:rPr>
          <w:rFonts w:hint="eastAsia" w:ascii="宋体" w:hAnsi="宋体" w:cs="宋体"/>
          <w:color w:val="auto"/>
          <w:kern w:val="0"/>
          <w:szCs w:val="21"/>
          <w:highlight w:val="none"/>
        </w:rPr>
        <w:t>时间和</w:t>
      </w:r>
      <w:r>
        <w:rPr>
          <w:rFonts w:hint="eastAsia" w:ascii="宋体" w:hAnsi="宋体"/>
          <w:color w:val="auto"/>
          <w:szCs w:val="21"/>
          <w:highlight w:val="none"/>
        </w:rPr>
        <w:t>地点提交响应文件。</w:t>
      </w:r>
      <w:r>
        <w:rPr>
          <w:rFonts w:hint="eastAsia" w:hAnsi="宋体" w:cs="宋体"/>
          <w:color w:val="auto"/>
          <w:kern w:val="0"/>
          <w:highlight w:val="none"/>
        </w:rPr>
        <w:t>采购人、采购代理机构或者谈判小组拒收逾期送达的响应文件。</w:t>
      </w:r>
    </w:p>
    <w:p w14:paraId="3DC53B8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18A843C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（1）项目名称、政府采购计划编号；</w:t>
      </w:r>
    </w:p>
    <w:p w14:paraId="17CA059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（2）供应商名称；</w:t>
      </w:r>
    </w:p>
    <w:p w14:paraId="22BD393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（3）响应文件送达时间、地址；</w:t>
      </w:r>
    </w:p>
    <w:p w14:paraId="6568BFE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（4）响应文件密封情况；</w:t>
      </w:r>
    </w:p>
    <w:p w14:paraId="1FDEDDD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（5）采购人、采购代理机构名称；</w:t>
      </w:r>
    </w:p>
    <w:p w14:paraId="3B3A4BB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（6）采购人、采购代理机构接收人签字。</w:t>
      </w:r>
    </w:p>
    <w:p w14:paraId="696DF914">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18.3采购人、</w:t>
      </w:r>
      <w:r>
        <w:rPr>
          <w:rFonts w:hint="eastAsia" w:ascii="宋体" w:hAnsi="宋体" w:cs="Courier New"/>
          <w:bCs/>
          <w:color w:val="auto"/>
          <w:szCs w:val="21"/>
          <w:highlight w:val="none"/>
        </w:rPr>
        <w:t>采购代理机构</w:t>
      </w:r>
      <w:r>
        <w:rPr>
          <w:rFonts w:hint="eastAsia" w:ascii="宋体" w:hAnsi="宋体" w:cs="Courier New"/>
          <w:color w:val="auto"/>
          <w:szCs w:val="21"/>
          <w:highlight w:val="none"/>
        </w:rPr>
        <w:t>在按本章第2</w:t>
      </w:r>
      <w:r>
        <w:rPr>
          <w:rFonts w:ascii="宋体" w:hAnsi="宋体" w:cs="Courier New"/>
          <w:color w:val="auto"/>
          <w:szCs w:val="21"/>
          <w:highlight w:val="none"/>
        </w:rPr>
        <w:t>4</w:t>
      </w:r>
      <w:r>
        <w:rPr>
          <w:rFonts w:hint="eastAsia" w:ascii="宋体" w:hAnsi="宋体" w:cs="Courier New"/>
          <w:color w:val="auto"/>
          <w:szCs w:val="21"/>
          <w:highlight w:val="none"/>
        </w:rPr>
        <w:t>.3款规定公布供应商的最后报价前，不公开供应商的技术资料、价格和其他信息。</w:t>
      </w:r>
    </w:p>
    <w:p w14:paraId="56776ED8">
      <w:pPr>
        <w:adjustRightInd w:val="0"/>
        <w:snapToGrid w:val="0"/>
        <w:spacing w:line="360" w:lineRule="auto"/>
        <w:jc w:val="center"/>
        <w:outlineLvl w:val="2"/>
        <w:rPr>
          <w:rFonts w:ascii="黑体" w:hAnsi="黑体" w:eastAsia="黑体"/>
          <w:b/>
          <w:bCs/>
          <w:color w:val="auto"/>
          <w:sz w:val="28"/>
          <w:szCs w:val="28"/>
          <w:highlight w:val="none"/>
        </w:rPr>
      </w:pPr>
      <w:bookmarkStart w:id="61" w:name="_Toc107997984"/>
      <w:bookmarkStart w:id="62" w:name="_Toc12033"/>
      <w:r>
        <w:rPr>
          <w:rFonts w:hint="eastAsia" w:ascii="黑体" w:hAnsi="黑体" w:eastAsia="黑体"/>
          <w:b/>
          <w:bCs/>
          <w:color w:val="auto"/>
          <w:sz w:val="28"/>
          <w:szCs w:val="28"/>
          <w:highlight w:val="none"/>
        </w:rPr>
        <w:t>五、响应文件的评审与谈判</w:t>
      </w:r>
      <w:bookmarkEnd w:id="61"/>
      <w:bookmarkEnd w:id="62"/>
    </w:p>
    <w:p w14:paraId="5754DBAC">
      <w:pPr>
        <w:spacing w:line="360" w:lineRule="auto"/>
        <w:outlineLvl w:val="3"/>
        <w:rPr>
          <w:rFonts w:ascii="黑体" w:hAnsi="黑体" w:eastAsia="黑体"/>
          <w:b/>
          <w:bCs/>
          <w:color w:val="auto"/>
          <w:sz w:val="24"/>
          <w:highlight w:val="none"/>
        </w:rPr>
      </w:pPr>
      <w:bookmarkStart w:id="63" w:name="_Toc107997985"/>
      <w:bookmarkStart w:id="64" w:name="_Toc107997858"/>
      <w:r>
        <w:rPr>
          <w:rFonts w:hint="eastAsia" w:ascii="黑体" w:hAnsi="黑体" w:eastAsia="黑体"/>
          <w:b/>
          <w:bCs/>
          <w:color w:val="auto"/>
          <w:sz w:val="24"/>
          <w:highlight w:val="none"/>
        </w:rPr>
        <w:t>19.供应商资格审查</w:t>
      </w:r>
      <w:bookmarkEnd w:id="63"/>
      <w:bookmarkEnd w:id="64"/>
    </w:p>
    <w:p w14:paraId="18A6DE30">
      <w:pPr>
        <w:adjustRightInd w:val="0"/>
        <w:snapToGrid w:val="0"/>
        <w:spacing w:line="360" w:lineRule="auto"/>
        <w:ind w:firstLine="420" w:firstLineChars="200"/>
        <w:rPr>
          <w:rFonts w:ascii="宋体" w:hAnsi="宋体" w:eastAsia="宋体"/>
          <w:color w:val="auto"/>
          <w:highlight w:val="none"/>
        </w:rPr>
      </w:pPr>
      <w:r>
        <w:rPr>
          <w:rFonts w:hint="eastAsia" w:ascii="宋体" w:hAnsi="宋体" w:eastAsia="宋体" w:cs="宋体"/>
          <w:color w:val="auto"/>
          <w:kern w:val="0"/>
          <w:highlight w:val="none"/>
          <w:lang w:val="zh-CN"/>
        </w:rPr>
        <w:t>19.1</w:t>
      </w:r>
      <w:r>
        <w:rPr>
          <w:rFonts w:hint="eastAsia" w:ascii="宋体" w:hAnsi="宋体" w:eastAsia="宋体"/>
          <w:color w:val="auto"/>
          <w:szCs w:val="21"/>
          <w:highlight w:val="none"/>
        </w:rPr>
        <w:t>除本章第14.1</w:t>
      </w:r>
      <w:r>
        <w:rPr>
          <w:rFonts w:hint="eastAsia" w:ascii="宋体" w:hAnsi="宋体" w:eastAsia="宋体" w:cs="宋体"/>
          <w:color w:val="auto"/>
          <w:kern w:val="0"/>
          <w:szCs w:val="21"/>
          <w:highlight w:val="none"/>
          <w:lang w:val="zh-CN"/>
        </w:rPr>
        <w:t>款规定的</w:t>
      </w:r>
      <w:r>
        <w:rPr>
          <w:rFonts w:hint="eastAsia" w:ascii="宋体" w:hAnsi="宋体" w:eastAsia="宋体"/>
          <w:color w:val="auto"/>
          <w:highlight w:val="none"/>
        </w:rPr>
        <w:t>情形外，采购人、采购代理机构不再对供应商进行资格审查。</w:t>
      </w:r>
    </w:p>
    <w:p w14:paraId="072C4F4A">
      <w:pPr>
        <w:adjustRightInd w:val="0"/>
        <w:snapToGrid w:val="0"/>
        <w:spacing w:line="360" w:lineRule="auto"/>
        <w:ind w:firstLine="420" w:firstLineChars="200"/>
        <w:rPr>
          <w:rFonts w:ascii="宋体" w:hAnsi="宋体" w:eastAsia="宋体"/>
          <w:color w:val="auto"/>
          <w:highlight w:val="none"/>
        </w:rPr>
      </w:pPr>
      <w:r>
        <w:rPr>
          <w:rFonts w:hint="eastAsia" w:ascii="宋体" w:hAnsi="宋体" w:eastAsia="宋体"/>
          <w:color w:val="auto"/>
          <w:highlight w:val="none"/>
        </w:rPr>
        <w:t>19.2如果供应商不再具备本章第3.1款规定的供应商资格条件时，</w:t>
      </w:r>
      <w:r>
        <w:rPr>
          <w:rFonts w:hint="eastAsia" w:ascii="宋体" w:hAnsi="宋体" w:eastAsia="宋体"/>
          <w:b/>
          <w:color w:val="auto"/>
          <w:highlight w:val="none"/>
        </w:rPr>
        <w:t>响应文件无效</w:t>
      </w:r>
      <w:r>
        <w:rPr>
          <w:rFonts w:hint="eastAsia" w:ascii="宋体" w:hAnsi="宋体" w:eastAsia="宋体"/>
          <w:color w:val="auto"/>
          <w:highlight w:val="none"/>
        </w:rPr>
        <w:t>。</w:t>
      </w:r>
    </w:p>
    <w:p w14:paraId="73C3D323">
      <w:pPr>
        <w:spacing w:line="360" w:lineRule="auto"/>
        <w:outlineLvl w:val="3"/>
        <w:rPr>
          <w:rFonts w:ascii="黑体" w:hAnsi="黑体" w:eastAsia="黑体"/>
          <w:b/>
          <w:bCs/>
          <w:color w:val="auto"/>
          <w:sz w:val="24"/>
          <w:highlight w:val="none"/>
        </w:rPr>
      </w:pPr>
      <w:bookmarkStart w:id="65" w:name="_Toc107997860"/>
      <w:bookmarkStart w:id="66" w:name="_Toc107997987"/>
      <w:r>
        <w:rPr>
          <w:rFonts w:hint="eastAsia" w:ascii="黑体" w:hAnsi="黑体" w:eastAsia="黑体"/>
          <w:b/>
          <w:bCs/>
          <w:color w:val="auto"/>
          <w:sz w:val="24"/>
          <w:highlight w:val="none"/>
        </w:rPr>
        <w:t>20.谈判小组</w:t>
      </w:r>
      <w:bookmarkEnd w:id="65"/>
      <w:bookmarkEnd w:id="66"/>
    </w:p>
    <w:p w14:paraId="687D9F7E">
      <w:pPr>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20.1谈判小组由采购人代表和评审专家组成。</w:t>
      </w:r>
    </w:p>
    <w:p w14:paraId="79C34BC5">
      <w:pPr>
        <w:adjustRightInd w:val="0"/>
        <w:snapToGrid w:val="0"/>
        <w:spacing w:line="360" w:lineRule="auto"/>
        <w:ind w:firstLine="420"/>
        <w:jc w:val="left"/>
        <w:rPr>
          <w:rFonts w:ascii="宋体" w:hAnsi="宋体"/>
          <w:color w:val="auto"/>
          <w:szCs w:val="21"/>
          <w:highlight w:val="none"/>
        </w:rPr>
      </w:pPr>
      <w:r>
        <w:rPr>
          <w:rFonts w:hint="eastAsia" w:ascii="宋体" w:hAnsi="宋体"/>
          <w:bCs/>
          <w:color w:val="auto"/>
          <w:szCs w:val="21"/>
          <w:highlight w:val="none"/>
        </w:rPr>
        <w:t>20.2谈判小组</w:t>
      </w:r>
      <w:r>
        <w:rPr>
          <w:rFonts w:ascii="宋体" w:hAnsi="宋体"/>
          <w:color w:val="auto"/>
          <w:szCs w:val="21"/>
          <w:highlight w:val="none"/>
        </w:rPr>
        <w:t>成员有下列情形之一的，应当回避：</w:t>
      </w:r>
    </w:p>
    <w:p w14:paraId="50A934EB">
      <w:pPr>
        <w:adjustRightInd w:val="0"/>
        <w:snapToGrid w:val="0"/>
        <w:spacing w:line="360" w:lineRule="auto"/>
        <w:ind w:firstLine="420"/>
        <w:jc w:val="left"/>
        <w:rPr>
          <w:color w:val="auto"/>
          <w:szCs w:val="21"/>
          <w:highlight w:val="none"/>
        </w:rPr>
      </w:pPr>
      <w:r>
        <w:rPr>
          <w:rFonts w:ascii="宋体" w:hAnsi="宋体"/>
          <w:color w:val="auto"/>
          <w:szCs w:val="21"/>
          <w:highlight w:val="none"/>
        </w:rPr>
        <w:t>（1）参加采购活动前 3 年内与供应商存在劳动关系</w:t>
      </w:r>
      <w:r>
        <w:rPr>
          <w:rFonts w:hint="eastAsia" w:ascii="宋体" w:hAnsi="宋体"/>
          <w:color w:val="auto"/>
          <w:szCs w:val="21"/>
          <w:highlight w:val="none"/>
        </w:rPr>
        <w:t>；</w:t>
      </w:r>
    </w:p>
    <w:p w14:paraId="4C77C84B">
      <w:pPr>
        <w:adjustRightInd w:val="0"/>
        <w:snapToGrid w:val="0"/>
        <w:spacing w:line="360" w:lineRule="auto"/>
        <w:ind w:firstLine="420"/>
        <w:jc w:val="left"/>
        <w:rPr>
          <w:color w:val="auto"/>
          <w:szCs w:val="21"/>
          <w:highlight w:val="none"/>
        </w:rPr>
      </w:pPr>
      <w:r>
        <w:rPr>
          <w:rFonts w:ascii="宋体" w:hAnsi="宋体"/>
          <w:color w:val="auto"/>
          <w:szCs w:val="21"/>
          <w:highlight w:val="none"/>
        </w:rPr>
        <w:t>（2）参加采购活动前 3 年内担任供应商的董事、监事；</w:t>
      </w:r>
    </w:p>
    <w:p w14:paraId="5F668E92">
      <w:pPr>
        <w:adjustRightInd w:val="0"/>
        <w:snapToGrid w:val="0"/>
        <w:spacing w:line="360" w:lineRule="auto"/>
        <w:ind w:firstLine="420"/>
        <w:jc w:val="left"/>
        <w:rPr>
          <w:color w:val="auto"/>
          <w:szCs w:val="21"/>
          <w:highlight w:val="none"/>
        </w:rPr>
      </w:pPr>
      <w:r>
        <w:rPr>
          <w:rFonts w:ascii="宋体" w:hAnsi="宋体"/>
          <w:color w:val="auto"/>
          <w:szCs w:val="21"/>
          <w:highlight w:val="none"/>
        </w:rPr>
        <w:t>（3）参加采购活动前 3 年内是供应商的控股股东或者实际控制人；</w:t>
      </w:r>
    </w:p>
    <w:p w14:paraId="654FEA29">
      <w:pPr>
        <w:adjustRightInd w:val="0"/>
        <w:snapToGrid w:val="0"/>
        <w:spacing w:line="360" w:lineRule="auto"/>
        <w:ind w:firstLine="420"/>
        <w:jc w:val="left"/>
        <w:rPr>
          <w:rFonts w:hint="eastAsia" w:ascii="宋体" w:hAnsi="宋体" w:eastAsia="宋体"/>
          <w:color w:val="auto"/>
          <w:szCs w:val="21"/>
          <w:highlight w:val="none"/>
          <w:lang w:eastAsia="zh-CN"/>
        </w:rPr>
      </w:pPr>
      <w:r>
        <w:rPr>
          <w:rFonts w:ascii="宋体" w:hAnsi="宋体"/>
          <w:color w:val="auto"/>
          <w:szCs w:val="21"/>
          <w:highlight w:val="none"/>
        </w:rPr>
        <w:t>（4）与供应商的法定代表人或者负责人有夫妻、直系血亲、三代以内旁系血</w:t>
      </w:r>
    </w:p>
    <w:p w14:paraId="11A11201">
      <w:pPr>
        <w:adjustRightInd w:val="0"/>
        <w:snapToGrid w:val="0"/>
        <w:spacing w:line="360" w:lineRule="auto"/>
        <w:ind w:firstLine="420"/>
        <w:jc w:val="left"/>
        <w:rPr>
          <w:color w:val="auto"/>
          <w:szCs w:val="21"/>
          <w:highlight w:val="none"/>
        </w:rPr>
      </w:pPr>
      <w:r>
        <w:rPr>
          <w:rFonts w:ascii="宋体" w:hAnsi="宋体"/>
          <w:color w:val="auto"/>
          <w:szCs w:val="21"/>
          <w:highlight w:val="none"/>
        </w:rPr>
        <w:t>亲或者近姻亲关系；</w:t>
      </w:r>
    </w:p>
    <w:p w14:paraId="5AE37F66">
      <w:pPr>
        <w:adjustRightInd w:val="0"/>
        <w:snapToGrid w:val="0"/>
        <w:spacing w:line="360" w:lineRule="auto"/>
        <w:ind w:firstLine="420"/>
        <w:jc w:val="left"/>
        <w:rPr>
          <w:rFonts w:ascii="宋体" w:hAnsi="宋体"/>
          <w:color w:val="auto"/>
          <w:szCs w:val="21"/>
          <w:highlight w:val="none"/>
        </w:rPr>
      </w:pPr>
      <w:r>
        <w:rPr>
          <w:rFonts w:ascii="宋体" w:hAnsi="宋体"/>
          <w:color w:val="auto"/>
          <w:szCs w:val="21"/>
          <w:highlight w:val="none"/>
        </w:rPr>
        <w:t>（5）与供应商有其他可能影响政府采购活动公平、公正进行的关系。</w:t>
      </w:r>
    </w:p>
    <w:p w14:paraId="4D1DE244">
      <w:pPr>
        <w:adjustRightInd w:val="0"/>
        <w:snapToGrid w:val="0"/>
        <w:spacing w:line="360" w:lineRule="auto"/>
        <w:ind w:firstLine="420"/>
        <w:jc w:val="left"/>
        <w:rPr>
          <w:color w:val="auto"/>
          <w:szCs w:val="21"/>
          <w:highlight w:val="none"/>
        </w:rPr>
      </w:pPr>
      <w:r>
        <w:rPr>
          <w:rFonts w:hint="eastAsia" w:ascii="宋体" w:hAnsi="宋体"/>
          <w:color w:val="auto"/>
          <w:szCs w:val="21"/>
          <w:highlight w:val="none"/>
        </w:rPr>
        <w:t>20</w:t>
      </w:r>
      <w:r>
        <w:rPr>
          <w:rFonts w:ascii="宋体" w:hAnsi="宋体"/>
          <w:color w:val="auto"/>
          <w:szCs w:val="21"/>
          <w:highlight w:val="none"/>
        </w:rPr>
        <w:t>.</w:t>
      </w:r>
      <w:r>
        <w:rPr>
          <w:rFonts w:hint="eastAsia" w:ascii="宋体" w:hAnsi="宋体"/>
          <w:color w:val="auto"/>
          <w:szCs w:val="21"/>
          <w:highlight w:val="none"/>
        </w:rPr>
        <w:t>3谈判小组成员应当按照客观、公正、审慎的原则，根据谈判文件规定的评审程序、评审方法和评审标准进行独立评审。</w:t>
      </w:r>
    </w:p>
    <w:p w14:paraId="37D87FD2">
      <w:pPr>
        <w:spacing w:line="360" w:lineRule="auto"/>
        <w:outlineLvl w:val="3"/>
        <w:rPr>
          <w:rFonts w:ascii="黑体" w:hAnsi="黑体" w:eastAsia="黑体"/>
          <w:b/>
          <w:bCs/>
          <w:color w:val="auto"/>
          <w:sz w:val="24"/>
          <w:highlight w:val="none"/>
        </w:rPr>
      </w:pPr>
      <w:bookmarkStart w:id="67" w:name="_Toc107997988"/>
      <w:bookmarkStart w:id="68" w:name="_Toc107997861"/>
      <w:r>
        <w:rPr>
          <w:rFonts w:hint="eastAsia" w:ascii="黑体" w:hAnsi="黑体" w:eastAsia="黑体"/>
          <w:b/>
          <w:bCs/>
          <w:color w:val="auto"/>
          <w:sz w:val="24"/>
          <w:highlight w:val="none"/>
        </w:rPr>
        <w:t>21.谈判程序</w:t>
      </w:r>
      <w:bookmarkEnd w:id="67"/>
      <w:bookmarkEnd w:id="68"/>
    </w:p>
    <w:p w14:paraId="76D7DBEF">
      <w:pPr>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21.1</w:t>
      </w:r>
      <w:r>
        <w:rPr>
          <w:rFonts w:hint="eastAsia" w:ascii="宋体" w:hAnsi="宋体"/>
          <w:bCs/>
          <w:color w:val="auto"/>
          <w:szCs w:val="21"/>
          <w:highlight w:val="none"/>
        </w:rPr>
        <w:t>谈判程序：谈判（响应文件审查、澄清）、最后报价、提出成交供应商。其中，谈判按本章第23条进行。</w:t>
      </w:r>
    </w:p>
    <w:p w14:paraId="05268A30">
      <w:pPr>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21.2谈判小组应当对响应文件进行评审，并根据谈判文件规定的程序、评定成交的标准等事项与实质性响应谈判文件要求的供应商进行谈判。</w:t>
      </w:r>
    </w:p>
    <w:p w14:paraId="16BD31A0">
      <w:pPr>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21.3在谈判过程中谈判的任何一方不得向他人透露与谈判有关的技术资料、价格或其他信息。</w:t>
      </w:r>
    </w:p>
    <w:p w14:paraId="0E6B6713">
      <w:pPr>
        <w:spacing w:line="360" w:lineRule="auto"/>
        <w:outlineLvl w:val="3"/>
        <w:rPr>
          <w:rFonts w:ascii="黑体" w:hAnsi="黑体" w:eastAsia="黑体"/>
          <w:b/>
          <w:bCs/>
          <w:color w:val="auto"/>
          <w:sz w:val="24"/>
          <w:highlight w:val="none"/>
        </w:rPr>
      </w:pPr>
      <w:bookmarkStart w:id="69" w:name="_Toc107997989"/>
      <w:bookmarkStart w:id="70" w:name="_Toc107997862"/>
      <w:r>
        <w:rPr>
          <w:rFonts w:hint="eastAsia" w:ascii="黑体" w:hAnsi="黑体" w:eastAsia="黑体"/>
          <w:b/>
          <w:bCs/>
          <w:color w:val="auto"/>
          <w:sz w:val="24"/>
          <w:highlight w:val="none"/>
        </w:rPr>
        <w:t>22.响应文件审查</w:t>
      </w:r>
      <w:bookmarkEnd w:id="69"/>
      <w:bookmarkEnd w:id="70"/>
    </w:p>
    <w:p w14:paraId="68B43081">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22.1谈判小组对响应文件(包括首次提交的响应文件、重新提交的响应文件)的有效性、完整性和对谈判文件的响应程度进行审查。</w:t>
      </w:r>
    </w:p>
    <w:p w14:paraId="09BF4227">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22.2响应文件有下列情况之一，响应文件按无效处理，谈判小组应当告知有关供应商。</w:t>
      </w:r>
    </w:p>
    <w:p w14:paraId="01CAE957">
      <w:pPr>
        <w:adjustRightInd w:val="0"/>
        <w:snapToGrid w:val="0"/>
        <w:spacing w:line="360" w:lineRule="auto"/>
        <w:ind w:firstLine="420" w:firstLineChars="200"/>
        <w:rPr>
          <w:rFonts w:ascii="宋体" w:hAnsi="宋体"/>
          <w:bCs/>
          <w:color w:val="auto"/>
          <w:szCs w:val="21"/>
          <w:highlight w:val="none"/>
        </w:rPr>
      </w:pPr>
      <w:r>
        <w:rPr>
          <w:rFonts w:hint="eastAsia" w:ascii="宋体" w:hAnsi="宋体" w:cs="宋体"/>
          <w:color w:val="auto"/>
          <w:kern w:val="0"/>
          <w:szCs w:val="21"/>
          <w:highlight w:val="none"/>
        </w:rPr>
        <w:t>（1）</w:t>
      </w:r>
      <w:r>
        <w:rPr>
          <w:rFonts w:hint="eastAsia" w:ascii="宋体" w:hAnsi="宋体"/>
          <w:color w:val="auto"/>
          <w:szCs w:val="21"/>
          <w:highlight w:val="none"/>
        </w:rPr>
        <w:t>应交未交保证金或</w:t>
      </w:r>
      <w:r>
        <w:rPr>
          <w:rFonts w:hint="eastAsia"/>
          <w:color w:val="auto"/>
          <w:szCs w:val="21"/>
          <w:highlight w:val="none"/>
        </w:rPr>
        <w:t>金额不足、保证金形式不符合谈判文件要求的</w:t>
      </w:r>
      <w:r>
        <w:rPr>
          <w:rFonts w:hint="eastAsia" w:ascii="宋体" w:hAnsi="宋体"/>
          <w:color w:val="auto"/>
          <w:szCs w:val="21"/>
          <w:highlight w:val="none"/>
        </w:rPr>
        <w:t>；</w:t>
      </w:r>
    </w:p>
    <w:p w14:paraId="1E44A442">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highlight w:val="none"/>
        </w:rPr>
      </w:pPr>
      <w:r>
        <w:rPr>
          <w:rFonts w:hint="eastAsia" w:ascii="宋体" w:hAnsi="宋体" w:cs="宋体"/>
          <w:color w:val="auto"/>
          <w:kern w:val="0"/>
          <w:szCs w:val="21"/>
          <w:highlight w:val="none"/>
        </w:rPr>
        <w:t>（2）</w:t>
      </w:r>
      <w:r>
        <w:rPr>
          <w:rFonts w:hint="eastAsia" w:ascii="宋体" w:hAnsi="宋体"/>
          <w:color w:val="auto"/>
          <w:szCs w:val="21"/>
          <w:highlight w:val="none"/>
        </w:rPr>
        <w:t>未按照谈判文件规定要求签署、盖章的；</w:t>
      </w:r>
    </w:p>
    <w:p w14:paraId="27440D92">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highlight w:val="none"/>
        </w:rPr>
      </w:pPr>
      <w:r>
        <w:rPr>
          <w:rFonts w:hint="eastAsia" w:ascii="宋体" w:hAnsi="宋体"/>
          <w:color w:val="auto"/>
          <w:szCs w:val="21"/>
          <w:highlight w:val="none"/>
        </w:rPr>
        <w:t>（3）不满足谈判文件规定的实质性要求和条件的；</w:t>
      </w:r>
    </w:p>
    <w:p w14:paraId="1A827492">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highlight w:val="none"/>
        </w:rPr>
      </w:pPr>
      <w:r>
        <w:rPr>
          <w:rFonts w:hint="eastAsia" w:ascii="宋体" w:hAnsi="宋体"/>
          <w:color w:val="auto"/>
          <w:szCs w:val="21"/>
          <w:highlight w:val="none"/>
        </w:rPr>
        <w:t>（4）法律、法规和谈判文件规定的其他响应无效情形。</w:t>
      </w:r>
    </w:p>
    <w:p w14:paraId="77482423">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highlight w:val="none"/>
        </w:rPr>
      </w:pPr>
      <w:r>
        <w:rPr>
          <w:rFonts w:hint="eastAsia" w:ascii="宋体" w:hAnsi="宋体" w:cs="宋体"/>
          <w:color w:val="auto"/>
          <w:kern w:val="0"/>
          <w:szCs w:val="21"/>
          <w:highlight w:val="none"/>
        </w:rPr>
        <w:t>22.3响应文件按无效处理的，谈判小组应拒绝其参与谈判，但属于谈判文件规定的实质性变动内容的除外。</w:t>
      </w:r>
    </w:p>
    <w:p w14:paraId="320516DB">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22.4谈判文件规定的实质性要求和条件见【</w:t>
      </w:r>
      <w:r>
        <w:rPr>
          <w:rFonts w:hint="eastAsia" w:ascii="宋体" w:hAnsi="宋体" w:cs="宋体"/>
          <w:b/>
          <w:color w:val="auto"/>
          <w:kern w:val="0"/>
          <w:szCs w:val="21"/>
          <w:highlight w:val="none"/>
        </w:rPr>
        <w:t>谈判须知前附表</w:t>
      </w:r>
      <w:r>
        <w:rPr>
          <w:rFonts w:hint="eastAsia" w:ascii="宋体" w:hAnsi="宋体" w:cs="宋体"/>
          <w:color w:val="auto"/>
          <w:kern w:val="0"/>
          <w:szCs w:val="21"/>
          <w:highlight w:val="none"/>
        </w:rPr>
        <w:t>】。</w:t>
      </w:r>
    </w:p>
    <w:p w14:paraId="6F188181">
      <w:pPr>
        <w:spacing w:line="360" w:lineRule="auto"/>
        <w:outlineLvl w:val="3"/>
        <w:rPr>
          <w:rFonts w:ascii="黑体" w:hAnsi="黑体" w:eastAsia="黑体"/>
          <w:b/>
          <w:bCs/>
          <w:color w:val="auto"/>
          <w:sz w:val="24"/>
          <w:highlight w:val="none"/>
        </w:rPr>
      </w:pPr>
      <w:bookmarkStart w:id="71" w:name="_Toc107997863"/>
      <w:bookmarkStart w:id="72" w:name="_Toc107997990"/>
      <w:r>
        <w:rPr>
          <w:rFonts w:hint="eastAsia" w:ascii="黑体" w:hAnsi="黑体" w:eastAsia="黑体"/>
          <w:b/>
          <w:bCs/>
          <w:color w:val="auto"/>
          <w:sz w:val="24"/>
          <w:highlight w:val="none"/>
        </w:rPr>
        <w:t>23.澄清</w:t>
      </w:r>
      <w:bookmarkEnd w:id="71"/>
      <w:bookmarkEnd w:id="72"/>
    </w:p>
    <w:p w14:paraId="081D8D03">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23.1谈判小组在对响应文件(包括</w:t>
      </w:r>
      <w:r>
        <w:rPr>
          <w:rFonts w:hint="eastAsia" w:hAnsi="宋体" w:cs="宋体"/>
          <w:color w:val="auto"/>
          <w:kern w:val="0"/>
          <w:highlight w:val="none"/>
        </w:rPr>
        <w:t>首次提交的</w:t>
      </w:r>
      <w:r>
        <w:rPr>
          <w:rFonts w:hint="eastAsia" w:ascii="宋体" w:hAnsi="宋体" w:cs="宋体"/>
          <w:color w:val="auto"/>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2C94C7A7">
      <w:pPr>
        <w:spacing w:line="360" w:lineRule="auto"/>
        <w:outlineLvl w:val="3"/>
        <w:rPr>
          <w:rFonts w:ascii="黑体" w:hAnsi="黑体" w:eastAsia="黑体"/>
          <w:b/>
          <w:bCs/>
          <w:color w:val="auto"/>
          <w:sz w:val="24"/>
          <w:highlight w:val="none"/>
        </w:rPr>
      </w:pPr>
      <w:bookmarkStart w:id="73" w:name="_Toc107997864"/>
      <w:bookmarkStart w:id="74" w:name="_Toc107997991"/>
      <w:r>
        <w:rPr>
          <w:rFonts w:hint="eastAsia" w:ascii="黑体" w:hAnsi="黑体" w:eastAsia="黑体"/>
          <w:b/>
          <w:bCs/>
          <w:color w:val="auto"/>
          <w:sz w:val="24"/>
          <w:highlight w:val="none"/>
        </w:rPr>
        <w:t>24.谈判的规定</w:t>
      </w:r>
      <w:bookmarkEnd w:id="73"/>
      <w:bookmarkEnd w:id="74"/>
    </w:p>
    <w:p w14:paraId="5A03CCF3">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24.1</w:t>
      </w:r>
      <w:r>
        <w:rPr>
          <w:rFonts w:hint="eastAsia" w:ascii="宋体" w:hAnsi="宋体" w:cs="宋体"/>
          <w:color w:val="auto"/>
          <w:kern w:val="0"/>
          <w:szCs w:val="21"/>
          <w:highlight w:val="none"/>
        </w:rPr>
        <w:t>在谈判过程中，谈判小组所有成员集中与单一供应商分别进行谈判，并给予所有参加谈判的供应商平等的谈判机会。供应商应派其代表参加谈判。</w:t>
      </w:r>
    </w:p>
    <w:p w14:paraId="14A009C8">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24.2</w:t>
      </w:r>
      <w:r>
        <w:rPr>
          <w:rFonts w:hint="eastAsia" w:ascii="宋体" w:hAnsi="宋体" w:cs="宋体"/>
          <w:color w:val="auto"/>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1E807B04">
      <w:pPr>
        <w:adjustRightInd w:val="0"/>
        <w:snapToGrid w:val="0"/>
        <w:spacing w:line="360" w:lineRule="auto"/>
        <w:ind w:firstLine="420"/>
        <w:jc w:val="left"/>
        <w:rPr>
          <w:rFonts w:ascii="宋体" w:hAnsi="宋体" w:cs="宋体"/>
          <w:color w:val="auto"/>
          <w:kern w:val="0"/>
          <w:szCs w:val="21"/>
          <w:highlight w:val="none"/>
        </w:rPr>
      </w:pPr>
      <w:r>
        <w:rPr>
          <w:rFonts w:ascii="宋体" w:hAnsi="宋体" w:cs="宋体"/>
          <w:color w:val="auto"/>
          <w:kern w:val="0"/>
          <w:szCs w:val="21"/>
          <w:highlight w:val="none"/>
        </w:rPr>
        <w:t>2</w:t>
      </w:r>
      <w:r>
        <w:rPr>
          <w:rFonts w:hint="eastAsia" w:ascii="宋体" w:hAnsi="宋体" w:cs="宋体"/>
          <w:color w:val="auto"/>
          <w:kern w:val="0"/>
          <w:szCs w:val="21"/>
          <w:highlight w:val="none"/>
        </w:rPr>
        <w:t>4</w:t>
      </w:r>
      <w:r>
        <w:rPr>
          <w:rFonts w:ascii="宋体" w:hAnsi="宋体" w:cs="宋体"/>
          <w:color w:val="auto"/>
          <w:kern w:val="0"/>
          <w:szCs w:val="21"/>
          <w:highlight w:val="none"/>
        </w:rPr>
        <w:t>.</w:t>
      </w:r>
      <w:r>
        <w:rPr>
          <w:rFonts w:hint="eastAsia" w:ascii="宋体" w:hAnsi="宋体" w:cs="宋体"/>
          <w:color w:val="auto"/>
          <w:kern w:val="0"/>
          <w:szCs w:val="21"/>
          <w:highlight w:val="none"/>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110662D4">
      <w:pPr>
        <w:spacing w:line="360" w:lineRule="auto"/>
        <w:outlineLvl w:val="3"/>
        <w:rPr>
          <w:rFonts w:ascii="黑体" w:hAnsi="黑体" w:eastAsia="黑体" w:cs="宋体"/>
          <w:b/>
          <w:bCs/>
          <w:color w:val="auto"/>
          <w:kern w:val="0"/>
          <w:sz w:val="24"/>
          <w:highlight w:val="none"/>
        </w:rPr>
      </w:pPr>
      <w:bookmarkStart w:id="75" w:name="_Toc107997865"/>
      <w:bookmarkStart w:id="76" w:name="_Toc107997992"/>
      <w:r>
        <w:rPr>
          <w:rFonts w:hint="eastAsia" w:ascii="黑体" w:hAnsi="黑体" w:eastAsia="黑体"/>
          <w:b/>
          <w:bCs/>
          <w:color w:val="auto"/>
          <w:sz w:val="24"/>
          <w:highlight w:val="none"/>
        </w:rPr>
        <w:t>25.退出谈判</w:t>
      </w:r>
      <w:bookmarkEnd w:id="75"/>
      <w:bookmarkEnd w:id="76"/>
    </w:p>
    <w:p w14:paraId="74F1007B">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25.1供应商在提交最后报价之前，可以根据谈判情况退出谈判，</w:t>
      </w:r>
      <w:r>
        <w:rPr>
          <w:rFonts w:hint="eastAsia" w:ascii="宋体" w:hAnsi="宋体" w:cs="宋体"/>
          <w:color w:val="auto"/>
          <w:kern w:val="0"/>
          <w:highlight w:val="none"/>
        </w:rPr>
        <w:t>并书面通知采购人、采购代理机构或者谈判小组。</w:t>
      </w:r>
      <w:r>
        <w:rPr>
          <w:rFonts w:hint="eastAsia" w:ascii="宋体" w:hAnsi="宋体"/>
          <w:color w:val="auto"/>
          <w:highlight w:val="none"/>
        </w:rPr>
        <w:t>该通知由供应商代表签字。采购人、</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12.4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退还退出谈判的供应商的保证金。</w:t>
      </w:r>
    </w:p>
    <w:p w14:paraId="0A2FE855">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25.2供应商参与谈判，但未提交最后报价又未按前款规定退出谈判的，保证金不予退还。</w:t>
      </w:r>
    </w:p>
    <w:p w14:paraId="4C85DCE5">
      <w:pPr>
        <w:spacing w:line="360" w:lineRule="auto"/>
        <w:outlineLvl w:val="3"/>
        <w:rPr>
          <w:rFonts w:ascii="黑体" w:hAnsi="黑体" w:eastAsia="黑体"/>
          <w:b/>
          <w:bCs/>
          <w:color w:val="auto"/>
          <w:sz w:val="24"/>
          <w:highlight w:val="none"/>
        </w:rPr>
      </w:pPr>
      <w:bookmarkStart w:id="77" w:name="_Toc107997866"/>
      <w:bookmarkStart w:id="78" w:name="_Toc107997993"/>
      <w:r>
        <w:rPr>
          <w:rFonts w:hint="eastAsia" w:ascii="黑体" w:hAnsi="黑体" w:eastAsia="黑体"/>
          <w:b/>
          <w:bCs/>
          <w:color w:val="auto"/>
          <w:sz w:val="24"/>
          <w:highlight w:val="none"/>
        </w:rPr>
        <w:t>26.最后报价</w:t>
      </w:r>
      <w:bookmarkEnd w:id="77"/>
      <w:bookmarkEnd w:id="78"/>
    </w:p>
    <w:p w14:paraId="0BB37D43">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26.1谈判结束后，谈判小组按本章第22.2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70B1A6BD">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（1）谈判文件能够详细列明采购需求的技术、服务要求的，谈判结束后，谈判小组应当要求所有供应商在规定时间内提交最后报价。</w:t>
      </w:r>
    </w:p>
    <w:p w14:paraId="15F842B0">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15EAEA49">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26.2下列情形，谈判小组确认符合谈判文件规定的实质性要求和条件的供应商不少于3家，可以不与供应商谈判，直接要求符合谈判文件规定的实质性要求和条件的供应商提交最后报价。</w:t>
      </w:r>
    </w:p>
    <w:p w14:paraId="43A809E0">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（1）谈判文件未明确可能实质性变动的；</w:t>
      </w:r>
    </w:p>
    <w:p w14:paraId="29100BA2">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27AEC030">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26.3谈判小组应召集所有提交最后报价的供应商，逐一</w:t>
      </w:r>
      <w:r>
        <w:rPr>
          <w:rFonts w:hint="eastAsia" w:ascii="宋体" w:hAnsi="宋体"/>
          <w:bCs/>
          <w:color w:val="auto"/>
          <w:szCs w:val="21"/>
          <w:highlight w:val="none"/>
        </w:rPr>
        <w:t>公布</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w:t>
      </w:r>
      <w:r>
        <w:rPr>
          <w:rFonts w:hint="eastAsia" w:ascii="宋体" w:hAnsi="宋体" w:cs="宋体"/>
          <w:color w:val="auto"/>
          <w:kern w:val="0"/>
          <w:szCs w:val="21"/>
          <w:highlight w:val="none"/>
        </w:rPr>
        <w:t>，由采购人、采购代理机构负责记录，并由供应商代表签字确认后随采购文件一并存档。</w:t>
      </w:r>
    </w:p>
    <w:p w14:paraId="3C4B4162">
      <w:pPr>
        <w:spacing w:line="360" w:lineRule="auto"/>
        <w:outlineLvl w:val="3"/>
        <w:rPr>
          <w:rFonts w:ascii="黑体" w:hAnsi="黑体" w:eastAsia="黑体" w:cs="宋体"/>
          <w:b/>
          <w:bCs/>
          <w:color w:val="auto"/>
          <w:kern w:val="0"/>
          <w:sz w:val="24"/>
          <w:highlight w:val="none"/>
        </w:rPr>
      </w:pPr>
      <w:bookmarkStart w:id="79" w:name="_Toc107997994"/>
      <w:bookmarkStart w:id="80" w:name="_Toc107997867"/>
      <w:r>
        <w:rPr>
          <w:rFonts w:hint="eastAsia" w:ascii="黑体" w:hAnsi="黑体" w:eastAsia="黑体"/>
          <w:b/>
          <w:bCs/>
          <w:color w:val="auto"/>
          <w:sz w:val="24"/>
          <w:highlight w:val="none"/>
        </w:rPr>
        <w:t>27.异常报价</w:t>
      </w:r>
      <w:bookmarkEnd w:id="79"/>
      <w:bookmarkEnd w:id="80"/>
    </w:p>
    <w:p w14:paraId="1652BAFC">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27．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1A27C966">
      <w:pPr>
        <w:spacing w:line="360" w:lineRule="auto"/>
        <w:outlineLvl w:val="3"/>
        <w:rPr>
          <w:rFonts w:ascii="黑体" w:hAnsi="黑体" w:eastAsia="黑体"/>
          <w:b/>
          <w:bCs/>
          <w:color w:val="auto"/>
          <w:sz w:val="24"/>
          <w:highlight w:val="none"/>
        </w:rPr>
      </w:pPr>
      <w:bookmarkStart w:id="81" w:name="_Toc107997868"/>
      <w:bookmarkStart w:id="82" w:name="_Toc107997995"/>
      <w:r>
        <w:rPr>
          <w:rFonts w:hint="eastAsia" w:ascii="黑体" w:hAnsi="黑体" w:eastAsia="黑体" w:cs="宋体"/>
          <w:b/>
          <w:bCs/>
          <w:color w:val="auto"/>
          <w:kern w:val="0"/>
          <w:sz w:val="24"/>
          <w:highlight w:val="none"/>
        </w:rPr>
        <w:t>28.</w:t>
      </w:r>
      <w:r>
        <w:rPr>
          <w:rFonts w:hint="eastAsia" w:ascii="黑体" w:hAnsi="黑体" w:eastAsia="黑体"/>
          <w:b/>
          <w:bCs/>
          <w:color w:val="auto"/>
          <w:sz w:val="24"/>
          <w:highlight w:val="none"/>
        </w:rPr>
        <w:t>提出成交供应商</w:t>
      </w:r>
      <w:bookmarkEnd w:id="81"/>
      <w:bookmarkEnd w:id="82"/>
    </w:p>
    <w:p w14:paraId="495E82D7">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28.1谈判小组应当从质量和服务均能满足采购文件实质性响应要求的供应商中，按照最后报价由低到高的顺序提出3名以上成交候选人，并编写评审报告。</w:t>
      </w:r>
    </w:p>
    <w:p w14:paraId="4AA6AD65">
      <w:pPr>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28.2供应商最后报价涉及算术修正、需落实政府采购政策的，按上款规定由低到高的顺序排序。</w:t>
      </w:r>
      <w:r>
        <w:rPr>
          <w:rFonts w:hint="eastAsia"/>
          <w:color w:val="auto"/>
          <w:szCs w:val="21"/>
          <w:highlight w:val="none"/>
        </w:rPr>
        <w:t>最后报价排序</w:t>
      </w:r>
      <w:r>
        <w:rPr>
          <w:color w:val="auto"/>
          <w:szCs w:val="21"/>
          <w:highlight w:val="none"/>
        </w:rPr>
        <w:t>相同的</w:t>
      </w:r>
      <w:r>
        <w:rPr>
          <w:rFonts w:hint="eastAsia"/>
          <w:color w:val="auto"/>
          <w:szCs w:val="21"/>
          <w:highlight w:val="none"/>
        </w:rPr>
        <w:t>并列</w:t>
      </w:r>
      <w:r>
        <w:rPr>
          <w:rFonts w:hint="eastAsia" w:ascii="宋体" w:hAnsi="宋体"/>
          <w:bCs/>
          <w:color w:val="auto"/>
          <w:szCs w:val="21"/>
          <w:highlight w:val="none"/>
        </w:rPr>
        <w:t>。</w:t>
      </w:r>
    </w:p>
    <w:p w14:paraId="2E8B12D8">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28.3</w:t>
      </w:r>
      <w:r>
        <w:rPr>
          <w:rFonts w:hint="eastAsia" w:ascii="宋体" w:hAnsi="宋体" w:cs="宋体"/>
          <w:color w:val="auto"/>
          <w:kern w:val="0"/>
          <w:szCs w:val="21"/>
          <w:highlight w:val="none"/>
        </w:rPr>
        <w:t>最后报价有算术错误的，除</w:t>
      </w:r>
      <w:r>
        <w:rPr>
          <w:rFonts w:hint="eastAsia" w:ascii="宋体" w:hAnsi="宋体"/>
          <w:b/>
          <w:color w:val="auto"/>
          <w:szCs w:val="21"/>
          <w:highlight w:val="none"/>
        </w:rPr>
        <w:t>【谈判须知前附表】</w:t>
      </w:r>
      <w:r>
        <w:rPr>
          <w:rFonts w:hint="eastAsia" w:ascii="宋体" w:hAnsi="宋体" w:cs="宋体"/>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0FE259B4">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（1）大写金额与小写金额不一致的，以大写金额为准。</w:t>
      </w:r>
    </w:p>
    <w:p w14:paraId="487AE58F">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（2）总价金额与按单价汇总金额不一致的，以单价金额计算结果为准。</w:t>
      </w:r>
    </w:p>
    <w:p w14:paraId="4A0F7E8C">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修正后的报价由供应商代表签字或者加盖单位公章确认后产生约束力，不确认的，其报价无效。</w:t>
      </w:r>
    </w:p>
    <w:p w14:paraId="2514A8F4">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28.4最后报价的评审</w:t>
      </w:r>
    </w:p>
    <w:p w14:paraId="5CF83C23">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（1）如果有算术错误，最后报价将按上款规定进行算术修正。</w:t>
      </w:r>
    </w:p>
    <w:p w14:paraId="5A03247A">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（2）需落实政府采购政策（优先采购、价格评审优惠）的，按本章本节第40、41条等相关规定进行价格扣除。</w:t>
      </w:r>
    </w:p>
    <w:p w14:paraId="516613B7">
      <w:pPr>
        <w:spacing w:line="360" w:lineRule="auto"/>
        <w:outlineLvl w:val="3"/>
        <w:rPr>
          <w:rFonts w:ascii="黑体" w:hAnsi="黑体" w:eastAsia="黑体"/>
          <w:b/>
          <w:bCs/>
          <w:color w:val="auto"/>
          <w:sz w:val="24"/>
          <w:highlight w:val="none"/>
        </w:rPr>
      </w:pPr>
      <w:bookmarkStart w:id="83" w:name="_Toc107997869"/>
      <w:bookmarkStart w:id="84" w:name="_Toc107997996"/>
      <w:r>
        <w:rPr>
          <w:rFonts w:hint="eastAsia" w:ascii="黑体" w:hAnsi="黑体" w:eastAsia="黑体"/>
          <w:b/>
          <w:bCs/>
          <w:color w:val="auto"/>
          <w:sz w:val="24"/>
          <w:highlight w:val="none"/>
        </w:rPr>
        <w:t>29.确定成交供应商</w:t>
      </w:r>
      <w:bookmarkEnd w:id="83"/>
      <w:bookmarkEnd w:id="84"/>
    </w:p>
    <w:p w14:paraId="741B4302">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29.1采购代理机构应当在评审结束后2个工作日内将评审报告送采购人确认。</w:t>
      </w:r>
    </w:p>
    <w:p w14:paraId="13E7DC72">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76C90F6D">
      <w:pPr>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29.3成交候选人并列的，由采购人自行确定成交供应商。</w:t>
      </w:r>
    </w:p>
    <w:p w14:paraId="5BBDB1FC">
      <w:pPr>
        <w:spacing w:line="360" w:lineRule="auto"/>
        <w:outlineLvl w:val="3"/>
        <w:rPr>
          <w:rFonts w:ascii="黑体" w:hAnsi="黑体" w:eastAsia="黑体"/>
          <w:b/>
          <w:bCs/>
          <w:color w:val="auto"/>
          <w:sz w:val="24"/>
          <w:highlight w:val="none"/>
        </w:rPr>
      </w:pPr>
      <w:bookmarkStart w:id="85" w:name="_Toc107997997"/>
      <w:bookmarkStart w:id="86" w:name="_Toc107997870"/>
      <w:r>
        <w:rPr>
          <w:rFonts w:hint="eastAsia" w:ascii="黑体" w:hAnsi="黑体" w:eastAsia="黑体"/>
          <w:b/>
          <w:bCs/>
          <w:color w:val="auto"/>
          <w:sz w:val="24"/>
          <w:highlight w:val="none"/>
        </w:rPr>
        <w:t>30.谈判的特殊情形</w:t>
      </w:r>
      <w:bookmarkEnd w:id="85"/>
      <w:bookmarkEnd w:id="86"/>
    </w:p>
    <w:p w14:paraId="13267834">
      <w:pPr>
        <w:adjustRightInd w:val="0"/>
        <w:snapToGrid w:val="0"/>
        <w:spacing w:line="360" w:lineRule="auto"/>
        <w:ind w:firstLine="420" w:firstLineChars="200"/>
        <w:rPr>
          <w:rFonts w:ascii="宋体" w:hAnsi="宋体"/>
          <w:color w:val="auto"/>
          <w:kern w:val="0"/>
          <w:highlight w:val="none"/>
          <w:lang w:val="zh-CN"/>
        </w:rPr>
      </w:pPr>
      <w:r>
        <w:rPr>
          <w:rFonts w:hint="eastAsia" w:ascii="宋体" w:hAnsi="宋体"/>
          <w:color w:val="auto"/>
          <w:kern w:val="0"/>
          <w:highlight w:val="none"/>
          <w:lang w:val="zh-CN"/>
        </w:rPr>
        <w:t>30.1对于经公开招标的货物、服务采购项目，招标过程中提交投标文件或者经评审实质性响应招标文件要求的供应商只有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7AA42715">
      <w:pPr>
        <w:adjustRightInd w:val="0"/>
        <w:snapToGrid w:val="0"/>
        <w:spacing w:line="360" w:lineRule="auto"/>
        <w:ind w:firstLine="420" w:firstLineChars="200"/>
        <w:rPr>
          <w:rFonts w:ascii="宋体" w:hAnsi="宋体"/>
          <w:color w:val="auto"/>
          <w:kern w:val="0"/>
          <w:highlight w:val="none"/>
          <w:lang w:val="zh-CN"/>
        </w:rPr>
      </w:pPr>
      <w:r>
        <w:rPr>
          <w:rFonts w:hint="eastAsia" w:ascii="宋体" w:hAnsi="宋体"/>
          <w:color w:val="auto"/>
          <w:kern w:val="0"/>
          <w:highlight w:val="none"/>
          <w:lang w:val="zh-CN"/>
        </w:rPr>
        <w:t>30.2</w:t>
      </w:r>
      <w:r>
        <w:rPr>
          <w:rFonts w:hint="eastAsia" w:ascii="宋体" w:hAnsi="宋体" w:cs="宋体"/>
          <w:color w:val="auto"/>
          <w:kern w:val="0"/>
          <w:szCs w:val="21"/>
          <w:highlight w:val="none"/>
        </w:rPr>
        <w:t>符合上款情形的，本章本节相关条款规定的供应商最低数量可以为两家。</w:t>
      </w:r>
    </w:p>
    <w:p w14:paraId="3CCFCA9F">
      <w:pPr>
        <w:spacing w:line="360" w:lineRule="auto"/>
        <w:outlineLvl w:val="3"/>
        <w:rPr>
          <w:rFonts w:ascii="黑体" w:hAnsi="黑体" w:eastAsia="黑体"/>
          <w:b/>
          <w:bCs/>
          <w:color w:val="auto"/>
          <w:sz w:val="24"/>
          <w:highlight w:val="none"/>
        </w:rPr>
      </w:pPr>
      <w:bookmarkStart w:id="87" w:name="_Toc107997998"/>
      <w:bookmarkStart w:id="88" w:name="_Toc107997871"/>
      <w:r>
        <w:rPr>
          <w:rFonts w:hint="eastAsia" w:ascii="黑体" w:hAnsi="黑体" w:eastAsia="黑体"/>
          <w:b/>
          <w:bCs/>
          <w:color w:val="auto"/>
          <w:sz w:val="24"/>
          <w:highlight w:val="none"/>
        </w:rPr>
        <w:t>31.谈判终止</w:t>
      </w:r>
      <w:bookmarkEnd w:id="87"/>
      <w:bookmarkEnd w:id="88"/>
    </w:p>
    <w:p w14:paraId="13FE4D6B">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31.1</w:t>
      </w:r>
      <w:r>
        <w:rPr>
          <w:rFonts w:hint="eastAsia" w:ascii="宋体" w:hAnsi="宋体" w:cs="宋体"/>
          <w:color w:val="auto"/>
          <w:kern w:val="0"/>
          <w:szCs w:val="21"/>
          <w:highlight w:val="none"/>
        </w:rPr>
        <w:t>出现下列情形之一的，采购人、采购代理机构应当终止竞争性谈判采购活动，</w:t>
      </w:r>
      <w:r>
        <w:rPr>
          <w:rFonts w:hint="eastAsia" w:hAnsi="宋体"/>
          <w:color w:val="auto"/>
          <w:highlight w:val="none"/>
        </w:rPr>
        <w:t>在指定的媒体上</w:t>
      </w:r>
      <w:r>
        <w:rPr>
          <w:rFonts w:hint="eastAsia" w:ascii="宋体" w:hAnsi="宋体" w:cs="宋体"/>
          <w:color w:val="auto"/>
          <w:kern w:val="0"/>
          <w:szCs w:val="21"/>
          <w:highlight w:val="none"/>
        </w:rPr>
        <w:t xml:space="preserve">发布项目终止公告并说明原因，重新开展采购活动： </w:t>
      </w:r>
    </w:p>
    <w:p w14:paraId="52DAA9DB">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（1）因情况变化，不再符合规定的竞争性谈判采购方式适用情形的；</w:t>
      </w:r>
    </w:p>
    <w:p w14:paraId="3D7C79B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0657135C">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（3）在采购过程中符合竞争要求的供应商或者报价未超过采购预算的供应商不足3家的，或者提交最后报价的供应商少于3家的；</w:t>
      </w:r>
    </w:p>
    <w:p w14:paraId="6931D686">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bCs/>
          <w:color w:val="auto"/>
          <w:szCs w:val="21"/>
          <w:highlight w:val="none"/>
        </w:rPr>
        <w:t>因重大变故，采购任务取消的。</w:t>
      </w:r>
    </w:p>
    <w:p w14:paraId="5D926E23">
      <w:pPr>
        <w:spacing w:line="360" w:lineRule="auto"/>
        <w:outlineLvl w:val="3"/>
        <w:rPr>
          <w:rFonts w:ascii="黑体" w:hAnsi="黑体" w:eastAsia="黑体"/>
          <w:b/>
          <w:bCs/>
          <w:color w:val="auto"/>
          <w:sz w:val="24"/>
          <w:highlight w:val="none"/>
        </w:rPr>
      </w:pPr>
      <w:bookmarkStart w:id="89" w:name="_Toc107997872"/>
      <w:bookmarkStart w:id="90" w:name="_Toc107997999"/>
      <w:r>
        <w:rPr>
          <w:rFonts w:hint="eastAsia" w:ascii="黑体" w:hAnsi="黑体" w:eastAsia="黑体"/>
          <w:b/>
          <w:bCs/>
          <w:color w:val="auto"/>
          <w:sz w:val="24"/>
          <w:highlight w:val="none"/>
        </w:rPr>
        <w:t>32.重新评审</w:t>
      </w:r>
      <w:bookmarkEnd w:id="89"/>
      <w:bookmarkEnd w:id="90"/>
    </w:p>
    <w:p w14:paraId="1FE1326B">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32.1除资格性审查认定错误和价格计算错误外，采购人、采购代理机构不以任何理由组织重新评审。</w:t>
      </w:r>
    </w:p>
    <w:p w14:paraId="1DFA10C2">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32.2采购人、采购代理机构发现谈判小组未按照谈判文件规定的评定成交的标准进行评审的，应当重新开展采购活动，并同时书面报告本级财政部门。</w:t>
      </w:r>
    </w:p>
    <w:p w14:paraId="47CE1D71">
      <w:pPr>
        <w:spacing w:line="360" w:lineRule="auto"/>
        <w:outlineLvl w:val="3"/>
        <w:rPr>
          <w:rFonts w:ascii="黑体" w:hAnsi="黑体" w:eastAsia="黑体"/>
          <w:b/>
          <w:bCs/>
          <w:color w:val="auto"/>
          <w:sz w:val="24"/>
          <w:highlight w:val="none"/>
        </w:rPr>
      </w:pPr>
      <w:bookmarkStart w:id="91" w:name="_Toc107997873"/>
      <w:bookmarkStart w:id="92" w:name="_Toc107998000"/>
      <w:r>
        <w:rPr>
          <w:rFonts w:hint="eastAsia" w:ascii="黑体" w:hAnsi="黑体" w:eastAsia="黑体"/>
          <w:b/>
          <w:bCs/>
          <w:color w:val="auto"/>
          <w:sz w:val="24"/>
          <w:highlight w:val="none"/>
        </w:rPr>
        <w:t>33.保密及串通行为</w:t>
      </w:r>
      <w:bookmarkEnd w:id="91"/>
      <w:bookmarkEnd w:id="92"/>
    </w:p>
    <w:p w14:paraId="79323D13">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33.1谈判小组成员以及与评审工作有关的人员不得泄露评审情况以及评审过程中获悉的国家秘密、商业秘密。</w:t>
      </w:r>
    </w:p>
    <w:p w14:paraId="26EDDA3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33.2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或者谈判小组成员行贿或者提供其他不正当利益；不得提供虚假材料谋取成交；不得以任何方式干扰、影响采购工作。</w:t>
      </w:r>
    </w:p>
    <w:p w14:paraId="0C61D583">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Arial"/>
          <w:color w:val="auto"/>
          <w:kern w:val="0"/>
          <w:szCs w:val="21"/>
          <w:highlight w:val="none"/>
        </w:rPr>
        <w:t>33.3</w:t>
      </w:r>
      <w:r>
        <w:rPr>
          <w:rFonts w:ascii="宋体" w:hAnsi="宋体" w:cs="Arial"/>
          <w:color w:val="auto"/>
          <w:kern w:val="0"/>
          <w:szCs w:val="21"/>
          <w:highlight w:val="none"/>
        </w:rPr>
        <w:t>有下列情形之一的，</w:t>
      </w:r>
      <w:r>
        <w:rPr>
          <w:rFonts w:ascii="宋体" w:hAnsi="宋体" w:cs="宋体"/>
          <w:color w:val="auto"/>
          <w:kern w:val="0"/>
          <w:szCs w:val="21"/>
          <w:highlight w:val="none"/>
          <w:lang w:val="zh-CN"/>
        </w:rPr>
        <w:t>属于恶意串通，</w:t>
      </w:r>
      <w:r>
        <w:rPr>
          <w:rFonts w:ascii="宋体" w:hAnsi="宋体" w:cs="宋体"/>
          <w:color w:val="auto"/>
          <w:kern w:val="0"/>
          <w:szCs w:val="21"/>
          <w:highlight w:val="none"/>
        </w:rPr>
        <w:t>成交无效，并</w:t>
      </w:r>
      <w:r>
        <w:rPr>
          <w:rFonts w:ascii="宋体" w:hAnsi="宋体" w:cs="宋体"/>
          <w:color w:val="auto"/>
          <w:kern w:val="0"/>
          <w:szCs w:val="21"/>
          <w:highlight w:val="none"/>
          <w:lang w:val="zh-CN"/>
        </w:rPr>
        <w:t>依照《政府采购法》第七十七条的规定追究法律责任：</w:t>
      </w:r>
    </w:p>
    <w:p w14:paraId="2B1671E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（1）供应商直接或者间接从</w:t>
      </w:r>
      <w:r>
        <w:rPr>
          <w:rFonts w:hint="eastAsia" w:ascii="宋体" w:hAnsi="宋体"/>
          <w:bCs/>
          <w:color w:val="auto"/>
          <w:szCs w:val="21"/>
          <w:highlight w:val="none"/>
        </w:rPr>
        <w:t>采购人、采购代理机构</w:t>
      </w:r>
      <w:r>
        <w:rPr>
          <w:rFonts w:hint="eastAsia" w:ascii="宋体" w:hAnsi="宋体"/>
          <w:color w:val="auto"/>
          <w:szCs w:val="21"/>
          <w:highlight w:val="none"/>
        </w:rPr>
        <w:t>获得其他供应商的响应情况，并修改其响应文件</w:t>
      </w:r>
      <w:r>
        <w:rPr>
          <w:rFonts w:hint="eastAsia" w:ascii="宋体" w:hAnsi="宋体"/>
          <w:color w:val="auto"/>
          <w:highlight w:val="none"/>
        </w:rPr>
        <w:t>的</w:t>
      </w:r>
      <w:r>
        <w:rPr>
          <w:rFonts w:hint="eastAsia" w:ascii="宋体" w:hAnsi="宋体"/>
          <w:color w:val="auto"/>
          <w:szCs w:val="21"/>
          <w:highlight w:val="none"/>
        </w:rPr>
        <w:t>；</w:t>
      </w:r>
    </w:p>
    <w:p w14:paraId="2C96684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szCs w:val="21"/>
          <w:highlight w:val="none"/>
        </w:rPr>
        <w:t>采购人、采购代理机构</w:t>
      </w:r>
      <w:r>
        <w:rPr>
          <w:rFonts w:hint="eastAsia" w:ascii="宋体" w:hAnsi="宋体"/>
          <w:color w:val="auto"/>
          <w:szCs w:val="21"/>
          <w:highlight w:val="none"/>
        </w:rPr>
        <w:t>授意供应商撤换、修改响应文件</w:t>
      </w:r>
      <w:r>
        <w:rPr>
          <w:rFonts w:hint="eastAsia" w:ascii="宋体" w:hAnsi="宋体"/>
          <w:color w:val="auto"/>
          <w:highlight w:val="none"/>
        </w:rPr>
        <w:t>的</w:t>
      </w:r>
      <w:r>
        <w:rPr>
          <w:rFonts w:hint="eastAsia" w:ascii="宋体" w:hAnsi="宋体"/>
          <w:color w:val="auto"/>
          <w:szCs w:val="21"/>
          <w:highlight w:val="none"/>
        </w:rPr>
        <w:t>；</w:t>
      </w:r>
    </w:p>
    <w:p w14:paraId="5EE3613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（3）供应商之间协商技术方案、合同条款以及报价等响应文件实质性内容</w:t>
      </w:r>
      <w:r>
        <w:rPr>
          <w:rFonts w:hint="eastAsia" w:ascii="宋体" w:hAnsi="宋体"/>
          <w:color w:val="auto"/>
          <w:highlight w:val="none"/>
        </w:rPr>
        <w:t>的</w:t>
      </w:r>
      <w:r>
        <w:rPr>
          <w:rFonts w:hint="eastAsia" w:ascii="宋体" w:hAnsi="宋体"/>
          <w:color w:val="auto"/>
          <w:szCs w:val="21"/>
          <w:highlight w:val="none"/>
        </w:rPr>
        <w:t>；</w:t>
      </w:r>
    </w:p>
    <w:p w14:paraId="6757780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（4）属于同一集团、协会、商会等组织成员的供应商按照该组织要求协同参加竞争性谈判政府采购活动</w:t>
      </w:r>
      <w:r>
        <w:rPr>
          <w:rFonts w:hint="eastAsia" w:ascii="宋体" w:hAnsi="宋体"/>
          <w:color w:val="auto"/>
          <w:highlight w:val="none"/>
        </w:rPr>
        <w:t>的</w:t>
      </w:r>
      <w:r>
        <w:rPr>
          <w:rFonts w:hint="eastAsia" w:ascii="宋体" w:hAnsi="宋体"/>
          <w:color w:val="auto"/>
          <w:szCs w:val="21"/>
          <w:highlight w:val="none"/>
        </w:rPr>
        <w:t>；</w:t>
      </w:r>
    </w:p>
    <w:p w14:paraId="61E3DC6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（5）供应商之间事先约定由某一特定供应商成交</w:t>
      </w:r>
      <w:r>
        <w:rPr>
          <w:rFonts w:hint="eastAsia" w:ascii="宋体" w:hAnsi="宋体"/>
          <w:color w:val="auto"/>
          <w:highlight w:val="none"/>
        </w:rPr>
        <w:t>的</w:t>
      </w:r>
      <w:r>
        <w:rPr>
          <w:rFonts w:hint="eastAsia" w:ascii="宋体" w:hAnsi="宋体"/>
          <w:color w:val="auto"/>
          <w:szCs w:val="21"/>
          <w:highlight w:val="none"/>
        </w:rPr>
        <w:t>；</w:t>
      </w:r>
    </w:p>
    <w:p w14:paraId="439348A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（6）供应商之间商定部分供应商放弃</w:t>
      </w:r>
      <w:r>
        <w:rPr>
          <w:rFonts w:hint="eastAsia" w:ascii="宋体" w:hAnsi="宋体"/>
          <w:color w:val="auto"/>
          <w:highlight w:val="none"/>
        </w:rPr>
        <w:t>提</w:t>
      </w:r>
      <w:r>
        <w:rPr>
          <w:rFonts w:hint="eastAsia" w:ascii="宋体" w:hAnsi="宋体"/>
          <w:color w:val="auto"/>
          <w:szCs w:val="21"/>
          <w:highlight w:val="none"/>
        </w:rPr>
        <w:t>交响应文件或者退出谈判或者放弃成交</w:t>
      </w:r>
      <w:r>
        <w:rPr>
          <w:rFonts w:hint="eastAsia" w:ascii="宋体" w:hAnsi="宋体"/>
          <w:color w:val="auto"/>
          <w:highlight w:val="none"/>
        </w:rPr>
        <w:t>的</w:t>
      </w:r>
      <w:r>
        <w:rPr>
          <w:rFonts w:hint="eastAsia" w:ascii="宋体" w:hAnsi="宋体"/>
          <w:color w:val="auto"/>
          <w:szCs w:val="21"/>
          <w:highlight w:val="none"/>
        </w:rPr>
        <w:t>；</w:t>
      </w:r>
    </w:p>
    <w:p w14:paraId="21BA7002">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（7）供应商与</w:t>
      </w:r>
      <w:r>
        <w:rPr>
          <w:rFonts w:hint="eastAsia" w:ascii="宋体" w:hAnsi="宋体"/>
          <w:bCs/>
          <w:color w:val="auto"/>
          <w:szCs w:val="21"/>
          <w:highlight w:val="none"/>
        </w:rPr>
        <w:t>采购人、采购代理机构以及</w:t>
      </w:r>
      <w:r>
        <w:rPr>
          <w:rFonts w:hint="eastAsia" w:ascii="宋体" w:hAnsi="宋体"/>
          <w:color w:val="auto"/>
          <w:szCs w:val="21"/>
          <w:highlight w:val="none"/>
        </w:rPr>
        <w:t>谈判小组成员之间、供应商相互之间，为谋求特定供应商成交或者排斥其他供应商的其他串通行为</w:t>
      </w:r>
      <w:r>
        <w:rPr>
          <w:rFonts w:hint="eastAsia" w:ascii="宋体" w:hAnsi="宋体"/>
          <w:color w:val="auto"/>
          <w:highlight w:val="none"/>
        </w:rPr>
        <w:t>的</w:t>
      </w:r>
      <w:r>
        <w:rPr>
          <w:rFonts w:hint="eastAsia" w:ascii="宋体" w:hAnsi="宋体"/>
          <w:color w:val="auto"/>
          <w:szCs w:val="21"/>
          <w:highlight w:val="none"/>
        </w:rPr>
        <w:t>。</w:t>
      </w:r>
    </w:p>
    <w:p w14:paraId="298F29B8">
      <w:pPr>
        <w:adjustRightInd w:val="0"/>
        <w:snapToGrid w:val="0"/>
        <w:spacing w:line="360" w:lineRule="auto"/>
        <w:ind w:firstLine="420" w:firstLineChars="200"/>
        <w:rPr>
          <w:rFonts w:ascii="宋体" w:hAnsi="宋体"/>
          <w:color w:val="auto"/>
          <w:szCs w:val="21"/>
          <w:highlight w:val="none"/>
        </w:rPr>
      </w:pPr>
      <w:r>
        <w:rPr>
          <w:rFonts w:ascii="宋体" w:hAnsi="宋体" w:cs="Arial"/>
          <w:color w:val="auto"/>
          <w:szCs w:val="21"/>
          <w:highlight w:val="none"/>
        </w:rPr>
        <w:t>（</w:t>
      </w:r>
      <w:r>
        <w:rPr>
          <w:rFonts w:hint="eastAsia" w:ascii="宋体" w:hAnsi="宋体" w:cs="Arial"/>
          <w:color w:val="auto"/>
          <w:szCs w:val="21"/>
          <w:highlight w:val="none"/>
        </w:rPr>
        <w:t>8</w:t>
      </w:r>
      <w:r>
        <w:rPr>
          <w:rFonts w:ascii="宋体" w:hAnsi="宋体" w:cs="Arial"/>
          <w:color w:val="auto"/>
          <w:szCs w:val="21"/>
          <w:highlight w:val="none"/>
        </w:rPr>
        <w:t>）</w:t>
      </w:r>
      <w:r>
        <w:rPr>
          <w:rFonts w:ascii="宋体" w:hAnsi="宋体"/>
          <w:color w:val="auto"/>
          <w:szCs w:val="21"/>
          <w:highlight w:val="none"/>
        </w:rPr>
        <w:t>法律、行政法规或规章规定的其他串通行为。</w:t>
      </w:r>
    </w:p>
    <w:p w14:paraId="5471B864">
      <w:pPr>
        <w:adjustRightInd w:val="0"/>
        <w:snapToGrid w:val="0"/>
        <w:spacing w:line="360" w:lineRule="auto"/>
        <w:jc w:val="center"/>
        <w:outlineLvl w:val="2"/>
        <w:rPr>
          <w:rFonts w:hint="eastAsia" w:ascii="黑体" w:hAnsi="黑体" w:eastAsia="黑体"/>
          <w:b/>
          <w:bCs/>
          <w:color w:val="auto"/>
          <w:sz w:val="28"/>
          <w:szCs w:val="28"/>
          <w:highlight w:val="none"/>
        </w:rPr>
      </w:pPr>
      <w:bookmarkStart w:id="93" w:name="_Toc107998001"/>
      <w:bookmarkStart w:id="94" w:name="_Toc30744"/>
    </w:p>
    <w:p w14:paraId="5E6E9080">
      <w:pPr>
        <w:adjustRightInd w:val="0"/>
        <w:snapToGrid w:val="0"/>
        <w:spacing w:line="360" w:lineRule="auto"/>
        <w:jc w:val="center"/>
        <w:outlineLvl w:val="2"/>
        <w:rPr>
          <w:rFonts w:ascii="黑体" w:hAnsi="黑体" w:eastAsia="黑体"/>
          <w:b/>
          <w:bCs/>
          <w:color w:val="auto"/>
          <w:sz w:val="28"/>
          <w:szCs w:val="28"/>
          <w:highlight w:val="none"/>
        </w:rPr>
      </w:pPr>
      <w:r>
        <w:rPr>
          <w:rFonts w:hint="eastAsia" w:ascii="黑体" w:hAnsi="黑体" w:eastAsia="黑体"/>
          <w:b/>
          <w:bCs/>
          <w:color w:val="auto"/>
          <w:sz w:val="28"/>
          <w:szCs w:val="28"/>
          <w:highlight w:val="none"/>
        </w:rPr>
        <w:t>六、成交结果信息公布与授予合同</w:t>
      </w:r>
      <w:bookmarkEnd w:id="93"/>
      <w:bookmarkEnd w:id="94"/>
    </w:p>
    <w:p w14:paraId="6206F459">
      <w:pPr>
        <w:adjustRightInd w:val="0"/>
        <w:snapToGrid w:val="0"/>
        <w:spacing w:line="360" w:lineRule="auto"/>
        <w:outlineLvl w:val="3"/>
        <w:rPr>
          <w:rFonts w:ascii="黑体" w:hAnsi="黑体" w:eastAsia="黑体"/>
          <w:b/>
          <w:bCs/>
          <w:color w:val="auto"/>
          <w:sz w:val="24"/>
          <w:highlight w:val="none"/>
        </w:rPr>
      </w:pPr>
      <w:bookmarkStart w:id="95" w:name="_Toc107998002"/>
      <w:bookmarkStart w:id="96" w:name="_Toc107997875"/>
      <w:r>
        <w:rPr>
          <w:rFonts w:hint="eastAsia" w:ascii="黑体" w:hAnsi="黑体" w:eastAsia="黑体"/>
          <w:b/>
          <w:bCs/>
          <w:color w:val="auto"/>
          <w:sz w:val="24"/>
          <w:highlight w:val="none"/>
        </w:rPr>
        <w:t>34.成交信息的公布与成交通知书</w:t>
      </w:r>
      <w:bookmarkEnd w:id="95"/>
      <w:bookmarkEnd w:id="96"/>
    </w:p>
    <w:p w14:paraId="3CCF1136">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34.1采购人、采购代理机构应当自采购人确定成交供应商之日起2个工作日内，发出成交通知书，并在</w:t>
      </w:r>
      <w:r>
        <w:rPr>
          <w:rFonts w:hint="eastAsia" w:ascii="宋体" w:hAnsi="宋体" w:cs="Courier New"/>
          <w:b/>
          <w:color w:val="auto"/>
          <w:szCs w:val="21"/>
          <w:highlight w:val="none"/>
        </w:rPr>
        <w:t>【谈判须知前附表】</w:t>
      </w:r>
      <w:r>
        <w:rPr>
          <w:rFonts w:hint="eastAsia" w:ascii="宋体" w:hAnsi="宋体" w:cs="Courier New"/>
          <w:color w:val="auto"/>
          <w:szCs w:val="21"/>
          <w:highlight w:val="none"/>
        </w:rPr>
        <w:t>指定媒体上公告成交结果，竞争性</w:t>
      </w:r>
      <w:r>
        <w:rPr>
          <w:rFonts w:hint="eastAsia" w:ascii="宋体" w:hAnsi="宋体" w:cs="Courier New"/>
          <w:color w:val="auto"/>
          <w:szCs w:val="21"/>
          <w:highlight w:val="none"/>
          <w:lang w:val="en-US" w:eastAsia="zh-CN"/>
        </w:rPr>
        <w:t>谈判</w:t>
      </w:r>
      <w:r>
        <w:rPr>
          <w:rFonts w:hint="eastAsia" w:ascii="宋体" w:hAnsi="宋体" w:cs="Courier New"/>
          <w:color w:val="auto"/>
          <w:szCs w:val="21"/>
          <w:highlight w:val="none"/>
        </w:rPr>
        <w:t>文件随成交结果同时公告，成交结果公告期限为</w:t>
      </w:r>
      <w:r>
        <w:rPr>
          <w:rFonts w:hint="eastAsia" w:ascii="宋体" w:hAnsi="宋体" w:cs="Courier New"/>
          <w:color w:val="auto"/>
          <w:szCs w:val="21"/>
          <w:highlight w:val="none"/>
          <w:lang w:val="en-US" w:eastAsia="zh-CN"/>
        </w:rPr>
        <w:t>1</w:t>
      </w:r>
      <w:r>
        <w:rPr>
          <w:rFonts w:hint="eastAsia" w:ascii="宋体" w:hAnsi="宋体" w:cs="Courier New"/>
          <w:color w:val="auto"/>
          <w:szCs w:val="21"/>
          <w:highlight w:val="none"/>
        </w:rPr>
        <w:t>个工作日。</w:t>
      </w:r>
    </w:p>
    <w:p w14:paraId="06ACD0ED">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34.2成交供应商确定后，采购人、采购代理机构将以书面形式向成交供应商发出成交通知书。成交通知书对采购人和成交供应商具有同等法律效力。</w:t>
      </w:r>
    </w:p>
    <w:p w14:paraId="7FD6FAB8">
      <w:pPr>
        <w:adjustRightInd w:val="0"/>
        <w:snapToGrid w:val="0"/>
        <w:spacing w:line="360" w:lineRule="auto"/>
        <w:ind w:firstLine="420" w:firstLineChars="200"/>
        <w:rPr>
          <w:rFonts w:ascii="宋体" w:hAnsi="Courier New" w:cs="Courier New"/>
          <w:color w:val="auto"/>
          <w:szCs w:val="21"/>
          <w:highlight w:val="none"/>
        </w:rPr>
      </w:pPr>
      <w:r>
        <w:rPr>
          <w:rFonts w:hint="eastAsia" w:ascii="宋体" w:hAnsi="宋体" w:cs="Courier New"/>
          <w:color w:val="auto"/>
          <w:szCs w:val="21"/>
          <w:highlight w:val="none"/>
        </w:rPr>
        <w:t>34.3成交通知书是合同文件的组成部分。</w:t>
      </w:r>
    </w:p>
    <w:p w14:paraId="228D17BE">
      <w:pPr>
        <w:spacing w:line="360" w:lineRule="auto"/>
        <w:outlineLvl w:val="3"/>
        <w:rPr>
          <w:rFonts w:ascii="黑体" w:hAnsi="黑体" w:eastAsia="黑体"/>
          <w:b/>
          <w:bCs/>
          <w:color w:val="auto"/>
          <w:sz w:val="24"/>
          <w:highlight w:val="none"/>
        </w:rPr>
      </w:pPr>
      <w:bookmarkStart w:id="97" w:name="_Toc107997876"/>
      <w:bookmarkStart w:id="98" w:name="_Toc107998003"/>
      <w:r>
        <w:rPr>
          <w:rFonts w:hint="eastAsia" w:ascii="黑体" w:hAnsi="黑体" w:eastAsia="黑体"/>
          <w:b/>
          <w:bCs/>
          <w:color w:val="auto"/>
          <w:sz w:val="24"/>
          <w:highlight w:val="none"/>
        </w:rPr>
        <w:t>35.询问及质疑</w:t>
      </w:r>
      <w:bookmarkEnd w:id="97"/>
      <w:bookmarkEnd w:id="98"/>
    </w:p>
    <w:p w14:paraId="2C03085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35.1供应商对政府采购活动事项有疑问的，可以向采购人、采购代理机构提出询问。采购人或采购代理机构将在3个工作日内作出答复。</w:t>
      </w:r>
    </w:p>
    <w:p w14:paraId="4556B52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35.2供应商若认为谈判文件、采购过程和成交结果使自己的权益受到损害，可以按法律、规章及</w:t>
      </w:r>
      <w:r>
        <w:rPr>
          <w:rFonts w:hint="eastAsia" w:ascii="宋体" w:hAnsi="宋体"/>
          <w:color w:val="auto"/>
          <w:szCs w:val="21"/>
          <w:highlight w:val="none"/>
          <w:lang w:val="en-US" w:eastAsia="zh-CN"/>
        </w:rPr>
        <w:t>《湖南省财政厅关于印发《政府采购质疑答复和投诉处理操作规程》的通知》(湘财购〔2024〕67号)</w:t>
      </w:r>
      <w:r>
        <w:rPr>
          <w:rFonts w:hint="eastAsia" w:ascii="宋体" w:hAnsi="宋体"/>
          <w:color w:val="auto"/>
          <w:szCs w:val="21"/>
          <w:highlight w:val="none"/>
        </w:rPr>
        <w:t>文件规定向采购人、采购代理机构提出质疑。供应商应当在法定质疑期内一次性提出针对同一采购程序环节的质疑。</w:t>
      </w:r>
    </w:p>
    <w:p w14:paraId="67C89057">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color w:val="auto"/>
          <w:szCs w:val="21"/>
          <w:highlight w:val="none"/>
        </w:rPr>
        <w:t>35.3供应商</w:t>
      </w:r>
      <w:r>
        <w:rPr>
          <w:rFonts w:hint="eastAsia" w:ascii="宋体" w:hAnsi="宋体" w:eastAsia="宋体"/>
          <w:color w:val="auto"/>
          <w:szCs w:val="21"/>
          <w:highlight w:val="none"/>
        </w:rPr>
        <w:t>提出质疑的，</w:t>
      </w:r>
      <w:r>
        <w:rPr>
          <w:rFonts w:hint="eastAsia" w:ascii="宋体" w:hAnsi="宋体"/>
          <w:color w:val="auto"/>
          <w:szCs w:val="21"/>
          <w:highlight w:val="none"/>
        </w:rPr>
        <w:t>质疑函</w:t>
      </w:r>
      <w:r>
        <w:rPr>
          <w:rFonts w:hint="eastAsia" w:ascii="宋体" w:hAnsi="宋体" w:eastAsia="宋体"/>
          <w:color w:val="auto"/>
          <w:szCs w:val="21"/>
          <w:highlight w:val="none"/>
        </w:rPr>
        <w:t>应按照《湖南省财政厅关于印发＜政府采购质疑答复和投诉处理操作规程＞的通知》规定制作、签署、送达。采购人、采购代理机构接收质疑函的联系部门、联系电话和通讯地址见</w:t>
      </w:r>
      <w:r>
        <w:rPr>
          <w:rFonts w:hint="eastAsia" w:ascii="宋体" w:hAnsi="宋体" w:eastAsia="宋体"/>
          <w:b/>
          <w:color w:val="auto"/>
          <w:szCs w:val="21"/>
          <w:highlight w:val="none"/>
        </w:rPr>
        <w:t>【谈判须知前附表】</w:t>
      </w:r>
      <w:r>
        <w:rPr>
          <w:rFonts w:hint="eastAsia" w:ascii="宋体" w:hAnsi="宋体" w:eastAsia="宋体"/>
          <w:color w:val="auto"/>
          <w:szCs w:val="21"/>
          <w:highlight w:val="none"/>
        </w:rPr>
        <w:t>。</w:t>
      </w:r>
    </w:p>
    <w:p w14:paraId="25D7AB85">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35.4采购人、采购代理机构按照《湖南省财政厅关于印发＜政府采购质疑答复和投诉处理操作规程＞的通知》规定进行质疑答复。</w:t>
      </w:r>
    </w:p>
    <w:p w14:paraId="4BE59388">
      <w:pPr>
        <w:pStyle w:val="29"/>
        <w:spacing w:line="360" w:lineRule="auto"/>
        <w:rPr>
          <w:rFonts w:ascii="宋体" w:hAnsi="宋体" w:eastAsia="宋体"/>
          <w:color w:val="auto"/>
          <w:highlight w:val="none"/>
        </w:rPr>
      </w:pPr>
      <w:r>
        <w:rPr>
          <w:rFonts w:hint="eastAsia" w:ascii="宋体" w:hAnsi="宋体" w:eastAsia="宋体"/>
          <w:color w:val="auto"/>
          <w:highlight w:val="none"/>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0C423848">
      <w:pPr>
        <w:spacing w:line="360" w:lineRule="auto"/>
        <w:outlineLvl w:val="3"/>
        <w:rPr>
          <w:rFonts w:ascii="黑体" w:hAnsi="黑体" w:eastAsia="黑体"/>
          <w:b/>
          <w:bCs/>
          <w:color w:val="auto"/>
          <w:sz w:val="24"/>
          <w:highlight w:val="none"/>
        </w:rPr>
      </w:pPr>
      <w:bookmarkStart w:id="99" w:name="_Toc107998004"/>
      <w:bookmarkStart w:id="100" w:name="_Toc107997877"/>
      <w:r>
        <w:rPr>
          <w:rFonts w:hint="eastAsia" w:ascii="黑体" w:hAnsi="黑体" w:eastAsia="黑体"/>
          <w:b/>
          <w:bCs/>
          <w:color w:val="auto"/>
          <w:sz w:val="24"/>
          <w:highlight w:val="none"/>
        </w:rPr>
        <w:t>36.履约担保</w:t>
      </w:r>
      <w:bookmarkEnd w:id="99"/>
      <w:bookmarkEnd w:id="100"/>
    </w:p>
    <w:p w14:paraId="35802A5E">
      <w:pPr>
        <w:adjustRightInd w:val="0"/>
        <w:snapToGrid w:val="0"/>
        <w:spacing w:before="50"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36.1</w:t>
      </w:r>
      <w:r>
        <w:rPr>
          <w:rFonts w:hint="eastAsia" w:ascii="宋体" w:hAnsi="宋体"/>
          <w:color w:val="auto"/>
          <w:szCs w:val="21"/>
          <w:highlight w:val="none"/>
        </w:rPr>
        <w:t>谈判文件要求成交供应商向采购人提交履约担保的，成交供应商应按照</w:t>
      </w:r>
      <w:r>
        <w:rPr>
          <w:rFonts w:hint="eastAsia" w:ascii="宋体" w:hAnsi="宋体"/>
          <w:b/>
          <w:color w:val="auto"/>
          <w:szCs w:val="21"/>
          <w:highlight w:val="none"/>
        </w:rPr>
        <w:t>【谈判须知前附表】</w:t>
      </w:r>
      <w:r>
        <w:rPr>
          <w:rFonts w:hint="eastAsia" w:ascii="宋体" w:hAnsi="宋体"/>
          <w:color w:val="auto"/>
          <w:szCs w:val="21"/>
          <w:highlight w:val="none"/>
        </w:rPr>
        <w:t>的规定提交，供应商可用保函、电子增信替代履约保证金。联合体成交的，履约担保由联合体各方或联合体中牵头人的名义提交。</w:t>
      </w:r>
    </w:p>
    <w:p w14:paraId="475D1EC8">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36.2成交供应商</w:t>
      </w:r>
      <w:r>
        <w:rPr>
          <w:rFonts w:hint="eastAsia" w:ascii="宋体" w:hAnsi="宋体" w:cs="Courier New"/>
          <w:color w:val="auto"/>
          <w:spacing w:val="4"/>
          <w:szCs w:val="21"/>
          <w:highlight w:val="none"/>
        </w:rPr>
        <w:t>没有按照本章第36.1</w:t>
      </w:r>
      <w:r>
        <w:rPr>
          <w:rFonts w:hint="eastAsia" w:ascii="宋体" w:hAnsi="宋体" w:cs="宋体"/>
          <w:color w:val="auto"/>
          <w:kern w:val="0"/>
          <w:szCs w:val="21"/>
          <w:highlight w:val="none"/>
          <w:lang w:val="zh-CN"/>
        </w:rPr>
        <w:t>款</w:t>
      </w:r>
      <w:r>
        <w:rPr>
          <w:rFonts w:hint="eastAsia" w:ascii="宋体" w:hAnsi="宋体" w:cs="Courier New"/>
          <w:color w:val="auto"/>
          <w:spacing w:val="4"/>
          <w:szCs w:val="21"/>
          <w:highlight w:val="none"/>
        </w:rPr>
        <w:t>规定</w:t>
      </w:r>
      <w:r>
        <w:rPr>
          <w:rFonts w:hint="eastAsia" w:ascii="宋体" w:hAnsi="宋体" w:cs="Courier New"/>
          <w:color w:val="auto"/>
          <w:szCs w:val="21"/>
          <w:highlight w:val="none"/>
        </w:rPr>
        <w:t>提交履约担保的</w:t>
      </w:r>
      <w:r>
        <w:rPr>
          <w:rFonts w:hint="eastAsia" w:ascii="宋体" w:hAnsi="宋体" w:cs="Courier New"/>
          <w:color w:val="auto"/>
          <w:spacing w:val="4"/>
          <w:szCs w:val="21"/>
          <w:highlight w:val="none"/>
        </w:rPr>
        <w:t>，视为放弃</w:t>
      </w:r>
      <w:r>
        <w:rPr>
          <w:rFonts w:hint="eastAsia" w:ascii="宋体" w:hAnsi="宋体" w:cs="Courier New"/>
          <w:color w:val="auto"/>
          <w:szCs w:val="21"/>
          <w:highlight w:val="none"/>
        </w:rPr>
        <w:t>成交资格</w:t>
      </w:r>
      <w:r>
        <w:rPr>
          <w:rFonts w:hint="eastAsia" w:ascii="宋体" w:hAnsi="宋体" w:cs="Courier New"/>
          <w:color w:val="auto"/>
          <w:spacing w:val="4"/>
          <w:szCs w:val="21"/>
          <w:highlight w:val="none"/>
        </w:rPr>
        <w:t>，</w:t>
      </w:r>
      <w:r>
        <w:rPr>
          <w:rFonts w:hint="eastAsia" w:ascii="宋体" w:hAnsi="宋体" w:cs="Courier New"/>
          <w:color w:val="auto"/>
          <w:spacing w:val="2"/>
          <w:szCs w:val="21"/>
          <w:highlight w:val="none"/>
        </w:rPr>
        <w:t>其谈判保证金不予退还。</w:t>
      </w:r>
    </w:p>
    <w:p w14:paraId="3F734E6F">
      <w:pPr>
        <w:spacing w:line="360" w:lineRule="auto"/>
        <w:outlineLvl w:val="3"/>
        <w:rPr>
          <w:rFonts w:ascii="黑体" w:hAnsi="黑体" w:eastAsia="黑体"/>
          <w:b/>
          <w:bCs/>
          <w:color w:val="auto"/>
          <w:sz w:val="24"/>
          <w:highlight w:val="none"/>
        </w:rPr>
      </w:pPr>
      <w:bookmarkStart w:id="101" w:name="_Toc107997878"/>
      <w:bookmarkStart w:id="102" w:name="_Toc107998005"/>
      <w:r>
        <w:rPr>
          <w:rFonts w:hint="eastAsia" w:ascii="黑体" w:hAnsi="黑体" w:eastAsia="黑体"/>
          <w:b/>
          <w:bCs/>
          <w:color w:val="auto"/>
          <w:sz w:val="24"/>
          <w:highlight w:val="none"/>
        </w:rPr>
        <w:t>37.签订合同</w:t>
      </w:r>
      <w:bookmarkEnd w:id="101"/>
      <w:bookmarkEnd w:id="102"/>
    </w:p>
    <w:p w14:paraId="0F91CDB2">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37.1谈判文件、成交供应商的响应文件及其补充的响应文件等均为签订政府采购合同的依据。</w:t>
      </w:r>
    </w:p>
    <w:p w14:paraId="7455FA41">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37.2成交供应商应当在成交通知书发出之日起30日内与采购人签订政府采购合同。</w:t>
      </w:r>
    </w:p>
    <w:p w14:paraId="6A867282">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37.3成交供应商应当按照合同约定履行义务。成交供应商不得向他人转让成交项目，也不得将成交项目分包后分别向他人转让。</w:t>
      </w:r>
    </w:p>
    <w:p w14:paraId="248C36A6">
      <w:pPr>
        <w:adjustRightInd w:val="0"/>
        <w:snapToGrid w:val="0"/>
        <w:spacing w:line="360" w:lineRule="auto"/>
        <w:jc w:val="center"/>
        <w:outlineLvl w:val="2"/>
        <w:rPr>
          <w:rFonts w:ascii="黑体" w:hAnsi="黑体" w:eastAsia="黑体"/>
          <w:b/>
          <w:bCs/>
          <w:color w:val="auto"/>
          <w:sz w:val="28"/>
          <w:szCs w:val="28"/>
          <w:highlight w:val="none"/>
        </w:rPr>
      </w:pPr>
      <w:bookmarkStart w:id="103" w:name="_Toc22201076"/>
      <w:bookmarkStart w:id="104" w:name="_Toc107998006"/>
      <w:bookmarkStart w:id="105" w:name="_Toc25963"/>
      <w:r>
        <w:rPr>
          <w:rFonts w:hint="eastAsia" w:ascii="黑体" w:hAnsi="黑体" w:eastAsia="黑体"/>
          <w:b/>
          <w:bCs/>
          <w:color w:val="auto"/>
          <w:sz w:val="28"/>
          <w:szCs w:val="28"/>
          <w:highlight w:val="none"/>
        </w:rPr>
        <w:t>七、政府采购政策</w:t>
      </w:r>
      <w:bookmarkEnd w:id="103"/>
      <w:bookmarkEnd w:id="104"/>
      <w:bookmarkEnd w:id="105"/>
    </w:p>
    <w:p w14:paraId="5CA01FCE">
      <w:pPr>
        <w:adjustRightInd w:val="0"/>
        <w:snapToGrid w:val="0"/>
        <w:spacing w:line="360" w:lineRule="auto"/>
        <w:outlineLvl w:val="3"/>
        <w:rPr>
          <w:rFonts w:ascii="黑体" w:hAnsi="黑体" w:eastAsia="黑体"/>
          <w:b/>
          <w:bCs/>
          <w:color w:val="auto"/>
          <w:sz w:val="24"/>
          <w:highlight w:val="none"/>
        </w:rPr>
      </w:pPr>
      <w:bookmarkStart w:id="106" w:name="_Toc62225465"/>
      <w:bookmarkStart w:id="107" w:name="_Toc107998007"/>
      <w:bookmarkStart w:id="108" w:name="_Toc107997880"/>
      <w:r>
        <w:rPr>
          <w:rFonts w:hint="eastAsia" w:ascii="黑体" w:hAnsi="黑体" w:eastAsia="黑体"/>
          <w:b/>
          <w:bCs/>
          <w:color w:val="auto"/>
          <w:sz w:val="24"/>
          <w:highlight w:val="none"/>
        </w:rPr>
        <w:t>38.</w:t>
      </w:r>
      <w:bookmarkEnd w:id="106"/>
      <w:r>
        <w:rPr>
          <w:rFonts w:hint="eastAsia" w:ascii="黑体" w:hAnsi="黑体" w:eastAsia="黑体"/>
          <w:b/>
          <w:bCs/>
          <w:color w:val="auto"/>
          <w:sz w:val="24"/>
          <w:highlight w:val="none"/>
        </w:rPr>
        <w:t>预留采购份额</w:t>
      </w:r>
      <w:bookmarkEnd w:id="107"/>
      <w:bookmarkEnd w:id="108"/>
    </w:p>
    <w:p w14:paraId="1EA2D4B1">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38.1执行中小企业预留采购份额政策的规定：</w:t>
      </w:r>
    </w:p>
    <w:p w14:paraId="005235E9">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（1）预留份额的采购项目或者采购包，应明确该项目或相关采购包专门面向中小企业采购，并作为供应商资格条件。</w:t>
      </w:r>
    </w:p>
    <w:p w14:paraId="5E5B0BDB">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（2）要求以联合体形式参加或者合同分包的，应明确联合协议或者分包承诺中中小企业合同金额应当达到的比例，并作为供应商资格条件。</w:t>
      </w:r>
    </w:p>
    <w:p w14:paraId="55158E27">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（3）组成联合体或者接受分包合同的中小企业与联合体内其他企业(成员)、分包企业之间不得存在直接控股、管理关系。</w:t>
      </w:r>
    </w:p>
    <w:p w14:paraId="706CC3E3">
      <w:pPr>
        <w:adjustRightInd w:val="0"/>
        <w:snapToGrid w:val="0"/>
        <w:spacing w:line="360" w:lineRule="auto"/>
        <w:outlineLvl w:val="3"/>
        <w:rPr>
          <w:rFonts w:ascii="黑体" w:hAnsi="黑体" w:eastAsia="黑体"/>
          <w:b/>
          <w:bCs/>
          <w:color w:val="auto"/>
          <w:sz w:val="24"/>
          <w:highlight w:val="none"/>
        </w:rPr>
      </w:pPr>
      <w:bookmarkStart w:id="109" w:name="_Toc107997881"/>
      <w:bookmarkStart w:id="110" w:name="_Toc107998008"/>
      <w:bookmarkStart w:id="111" w:name="_Toc62225466"/>
      <w:r>
        <w:rPr>
          <w:rFonts w:hint="eastAsia" w:ascii="黑体" w:hAnsi="黑体" w:eastAsia="黑体"/>
          <w:b/>
          <w:bCs/>
          <w:color w:val="auto"/>
          <w:sz w:val="24"/>
          <w:highlight w:val="none"/>
        </w:rPr>
        <w:t>39.强制采购</w:t>
      </w:r>
      <w:bookmarkEnd w:id="109"/>
      <w:bookmarkEnd w:id="110"/>
      <w:bookmarkEnd w:id="111"/>
    </w:p>
    <w:p w14:paraId="75BB6BAC">
      <w:pPr>
        <w:adjustRightInd w:val="0"/>
        <w:snapToGrid w:val="0"/>
        <w:spacing w:line="360" w:lineRule="auto"/>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39.1纳入财政部会同国务院有关部门发布的节能产品政府采购品目清单（品目清单中标注</w:t>
      </w:r>
      <w:r>
        <w:rPr>
          <w:rFonts w:hint="eastAsia" w:ascii="宋体" w:hAnsi="宋体" w:eastAsia="宋体" w:cs="宋体"/>
          <w:color w:val="auto"/>
          <w:kern w:val="0"/>
          <w:highlight w:val="none"/>
        </w:rPr>
        <w:sym w:font="Wingdings" w:char="F0AB"/>
      </w:r>
      <w:r>
        <w:rPr>
          <w:rFonts w:hint="eastAsia" w:ascii="宋体" w:hAnsi="宋体" w:eastAsia="宋体" w:cs="宋体"/>
          <w:color w:val="auto"/>
          <w:kern w:val="0"/>
          <w:highlight w:val="none"/>
        </w:rPr>
        <w:t>符号产品），实施政府强制采购的，供应商提供的产品不符合强制采购规定，其</w:t>
      </w:r>
      <w:r>
        <w:rPr>
          <w:rFonts w:hint="eastAsia" w:ascii="宋体" w:hAnsi="宋体" w:eastAsia="宋体" w:cs="宋体"/>
          <w:b/>
          <w:color w:val="auto"/>
          <w:kern w:val="0"/>
          <w:highlight w:val="none"/>
        </w:rPr>
        <w:t>响应</w:t>
      </w:r>
      <w:r>
        <w:rPr>
          <w:rFonts w:hint="eastAsia" w:ascii="宋体" w:hAnsi="宋体" w:eastAsia="宋体" w:cs="宋体"/>
          <w:b/>
          <w:color w:val="auto"/>
          <w:kern w:val="0"/>
          <w:szCs w:val="21"/>
          <w:highlight w:val="none"/>
        </w:rPr>
        <w:t>无效</w:t>
      </w:r>
      <w:r>
        <w:rPr>
          <w:rFonts w:hint="eastAsia" w:ascii="宋体" w:hAnsi="宋体" w:eastAsia="宋体" w:cs="宋体"/>
          <w:color w:val="auto"/>
          <w:kern w:val="0"/>
          <w:highlight w:val="none"/>
        </w:rPr>
        <w:t>。</w:t>
      </w:r>
    </w:p>
    <w:p w14:paraId="22557CC5">
      <w:pPr>
        <w:adjustRightInd w:val="0"/>
        <w:snapToGrid w:val="0"/>
        <w:spacing w:line="360" w:lineRule="auto"/>
        <w:outlineLvl w:val="3"/>
        <w:rPr>
          <w:rFonts w:ascii="黑体" w:hAnsi="黑体" w:eastAsia="黑体"/>
          <w:b/>
          <w:bCs/>
          <w:color w:val="auto"/>
          <w:sz w:val="24"/>
          <w:highlight w:val="none"/>
        </w:rPr>
      </w:pPr>
      <w:bookmarkStart w:id="112" w:name="_Toc107997882"/>
      <w:bookmarkStart w:id="113" w:name="_Toc62225467"/>
      <w:bookmarkStart w:id="114" w:name="_Toc107998009"/>
      <w:r>
        <w:rPr>
          <w:rFonts w:hint="eastAsia" w:ascii="黑体" w:hAnsi="黑体" w:eastAsia="黑体"/>
          <w:b/>
          <w:bCs/>
          <w:color w:val="auto"/>
          <w:sz w:val="24"/>
          <w:highlight w:val="none"/>
        </w:rPr>
        <w:t>40.优先采购</w:t>
      </w:r>
      <w:bookmarkEnd w:id="112"/>
      <w:bookmarkEnd w:id="113"/>
      <w:bookmarkEnd w:id="114"/>
    </w:p>
    <w:p w14:paraId="7885251E">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40.1</w:t>
      </w:r>
      <w:r>
        <w:rPr>
          <w:rFonts w:hint="eastAsia" w:ascii="宋体" w:hAnsi="宋体"/>
          <w:color w:val="auto"/>
          <w:highlight w:val="none"/>
        </w:rPr>
        <w:t>对</w:t>
      </w:r>
      <w:r>
        <w:rPr>
          <w:rFonts w:hint="eastAsia" w:ascii="宋体" w:hAnsi="宋体"/>
          <w:color w:val="auto"/>
          <w:szCs w:val="21"/>
          <w:highlight w:val="none"/>
        </w:rPr>
        <w:t>纳入财政部会同国务院有关部门发布的节能产品(未</w:t>
      </w:r>
      <w:r>
        <w:rPr>
          <w:rFonts w:hint="eastAsia" w:ascii="宋体" w:hAnsi="宋体" w:eastAsia="宋体" w:cs="宋体"/>
          <w:color w:val="auto"/>
          <w:kern w:val="0"/>
          <w:highlight w:val="none"/>
        </w:rPr>
        <w:t>标注</w:t>
      </w:r>
      <w:r>
        <w:rPr>
          <w:rFonts w:hint="eastAsia" w:ascii="宋体" w:hAnsi="宋体" w:eastAsia="宋体" w:cs="宋体"/>
          <w:color w:val="auto"/>
          <w:kern w:val="0"/>
          <w:highlight w:val="none"/>
        </w:rPr>
        <w:sym w:font="Wingdings" w:char="F0AB"/>
      </w:r>
      <w:r>
        <w:rPr>
          <w:rFonts w:hint="eastAsia" w:ascii="宋体" w:hAnsi="宋体" w:eastAsia="宋体" w:cs="宋体"/>
          <w:color w:val="auto"/>
          <w:kern w:val="0"/>
          <w:highlight w:val="none"/>
        </w:rPr>
        <w:t>符号产品</w:t>
      </w:r>
      <w:r>
        <w:rPr>
          <w:rFonts w:hint="eastAsia" w:ascii="宋体" w:hAnsi="宋体"/>
          <w:color w:val="auto"/>
          <w:szCs w:val="21"/>
          <w:highlight w:val="none"/>
        </w:rPr>
        <w:t>)、环境标志产品政府采购品目清单，实施政府优先采购的，评审时</w:t>
      </w:r>
      <w:r>
        <w:rPr>
          <w:rFonts w:hint="eastAsia" w:ascii="宋体" w:hAnsi="宋体"/>
          <w:color w:val="auto"/>
          <w:szCs w:val="21"/>
          <w:highlight w:val="none"/>
          <w:lang w:val="en-US" w:eastAsia="zh-CN"/>
        </w:rPr>
        <w:t>对该部分产品</w:t>
      </w:r>
      <w:r>
        <w:rPr>
          <w:rFonts w:hint="eastAsia" w:ascii="宋体" w:hAnsi="宋体"/>
          <w:color w:val="auto"/>
          <w:szCs w:val="21"/>
          <w:highlight w:val="none"/>
        </w:rPr>
        <w:t>按</w:t>
      </w:r>
      <w:r>
        <w:rPr>
          <w:rFonts w:hint="eastAsia" w:ascii="宋体" w:hAnsi="宋体"/>
          <w:b/>
          <w:color w:val="auto"/>
          <w:szCs w:val="21"/>
          <w:highlight w:val="none"/>
        </w:rPr>
        <w:t>【谈判须知前附表】</w:t>
      </w:r>
      <w:r>
        <w:rPr>
          <w:rFonts w:hint="eastAsia" w:ascii="宋体" w:hAnsi="宋体"/>
          <w:color w:val="auto"/>
          <w:szCs w:val="21"/>
          <w:highlight w:val="none"/>
        </w:rPr>
        <w:t>规定给予价格折扣；</w:t>
      </w:r>
    </w:p>
    <w:p w14:paraId="1C07D3D8">
      <w:pPr>
        <w:adjustRightInd w:val="0"/>
        <w:snapToGrid w:val="0"/>
        <w:spacing w:line="360" w:lineRule="auto"/>
        <w:outlineLvl w:val="3"/>
        <w:rPr>
          <w:rFonts w:ascii="黑体" w:hAnsi="黑体" w:eastAsia="黑体"/>
          <w:b/>
          <w:bCs/>
          <w:color w:val="auto"/>
          <w:sz w:val="24"/>
          <w:highlight w:val="none"/>
        </w:rPr>
      </w:pPr>
      <w:bookmarkStart w:id="115" w:name="_Toc62225468"/>
      <w:bookmarkStart w:id="116" w:name="_Toc107997883"/>
      <w:bookmarkStart w:id="117" w:name="_Toc107998010"/>
      <w:r>
        <w:rPr>
          <w:rFonts w:hint="eastAsia" w:ascii="黑体" w:hAnsi="黑体" w:eastAsia="黑体"/>
          <w:b/>
          <w:bCs/>
          <w:color w:val="auto"/>
          <w:sz w:val="24"/>
          <w:highlight w:val="none"/>
        </w:rPr>
        <w:t>41.价格评审优惠</w:t>
      </w:r>
      <w:bookmarkEnd w:id="115"/>
      <w:bookmarkEnd w:id="116"/>
      <w:bookmarkEnd w:id="117"/>
    </w:p>
    <w:p w14:paraId="4DB9C682">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w:t>
      </w:r>
      <w:r>
        <w:rPr>
          <w:rFonts w:ascii="宋体" w:hAnsi="宋体" w:eastAsia="宋体"/>
          <w:color w:val="auto"/>
          <w:highlight w:val="none"/>
        </w:rPr>
        <w:t>1.1</w:t>
      </w:r>
      <w:r>
        <w:rPr>
          <w:rFonts w:hint="eastAsia" w:ascii="宋体" w:hAnsi="宋体" w:eastAsia="宋体"/>
          <w:color w:val="auto"/>
          <w:highlight w:val="none"/>
        </w:rPr>
        <w:t>在政府采购活动中，供应商提供的货物、工程或者服务符合下列情形的：</w:t>
      </w:r>
      <w:r>
        <w:rPr>
          <w:rFonts w:ascii="宋体" w:hAnsi="宋体" w:eastAsia="宋体"/>
          <w:color w:val="auto"/>
          <w:highlight w:val="none"/>
        </w:rPr>
        <w:t>（</w:t>
      </w:r>
      <w:r>
        <w:rPr>
          <w:rFonts w:hint="eastAsia" w:ascii="宋体" w:hAnsi="宋体" w:eastAsia="宋体"/>
          <w:color w:val="auto"/>
          <w:highlight w:val="none"/>
        </w:rPr>
        <w:t>1</w:t>
      </w:r>
      <w:r>
        <w:rPr>
          <w:rFonts w:ascii="宋体" w:hAnsi="宋体" w:eastAsia="宋体"/>
          <w:color w:val="auto"/>
          <w:highlight w:val="none"/>
        </w:rPr>
        <w:t>）</w:t>
      </w:r>
      <w:r>
        <w:rPr>
          <w:rFonts w:hint="eastAsia" w:ascii="宋体" w:hAnsi="宋体" w:eastAsia="宋体"/>
          <w:color w:val="auto"/>
          <w:highlight w:val="none"/>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w:t>
      </w:r>
      <w:r>
        <w:rPr>
          <w:rFonts w:hint="eastAsia" w:ascii="宋体" w:hAnsi="宋体" w:eastAsia="宋体"/>
          <w:color w:val="auto"/>
          <w:highlight w:val="none"/>
          <w:lang w:eastAsia="zh-CN"/>
        </w:rPr>
        <w:t>；</w:t>
      </w:r>
      <w:r>
        <w:rPr>
          <w:rFonts w:hint="eastAsia" w:ascii="宋体" w:hAnsi="宋体" w:eastAsia="宋体"/>
          <w:color w:val="auto"/>
          <w:highlight w:val="none"/>
        </w:rPr>
        <w:t>给予一定比例的价格折扣，用扣除后的价格参与评审；</w:t>
      </w:r>
    </w:p>
    <w:p w14:paraId="6FB6ACC1">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w:t>
      </w:r>
      <w:r>
        <w:rPr>
          <w:rFonts w:ascii="宋体" w:hAnsi="宋体" w:eastAsia="宋体"/>
          <w:color w:val="auto"/>
          <w:highlight w:val="none"/>
        </w:rPr>
        <w:t>1.2价格折扣比例</w:t>
      </w:r>
    </w:p>
    <w:p w14:paraId="0C3399C4">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color w:val="auto"/>
          <w:szCs w:val="21"/>
          <w:highlight w:val="none"/>
        </w:rPr>
        <w:t>【谈判须知前附表】</w:t>
      </w:r>
      <w:r>
        <w:rPr>
          <w:rFonts w:hint="eastAsia" w:ascii="宋体" w:hAnsi="宋体" w:eastAsia="宋体"/>
          <w:color w:val="auto"/>
          <w:highlight w:val="none"/>
        </w:rPr>
        <w:t>规定的比例给予价格折扣，用扣除后的价格参与评审。</w:t>
      </w:r>
    </w:p>
    <w:p w14:paraId="59A74DA9">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b/>
          <w:color w:val="auto"/>
          <w:szCs w:val="21"/>
          <w:highlight w:val="none"/>
        </w:rPr>
        <w:t>【谈判须知前附表】</w:t>
      </w:r>
      <w:r>
        <w:rPr>
          <w:rFonts w:hint="eastAsia" w:ascii="宋体" w:hAnsi="宋体" w:eastAsia="宋体"/>
          <w:color w:val="auto"/>
          <w:highlight w:val="none"/>
        </w:rPr>
        <w:t>规定的比例给予价格折扣，用扣除后的价格参与评审。以联合体形式参加政府采购活动，联合体各方均为中小企业的，联合体视同中小企业。其中，联合体各方均为小微企业的，联合体视同小微企业。</w:t>
      </w:r>
    </w:p>
    <w:p w14:paraId="4442DFD9">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w:t>
      </w:r>
      <w:r>
        <w:rPr>
          <w:rFonts w:ascii="宋体" w:hAnsi="宋体" w:eastAsia="宋体"/>
          <w:color w:val="auto"/>
          <w:highlight w:val="none"/>
        </w:rPr>
        <w:t>1.3</w:t>
      </w:r>
      <w:r>
        <w:rPr>
          <w:rFonts w:hint="eastAsia" w:ascii="宋体" w:hAnsi="宋体" w:eastAsia="宋体"/>
          <w:color w:val="auto"/>
          <w:highlight w:val="none"/>
        </w:rPr>
        <w:t>符合中小企业划分标准的个体工商户视同中小企业，享受评审中价格扣除等促进中小企业发展的政府采购政策。</w:t>
      </w:r>
    </w:p>
    <w:p w14:paraId="524F904D">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w:t>
      </w:r>
      <w:r>
        <w:rPr>
          <w:rFonts w:ascii="宋体" w:hAnsi="宋体" w:eastAsia="宋体"/>
          <w:color w:val="auto"/>
          <w:highlight w:val="none"/>
        </w:rPr>
        <w:t>1.4</w:t>
      </w:r>
      <w:r>
        <w:rPr>
          <w:rFonts w:hint="eastAsia" w:ascii="宋体" w:hAnsi="宋体" w:eastAsia="宋体"/>
          <w:color w:val="auto"/>
          <w:highlight w:val="none"/>
        </w:rPr>
        <w:t>监狱企业、残疾人福利性单位视同小型、微型企业，享受评审中价格扣除等促进中小企业发展的政府采购政策。</w:t>
      </w:r>
    </w:p>
    <w:p w14:paraId="7D7EF658">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w:t>
      </w:r>
      <w:r>
        <w:rPr>
          <w:rFonts w:ascii="宋体" w:hAnsi="宋体" w:eastAsia="宋体"/>
          <w:color w:val="auto"/>
          <w:highlight w:val="none"/>
        </w:rPr>
        <w:t>1.5</w:t>
      </w:r>
      <w:r>
        <w:rPr>
          <w:rFonts w:hint="eastAsia" w:ascii="宋体" w:hAnsi="宋体" w:eastAsia="宋体"/>
          <w:color w:val="auto"/>
          <w:highlight w:val="none"/>
        </w:rPr>
        <w:t xml:space="preserve">与大企业的负责人为同一人，或者与大企业存在直接控股、管理关系的中小企业，不享受评审中价格扣除等促进中小企业发展的政府采购政策。 </w:t>
      </w:r>
    </w:p>
    <w:p w14:paraId="1967F958">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eastAsia="宋体"/>
          <w:color w:val="auto"/>
          <w:highlight w:val="none"/>
        </w:rPr>
        <w:t>4</w:t>
      </w:r>
      <w:r>
        <w:rPr>
          <w:rFonts w:ascii="宋体" w:hAnsi="宋体" w:eastAsia="宋体"/>
          <w:color w:val="auto"/>
          <w:highlight w:val="none"/>
        </w:rPr>
        <w:t>1.6</w:t>
      </w:r>
      <w:r>
        <w:rPr>
          <w:rFonts w:hint="eastAsia" w:ascii="宋体" w:hAnsi="宋体" w:eastAsia="宋体"/>
          <w:color w:val="auto"/>
          <w:highlight w:val="none"/>
        </w:rPr>
        <w:t>本章第1.2款规定采购项目或者采购包属于“预留采购份额”的，预留部分不再享受本款“价格评审优惠”的小微企业扶持政策。</w:t>
      </w:r>
    </w:p>
    <w:p w14:paraId="22AA7E35">
      <w:pPr>
        <w:adjustRightInd w:val="0"/>
        <w:snapToGrid w:val="0"/>
        <w:spacing w:line="360" w:lineRule="auto"/>
        <w:outlineLvl w:val="3"/>
        <w:rPr>
          <w:rFonts w:ascii="黑体" w:hAnsi="黑体" w:eastAsia="黑体"/>
          <w:b/>
          <w:bCs/>
          <w:color w:val="auto"/>
          <w:sz w:val="24"/>
          <w:highlight w:val="none"/>
        </w:rPr>
      </w:pPr>
      <w:bookmarkStart w:id="118" w:name="_Toc107997884"/>
      <w:bookmarkStart w:id="119" w:name="_Toc107998011"/>
      <w:bookmarkStart w:id="120" w:name="_Toc62225469"/>
      <w:r>
        <w:rPr>
          <w:rFonts w:hint="eastAsia" w:ascii="黑体" w:hAnsi="黑体" w:eastAsia="黑体"/>
          <w:b/>
          <w:bCs/>
          <w:color w:val="auto"/>
          <w:sz w:val="24"/>
          <w:highlight w:val="none"/>
        </w:rPr>
        <w:t>42.政府采购政策其他规定</w:t>
      </w:r>
      <w:bookmarkEnd w:id="118"/>
      <w:bookmarkEnd w:id="119"/>
      <w:bookmarkEnd w:id="120"/>
    </w:p>
    <w:p w14:paraId="531861B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42.1中型企业、小型企业和微型企业类型按照《关于印发＜政府采购促进中小企业发展办法＞的通知》(财库[2020]46号)和《关于印发中小企业划型标准规定的通知》（工信部联企业〔2011〕300号）规定认定。</w:t>
      </w:r>
    </w:p>
    <w:p w14:paraId="4C37DD1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eastAsia="宋体"/>
          <w:color w:val="auto"/>
          <w:highlight w:val="none"/>
        </w:rPr>
        <w:t>42.2</w:t>
      </w:r>
      <w:r>
        <w:rPr>
          <w:rFonts w:hint="eastAsia" w:ascii="宋体" w:hAnsi="宋体"/>
          <w:color w:val="auto"/>
          <w:highlight w:val="none"/>
        </w:rPr>
        <w:t>监狱企业、残</w:t>
      </w:r>
      <w:r>
        <w:rPr>
          <w:rFonts w:hint="eastAsia" w:ascii="宋体" w:hAnsi="宋体"/>
          <w:color w:val="auto"/>
          <w:szCs w:val="21"/>
          <w:highlight w:val="none"/>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2AFE3725">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42.3以联合体形式参加政府采购活动，联合体各方均为中小企业的，联合体视同中小企业。其中，联合体各方均为小微企业的，联合体视同小微企业。</w:t>
      </w:r>
    </w:p>
    <w:p w14:paraId="3B777224">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42.4在货物采购项目中，供应商提供的货物既有中小企业制造货物，也有大型企业制造货物的，不享受中小企业扶持政策。</w:t>
      </w:r>
    </w:p>
    <w:p w14:paraId="69C75A2E">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42.</w:t>
      </w:r>
      <w:r>
        <w:rPr>
          <w:rFonts w:ascii="宋体" w:hAnsi="宋体" w:eastAsia="宋体"/>
          <w:color w:val="auto"/>
          <w:highlight w:val="none"/>
        </w:rPr>
        <w:t>5</w:t>
      </w:r>
      <w:r>
        <w:rPr>
          <w:rFonts w:hint="eastAsia" w:ascii="宋体" w:hAnsi="宋体" w:eastAsia="宋体"/>
          <w:color w:val="auto"/>
          <w:highlight w:val="none"/>
        </w:rPr>
        <w:t>供应商提供的产品取得两个及以上优先采购产品认证的，评审时只有其中一项产品能够享受优先采购优惠（供应商自行选择，并在响应文件中并填报相关信息及数据）。</w:t>
      </w:r>
    </w:p>
    <w:p w14:paraId="29D660AA">
      <w:pPr>
        <w:adjustRightInd w:val="0"/>
        <w:snapToGrid w:val="0"/>
        <w:spacing w:line="360" w:lineRule="auto"/>
        <w:ind w:firstLine="420" w:firstLineChars="200"/>
        <w:jc w:val="left"/>
        <w:rPr>
          <w:rFonts w:ascii="宋体" w:hAnsi="宋体"/>
          <w:color w:val="auto"/>
          <w:highlight w:val="none"/>
        </w:rPr>
      </w:pPr>
      <w:r>
        <w:rPr>
          <w:rFonts w:hint="eastAsia" w:ascii="宋体" w:hAnsi="宋体" w:eastAsia="宋体"/>
          <w:color w:val="auto"/>
          <w:highlight w:val="none"/>
        </w:rPr>
        <w:t>42.</w:t>
      </w:r>
      <w:r>
        <w:rPr>
          <w:rFonts w:ascii="宋体" w:hAnsi="宋体" w:eastAsia="宋体"/>
          <w:color w:val="auto"/>
          <w:highlight w:val="none"/>
        </w:rPr>
        <w:t>6</w:t>
      </w:r>
      <w:r>
        <w:rPr>
          <w:rFonts w:hint="eastAsia" w:ascii="宋体" w:hAnsi="宋体" w:eastAsia="宋体"/>
          <w:color w:val="auto"/>
          <w:highlight w:val="none"/>
        </w:rPr>
        <w:t>“</w:t>
      </w:r>
      <w:r>
        <w:rPr>
          <w:rFonts w:hint="eastAsia" w:ascii="宋体" w:hAnsi="宋体"/>
          <w:color w:val="auto"/>
          <w:highlight w:val="none"/>
        </w:rPr>
        <w:t>价格评审优惠”可以与同时属于“节能产品”、“环境标志产品”中的一项“优先采购”累加计算。</w:t>
      </w:r>
    </w:p>
    <w:p w14:paraId="45FD4645">
      <w:pPr>
        <w:adjustRightInd w:val="0"/>
        <w:snapToGrid w:val="0"/>
        <w:spacing w:line="360" w:lineRule="auto"/>
        <w:outlineLvl w:val="3"/>
        <w:rPr>
          <w:rFonts w:ascii="黑体" w:hAnsi="黑体" w:eastAsia="黑体"/>
          <w:b/>
          <w:bCs/>
          <w:color w:val="auto"/>
          <w:sz w:val="24"/>
          <w:highlight w:val="none"/>
        </w:rPr>
      </w:pPr>
      <w:bookmarkStart w:id="121" w:name="_Toc23243979"/>
      <w:bookmarkStart w:id="122" w:name="_Toc23255846"/>
      <w:bookmarkStart w:id="123" w:name="_Toc107998012"/>
      <w:bookmarkStart w:id="124" w:name="_Toc62225470"/>
      <w:bookmarkStart w:id="125" w:name="_Toc107997885"/>
      <w:r>
        <w:rPr>
          <w:rFonts w:hint="eastAsia" w:ascii="黑体" w:hAnsi="黑体" w:eastAsia="黑体"/>
          <w:b/>
          <w:bCs/>
          <w:color w:val="auto"/>
          <w:sz w:val="24"/>
          <w:highlight w:val="none"/>
        </w:rPr>
        <w:t>43.供应商应提供的政府采购政策证明资料</w:t>
      </w:r>
      <w:bookmarkEnd w:id="121"/>
      <w:bookmarkEnd w:id="122"/>
      <w:bookmarkEnd w:id="123"/>
      <w:bookmarkEnd w:id="124"/>
      <w:bookmarkEnd w:id="125"/>
    </w:p>
    <w:p w14:paraId="48072342">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43.1符合本章第38条、第39条、第40条、第41条规定的，供应商应在响应文件中提供相关证明资料。</w:t>
      </w:r>
    </w:p>
    <w:p w14:paraId="0EEC2A08">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（1）</w:t>
      </w:r>
      <w:r>
        <w:rPr>
          <w:rFonts w:hint="eastAsia" w:ascii="宋体" w:hAnsi="宋体"/>
          <w:color w:val="auto"/>
          <w:highlight w:val="none"/>
        </w:rPr>
        <w:t>节能产品、环境标志产品：提供国家确定的认证机构出具的、处于有效期之内的节能产品、环境标志产品认证证书（复印件）。</w:t>
      </w:r>
    </w:p>
    <w:p w14:paraId="63242A15">
      <w:pPr>
        <w:adjustRightInd w:val="0"/>
        <w:snapToGrid w:val="0"/>
        <w:spacing w:line="360" w:lineRule="auto"/>
        <w:ind w:firstLine="420" w:firstLineChars="200"/>
        <w:jc w:val="left"/>
        <w:rPr>
          <w:rFonts w:ascii="宋体" w:hAnsi="宋体"/>
          <w:color w:val="auto"/>
          <w:highlight w:val="none"/>
        </w:rPr>
      </w:pPr>
      <w:r>
        <w:rPr>
          <w:rFonts w:hint="eastAsia" w:ascii="宋体" w:hAnsi="宋体" w:eastAsia="宋体"/>
          <w:color w:val="auto"/>
          <w:highlight w:val="none"/>
        </w:rPr>
        <w:t>（</w:t>
      </w:r>
      <w:r>
        <w:rPr>
          <w:rFonts w:hint="eastAsia" w:ascii="宋体" w:hAnsi="宋体"/>
          <w:color w:val="auto"/>
          <w:highlight w:val="none"/>
          <w:lang w:val="en-US" w:eastAsia="zh-CN"/>
        </w:rPr>
        <w:t>2</w:t>
      </w:r>
      <w:r>
        <w:rPr>
          <w:rFonts w:hint="eastAsia" w:ascii="宋体" w:hAnsi="宋体" w:eastAsia="宋体"/>
          <w:color w:val="auto"/>
          <w:highlight w:val="none"/>
        </w:rPr>
        <w:t>）</w:t>
      </w:r>
      <w:r>
        <w:rPr>
          <w:rFonts w:hint="eastAsia" w:ascii="宋体" w:hAnsi="宋体"/>
          <w:color w:val="auto"/>
          <w:highlight w:val="none"/>
        </w:rPr>
        <w:t>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highlight w:val="none"/>
        </w:rPr>
        <w:t>。</w:t>
      </w:r>
    </w:p>
    <w:p w14:paraId="528A3BA7">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w:t>
      </w:r>
      <w:r>
        <w:rPr>
          <w:rFonts w:hint="eastAsia" w:ascii="宋体" w:hAnsi="宋体"/>
          <w:color w:val="auto"/>
          <w:highlight w:val="none"/>
          <w:lang w:val="en-US" w:eastAsia="zh-CN"/>
        </w:rPr>
        <w:t>3</w:t>
      </w:r>
      <w:r>
        <w:rPr>
          <w:rFonts w:hint="eastAsia" w:ascii="宋体" w:hAnsi="宋体" w:eastAsia="宋体"/>
          <w:color w:val="auto"/>
          <w:highlight w:val="none"/>
        </w:rPr>
        <w:t>）监狱企业：按《关于政府采购支持监狱企业发展有关问题的通知》(财库〔2014〕68号)文件规定提供证明文件（复印件）。</w:t>
      </w:r>
    </w:p>
    <w:p w14:paraId="025BAD82">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w:t>
      </w:r>
      <w:r>
        <w:rPr>
          <w:rFonts w:hint="eastAsia" w:ascii="宋体" w:hAnsi="宋体"/>
          <w:color w:val="auto"/>
          <w:highlight w:val="none"/>
          <w:lang w:val="en-US" w:eastAsia="zh-CN"/>
        </w:rPr>
        <w:t>4</w:t>
      </w:r>
      <w:r>
        <w:rPr>
          <w:rFonts w:hint="eastAsia" w:ascii="宋体" w:hAnsi="宋体" w:eastAsia="宋体"/>
          <w:color w:val="auto"/>
          <w:highlight w:val="none"/>
        </w:rPr>
        <w:t>）残疾人福利性单位：按《关于促进残疾人就业政府采购政策的通知》(财库〔2017〕141号)文件规定提供《残疾人福利性单位声明函》（格式）。</w:t>
      </w:r>
    </w:p>
    <w:p w14:paraId="35F69CB7">
      <w:pPr>
        <w:adjustRightInd w:val="0"/>
        <w:snapToGrid w:val="0"/>
        <w:spacing w:line="360" w:lineRule="auto"/>
        <w:outlineLvl w:val="3"/>
        <w:rPr>
          <w:rFonts w:ascii="黑体" w:hAnsi="黑体" w:eastAsia="黑体"/>
          <w:b/>
          <w:bCs/>
          <w:color w:val="auto"/>
          <w:sz w:val="24"/>
          <w:highlight w:val="none"/>
        </w:rPr>
      </w:pPr>
      <w:bookmarkStart w:id="126" w:name="_Toc107998013"/>
      <w:bookmarkStart w:id="127" w:name="_Toc107997886"/>
      <w:bookmarkStart w:id="128" w:name="_Toc62225472"/>
      <w:r>
        <w:rPr>
          <w:rFonts w:hint="eastAsia" w:ascii="黑体" w:hAnsi="黑体" w:eastAsia="黑体"/>
          <w:b/>
          <w:bCs/>
          <w:color w:val="auto"/>
          <w:sz w:val="24"/>
          <w:highlight w:val="none"/>
        </w:rPr>
        <w:t>4</w:t>
      </w:r>
      <w:r>
        <w:rPr>
          <w:rFonts w:ascii="黑体" w:hAnsi="黑体" w:eastAsia="黑体"/>
          <w:b/>
          <w:bCs/>
          <w:color w:val="auto"/>
          <w:sz w:val="24"/>
          <w:highlight w:val="none"/>
        </w:rPr>
        <w:t>4</w:t>
      </w:r>
      <w:r>
        <w:rPr>
          <w:rFonts w:hint="eastAsia" w:ascii="黑体" w:hAnsi="黑体" w:eastAsia="黑体"/>
          <w:b/>
          <w:bCs/>
          <w:color w:val="auto"/>
          <w:sz w:val="24"/>
          <w:highlight w:val="none"/>
        </w:rPr>
        <w:t>. 采购进口产品</w:t>
      </w:r>
    </w:p>
    <w:p w14:paraId="45E9BF08">
      <w:pPr>
        <w:adjustRightInd w:val="0"/>
        <w:snapToGrid w:val="0"/>
        <w:spacing w:line="360" w:lineRule="auto"/>
        <w:ind w:firstLine="420" w:firstLineChars="200"/>
        <w:jc w:val="left"/>
        <w:rPr>
          <w:rFonts w:ascii="黑体" w:hAnsi="黑体" w:eastAsia="黑体"/>
          <w:b/>
          <w:bCs/>
          <w:color w:val="auto"/>
          <w:sz w:val="24"/>
          <w:highlight w:val="none"/>
        </w:rPr>
      </w:pPr>
      <w:r>
        <w:rPr>
          <w:rFonts w:hint="eastAsia" w:ascii="宋体" w:hAnsi="宋体" w:cs="宋体"/>
          <w:bCs/>
          <w:color w:val="auto"/>
          <w:kern w:val="0"/>
          <w:szCs w:val="21"/>
          <w:highlight w:val="none"/>
        </w:rPr>
        <w:t>44.1</w:t>
      </w:r>
      <w:r>
        <w:rPr>
          <w:rFonts w:hint="eastAsia" w:ascii="宋体" w:hAnsi="宋体" w:cs="宋体"/>
          <w:bCs/>
          <w:color w:val="auto"/>
          <w:kern w:val="0"/>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cs="宋体"/>
          <w:b/>
          <w:color w:val="auto"/>
          <w:kern w:val="0"/>
          <w:szCs w:val="21"/>
          <w:highlight w:val="none"/>
          <w:lang w:val="zh-CN"/>
        </w:rPr>
        <w:t>除【谈判须知前附表】另有规定外，采购项目拒绝进口产品参加谈判。</w:t>
      </w:r>
      <w:r>
        <w:rPr>
          <w:rFonts w:hint="eastAsia" w:ascii="宋体" w:hAnsi="宋体" w:cs="宋体"/>
          <w:bCs/>
          <w:color w:val="auto"/>
          <w:kern w:val="0"/>
          <w:szCs w:val="21"/>
          <w:highlight w:val="none"/>
          <w:lang w:val="zh-CN"/>
        </w:rPr>
        <w:t>本款规定同意购买进口产品的，不限制满足谈判文件要求的国内产品参与谈判竞争。</w:t>
      </w:r>
    </w:p>
    <w:p w14:paraId="1D42D379">
      <w:pPr>
        <w:adjustRightInd w:val="0"/>
        <w:snapToGrid w:val="0"/>
        <w:spacing w:line="360" w:lineRule="auto"/>
        <w:outlineLvl w:val="3"/>
        <w:rPr>
          <w:rFonts w:ascii="黑体" w:hAnsi="黑体" w:eastAsia="黑体"/>
          <w:b/>
          <w:bCs/>
          <w:color w:val="auto"/>
          <w:sz w:val="24"/>
          <w:highlight w:val="none"/>
        </w:rPr>
      </w:pPr>
      <w:r>
        <w:rPr>
          <w:rFonts w:hint="eastAsia" w:ascii="黑体" w:hAnsi="黑体" w:eastAsia="黑体"/>
          <w:b/>
          <w:bCs/>
          <w:color w:val="auto"/>
          <w:sz w:val="24"/>
          <w:highlight w:val="none"/>
        </w:rPr>
        <w:t>45.融资、担保</w:t>
      </w:r>
      <w:bookmarkEnd w:id="126"/>
      <w:bookmarkEnd w:id="127"/>
      <w:bookmarkEnd w:id="128"/>
    </w:p>
    <w:p w14:paraId="71CB88C7">
      <w:pPr>
        <w:adjustRightInd w:val="0"/>
        <w:snapToGrid w:val="0"/>
        <w:spacing w:line="360" w:lineRule="auto"/>
        <w:ind w:firstLine="420" w:firstLineChars="200"/>
        <w:jc w:val="left"/>
        <w:rPr>
          <w:rFonts w:ascii="宋体" w:hAnsi="宋体"/>
          <w:color w:val="auto"/>
          <w:sz w:val="24"/>
          <w:highlight w:val="none"/>
        </w:rPr>
      </w:pPr>
      <w:r>
        <w:rPr>
          <w:rFonts w:hint="eastAsia" w:ascii="宋体" w:hAnsi="宋体" w:eastAsia="宋体"/>
          <w:color w:val="auto"/>
          <w:highlight w:val="none"/>
        </w:rPr>
        <w:t>45.1供应商有融资、担保需求的，可登陆中国湖南政府采购网查询相关银行、担保机构业务。</w:t>
      </w:r>
    </w:p>
    <w:p w14:paraId="786C9ED0">
      <w:pPr>
        <w:adjustRightInd w:val="0"/>
        <w:snapToGrid w:val="0"/>
        <w:spacing w:line="360" w:lineRule="auto"/>
        <w:jc w:val="center"/>
        <w:outlineLvl w:val="2"/>
        <w:rPr>
          <w:rFonts w:ascii="黑体" w:hAnsi="黑体" w:eastAsia="黑体"/>
          <w:b/>
          <w:bCs/>
          <w:color w:val="auto"/>
          <w:sz w:val="28"/>
          <w:szCs w:val="28"/>
          <w:highlight w:val="none"/>
        </w:rPr>
      </w:pPr>
      <w:bookmarkStart w:id="129" w:name="_Toc13791"/>
      <w:bookmarkStart w:id="130" w:name="_Toc107998014"/>
      <w:r>
        <w:rPr>
          <w:rFonts w:hint="eastAsia" w:ascii="黑体" w:hAnsi="黑体" w:eastAsia="黑体"/>
          <w:b/>
          <w:bCs/>
          <w:color w:val="auto"/>
          <w:sz w:val="28"/>
          <w:szCs w:val="28"/>
          <w:highlight w:val="none"/>
        </w:rPr>
        <w:t>八、其他规定</w:t>
      </w:r>
      <w:bookmarkEnd w:id="129"/>
      <w:bookmarkEnd w:id="130"/>
    </w:p>
    <w:p w14:paraId="12E2C98C">
      <w:pPr>
        <w:spacing w:line="360" w:lineRule="auto"/>
        <w:outlineLvl w:val="3"/>
        <w:rPr>
          <w:rFonts w:ascii="黑体" w:hAnsi="黑体" w:eastAsia="黑体"/>
          <w:b/>
          <w:bCs/>
          <w:color w:val="auto"/>
          <w:sz w:val="24"/>
          <w:highlight w:val="none"/>
        </w:rPr>
      </w:pPr>
      <w:bookmarkStart w:id="131" w:name="_Toc107997888"/>
      <w:bookmarkStart w:id="132" w:name="_Toc107998015"/>
      <w:r>
        <w:rPr>
          <w:rFonts w:hint="eastAsia" w:ascii="黑体" w:hAnsi="黑体" w:eastAsia="黑体"/>
          <w:b/>
          <w:bCs/>
          <w:color w:val="auto"/>
          <w:sz w:val="24"/>
          <w:highlight w:val="none"/>
        </w:rPr>
        <w:t>46.其他规定</w:t>
      </w:r>
      <w:bookmarkEnd w:id="131"/>
      <w:bookmarkEnd w:id="132"/>
    </w:p>
    <w:p w14:paraId="1F5D3FFF">
      <w:pPr>
        <w:adjustRightInd w:val="0"/>
        <w:snapToGrid w:val="0"/>
        <w:spacing w:line="360" w:lineRule="auto"/>
        <w:ind w:firstLine="420" w:firstLineChars="200"/>
        <w:jc w:val="left"/>
        <w:rPr>
          <w:rFonts w:ascii="宋体" w:hAnsi="宋体"/>
          <w:color w:val="auto"/>
          <w:highlight w:val="none"/>
        </w:rPr>
      </w:pPr>
      <w:r>
        <w:rPr>
          <w:rFonts w:ascii="宋体" w:hAnsi="宋体"/>
          <w:color w:val="auto"/>
          <w:highlight w:val="none"/>
        </w:rPr>
        <w:t>4</w:t>
      </w:r>
      <w:r>
        <w:rPr>
          <w:rFonts w:hint="eastAsia" w:ascii="宋体" w:hAnsi="宋体"/>
          <w:color w:val="auto"/>
          <w:highlight w:val="none"/>
        </w:rPr>
        <w:t>6</w:t>
      </w:r>
      <w:r>
        <w:rPr>
          <w:rFonts w:ascii="宋体" w:hAnsi="宋体"/>
          <w:color w:val="auto"/>
          <w:highlight w:val="none"/>
        </w:rPr>
        <w:t>.1</w:t>
      </w:r>
      <w:r>
        <w:rPr>
          <w:rFonts w:hint="eastAsia" w:ascii="宋体" w:hAnsi="宋体"/>
          <w:color w:val="auto"/>
          <w:highlight w:val="none"/>
        </w:rPr>
        <w:t>合同价款支付</w:t>
      </w:r>
    </w:p>
    <w:p w14:paraId="6C634EC7">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（1）竞争性谈判文件规定支付合同预付款的，采购人应按【谈判须知前附表】规定的支付比例和支付条件向符合要求的成交供应商及时支付相应款项，并在政府采购合同中进行明确。</w:t>
      </w:r>
    </w:p>
    <w:p w14:paraId="107F9CCF">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（2）竞争性谈判文件规定需提交质量保证金的，采购人可以按【谈判须知前附表】规定要求成交供应商提交质量保证金，并在政府采购合同中进行明确。</w:t>
      </w:r>
    </w:p>
    <w:p w14:paraId="6244EFC5">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（3）供应商可以保函、电子增信替代预付款担保、质量保证金。</w:t>
      </w:r>
    </w:p>
    <w:p w14:paraId="17E6CEF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highlight w:val="none"/>
        </w:rPr>
        <w:t>46.</w:t>
      </w:r>
      <w:r>
        <w:rPr>
          <w:rFonts w:ascii="宋体" w:hAnsi="宋体"/>
          <w:color w:val="auto"/>
          <w:highlight w:val="none"/>
        </w:rPr>
        <w:t>2</w:t>
      </w:r>
      <w:r>
        <w:rPr>
          <w:rFonts w:hint="eastAsia" w:ascii="宋体" w:hAnsi="宋体"/>
          <w:color w:val="auto"/>
          <w:szCs w:val="21"/>
          <w:highlight w:val="none"/>
        </w:rPr>
        <w:t>谈判文件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【谈判须知前附表】</w:t>
      </w:r>
      <w:r>
        <w:rPr>
          <w:rFonts w:hint="eastAsia" w:ascii="宋体" w:hAnsi="宋体"/>
          <w:color w:val="auto"/>
          <w:szCs w:val="21"/>
          <w:highlight w:val="none"/>
        </w:rPr>
        <w:t>。</w:t>
      </w:r>
    </w:p>
    <w:p w14:paraId="5DA43813">
      <w:pPr>
        <w:adjustRightInd w:val="0"/>
        <w:snapToGrid w:val="0"/>
        <w:spacing w:line="360" w:lineRule="auto"/>
        <w:ind w:firstLine="420" w:firstLineChars="200"/>
        <w:jc w:val="left"/>
        <w:rPr>
          <w:rFonts w:ascii="宋体" w:hAnsi="宋体"/>
          <w:color w:val="auto"/>
          <w:szCs w:val="21"/>
          <w:highlight w:val="none"/>
        </w:rPr>
      </w:pPr>
    </w:p>
    <w:p w14:paraId="401BAF84">
      <w:pPr>
        <w:adjustRightInd w:val="0"/>
        <w:snapToGrid w:val="0"/>
        <w:spacing w:line="360" w:lineRule="auto"/>
        <w:ind w:firstLine="420" w:firstLineChars="200"/>
        <w:jc w:val="left"/>
        <w:rPr>
          <w:rFonts w:ascii="宋体" w:hAnsi="宋体"/>
          <w:color w:val="auto"/>
          <w:szCs w:val="21"/>
          <w:highlight w:val="none"/>
        </w:rPr>
        <w:sectPr>
          <w:footerReference r:id="rId6" w:type="default"/>
          <w:pgSz w:w="11906" w:h="16838"/>
          <w:pgMar w:top="1418" w:right="1418" w:bottom="1417" w:left="1418" w:header="851" w:footer="992" w:gutter="0"/>
          <w:pgNumType w:fmt="numberInDash"/>
          <w:cols w:space="720" w:num="1"/>
          <w:docGrid w:type="linesAndChars" w:linePitch="312" w:charSpace="0"/>
        </w:sectPr>
      </w:pPr>
    </w:p>
    <w:p w14:paraId="0B7BA29D">
      <w:pPr>
        <w:keepNext/>
        <w:numPr>
          <w:ilvl w:val="0"/>
          <w:numId w:val="0"/>
        </w:numPr>
        <w:jc w:val="center"/>
        <w:outlineLvl w:val="0"/>
        <w:rPr>
          <w:rFonts w:hint="eastAsia" w:ascii="黑体" w:hAnsi="黑体" w:eastAsia="黑体"/>
          <w:b/>
          <w:bCs/>
          <w:color w:val="auto"/>
          <w:sz w:val="32"/>
          <w:szCs w:val="32"/>
          <w:highlight w:val="none"/>
        </w:rPr>
      </w:pPr>
      <w:bookmarkStart w:id="133" w:name="_Toc25776"/>
      <w:bookmarkStart w:id="134" w:name="_Toc20807"/>
      <w:r>
        <w:rPr>
          <w:rFonts w:hint="eastAsia" w:ascii="黑体" w:hAnsi="黑体" w:eastAsia="黑体" w:cs="Times New Roman"/>
          <w:b/>
          <w:bCs/>
          <w:color w:val="auto"/>
          <w:kern w:val="2"/>
          <w:sz w:val="32"/>
          <w:szCs w:val="32"/>
          <w:lang w:val="en-US" w:eastAsia="zh-CN" w:bidi="ar-SA"/>
        </w:rPr>
        <w:t xml:space="preserve">第三章  </w:t>
      </w:r>
      <w:r>
        <w:rPr>
          <w:rFonts w:hint="eastAsia" w:ascii="黑体" w:hAnsi="黑体" w:eastAsia="黑体"/>
          <w:b/>
          <w:bCs/>
          <w:color w:val="auto"/>
          <w:sz w:val="32"/>
          <w:szCs w:val="32"/>
          <w:highlight w:val="none"/>
        </w:rPr>
        <w:t>采购需求</w:t>
      </w:r>
      <w:bookmarkEnd w:id="133"/>
    </w:p>
    <w:p w14:paraId="31B18BB9">
      <w:pPr>
        <w:keepNext/>
        <w:keepLines/>
        <w:adjustRightInd w:val="0"/>
        <w:snapToGrid w:val="0"/>
        <w:spacing w:before="156" w:beforeLines="50" w:line="360" w:lineRule="auto"/>
        <w:jc w:val="both"/>
        <w:outlineLvl w:val="1"/>
        <w:rPr>
          <w:rFonts w:hint="eastAsia" w:ascii="黑体" w:hAnsi="黑体" w:eastAsia="黑体"/>
          <w:b/>
          <w:bCs/>
          <w:color w:val="auto"/>
          <w:sz w:val="28"/>
          <w:szCs w:val="28"/>
        </w:rPr>
      </w:pPr>
    </w:p>
    <w:p w14:paraId="53DAEFFE">
      <w:pPr>
        <w:keepNext/>
        <w:keepLines/>
        <w:adjustRightInd w:val="0"/>
        <w:snapToGrid w:val="0"/>
        <w:spacing w:before="156" w:beforeLines="50" w:line="360" w:lineRule="auto"/>
        <w:jc w:val="center"/>
        <w:outlineLvl w:val="1"/>
        <w:rPr>
          <w:rFonts w:hint="eastAsia" w:ascii="宋体" w:hAnsi="宋体" w:eastAsia="宋体" w:cs="宋体"/>
          <w:b/>
          <w:bCs/>
          <w:snapToGrid w:val="0"/>
          <w:color w:val="auto"/>
          <w:spacing w:val="-3"/>
          <w:kern w:val="0"/>
          <w:sz w:val="28"/>
          <w:szCs w:val="28"/>
          <w:lang w:val="en-US" w:eastAsia="zh-CN" w:bidi="ar-SA"/>
        </w:rPr>
      </w:pPr>
      <w:r>
        <w:rPr>
          <w:rFonts w:hint="eastAsia" w:ascii="黑体" w:hAnsi="黑体" w:eastAsia="黑体" w:cs="Times New Roman"/>
          <w:b/>
          <w:bCs/>
          <w:color w:val="auto"/>
          <w:sz w:val="28"/>
          <w:szCs w:val="28"/>
        </w:rPr>
        <w:t>第一节 采购清单一览表</w:t>
      </w:r>
    </w:p>
    <w:p w14:paraId="254A8E24">
      <w:pPr>
        <w:rPr>
          <w:rFonts w:hint="eastAsia" w:ascii="宋体" w:hAnsi="宋体" w:eastAsia="宋体" w:cs="宋体"/>
          <w:b/>
          <w:bCs/>
          <w:snapToGrid w:val="0"/>
          <w:color w:val="auto"/>
          <w:spacing w:val="-3"/>
          <w:kern w:val="0"/>
          <w:sz w:val="24"/>
          <w:szCs w:val="24"/>
          <w:lang w:val="en-US" w:eastAsia="zh-CN" w:bidi="ar-SA"/>
        </w:rPr>
      </w:pPr>
    </w:p>
    <w:tbl>
      <w:tblPr>
        <w:tblStyle w:val="20"/>
        <w:tblW w:w="925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13"/>
        <w:gridCol w:w="1950"/>
        <w:gridCol w:w="3323"/>
        <w:gridCol w:w="2304"/>
        <w:gridCol w:w="1169"/>
      </w:tblGrid>
      <w:tr w14:paraId="2FC2E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93" w:hRule="atLeast"/>
        </w:trPr>
        <w:tc>
          <w:tcPr>
            <w:tcW w:w="513" w:type="dxa"/>
            <w:noWrap w:val="0"/>
            <w:vAlign w:val="center"/>
          </w:tcPr>
          <w:p w14:paraId="29137C21">
            <w:pPr>
              <w:adjustRightInd w:val="0"/>
              <w:snapToGrid w:val="0"/>
              <w:jc w:val="center"/>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 xml:space="preserve">包号 </w:t>
            </w:r>
          </w:p>
        </w:tc>
        <w:tc>
          <w:tcPr>
            <w:tcW w:w="1950" w:type="dxa"/>
            <w:noWrap w:val="0"/>
            <w:vAlign w:val="center"/>
          </w:tcPr>
          <w:p w14:paraId="21697532">
            <w:pPr>
              <w:adjustRightInd w:val="0"/>
              <w:snapToGrid w:val="0"/>
              <w:jc w:val="center"/>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包名称</w:t>
            </w:r>
          </w:p>
        </w:tc>
        <w:tc>
          <w:tcPr>
            <w:tcW w:w="3323" w:type="dxa"/>
            <w:noWrap w:val="0"/>
            <w:vAlign w:val="center"/>
          </w:tcPr>
          <w:p w14:paraId="769D676D">
            <w:pPr>
              <w:adjustRightInd w:val="0"/>
              <w:snapToGrid w:val="0"/>
              <w:jc w:val="center"/>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标的名称</w:t>
            </w:r>
          </w:p>
        </w:tc>
        <w:tc>
          <w:tcPr>
            <w:tcW w:w="2304" w:type="dxa"/>
            <w:tcBorders>
              <w:left w:val="single" w:color="auto" w:sz="4" w:space="0"/>
            </w:tcBorders>
            <w:noWrap w:val="0"/>
            <w:vAlign w:val="center"/>
          </w:tcPr>
          <w:p w14:paraId="146D3BC3">
            <w:pPr>
              <w:adjustRightInd w:val="0"/>
              <w:snapToGrid w:val="0"/>
              <w:jc w:val="center"/>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简要技术要求</w:t>
            </w:r>
          </w:p>
        </w:tc>
        <w:tc>
          <w:tcPr>
            <w:tcW w:w="1169" w:type="dxa"/>
            <w:tcBorders>
              <w:left w:val="single" w:color="auto" w:sz="4" w:space="0"/>
            </w:tcBorders>
            <w:noWrap w:val="0"/>
            <w:vAlign w:val="center"/>
          </w:tcPr>
          <w:p w14:paraId="14157203">
            <w:pPr>
              <w:adjustRightInd w:val="0"/>
              <w:snapToGrid w:val="0"/>
              <w:jc w:val="center"/>
              <w:rPr>
                <w:rFonts w:ascii="宋体" w:hAnsi="宋体" w:eastAsia="宋体" w:cs="宋体"/>
                <w:b/>
                <w:bCs/>
                <w:color w:val="auto"/>
                <w:kern w:val="0"/>
                <w:szCs w:val="21"/>
              </w:rPr>
            </w:pPr>
            <w:r>
              <w:rPr>
                <w:rFonts w:hint="eastAsia" w:ascii="Times New Roman" w:hAnsi="Times New Roman" w:eastAsia="宋体" w:cs="Times New Roman"/>
                <w:b/>
                <w:bCs/>
                <w:color w:val="auto"/>
                <w:szCs w:val="21"/>
              </w:rPr>
              <w:t>数量</w:t>
            </w:r>
          </w:p>
        </w:tc>
      </w:tr>
      <w:tr w14:paraId="3A8766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51" w:hRule="atLeast"/>
        </w:trPr>
        <w:tc>
          <w:tcPr>
            <w:tcW w:w="513" w:type="dxa"/>
            <w:vMerge w:val="restart"/>
            <w:noWrap w:val="0"/>
            <w:vAlign w:val="center"/>
          </w:tcPr>
          <w:p w14:paraId="11E24804">
            <w:pPr>
              <w:adjustRightInd w:val="0"/>
              <w:snapToGrid w:val="0"/>
              <w:spacing w:before="156" w:beforeLines="50" w:line="360" w:lineRule="auto"/>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950" w:type="dxa"/>
            <w:vMerge w:val="restart"/>
            <w:shd w:val="clear" w:color="auto" w:fill="auto"/>
            <w:noWrap w:val="0"/>
            <w:vAlign w:val="center"/>
          </w:tcPr>
          <w:p w14:paraId="3A98288E">
            <w:pPr>
              <w:adjustRightInd w:val="0"/>
              <w:snapToGrid w:val="0"/>
              <w:spacing w:before="156" w:beforeLines="50" w:line="360" w:lineRule="auto"/>
              <w:jc w:val="center"/>
              <w:rPr>
                <w:rFonts w:ascii="Times New Roman" w:hAnsi="Times New Roman" w:eastAsia="宋体" w:cs="Times New Roman"/>
                <w:color w:val="auto"/>
                <w:szCs w:val="21"/>
              </w:rPr>
            </w:pPr>
            <w:r>
              <w:rPr>
                <w:rFonts w:hint="eastAsia" w:ascii="宋体" w:hAnsi="宋体" w:eastAsia="宋体" w:cs="宋体"/>
                <w:i w:val="0"/>
                <w:iCs w:val="0"/>
                <w:caps w:val="0"/>
                <w:color w:val="auto"/>
                <w:spacing w:val="0"/>
                <w:sz w:val="21"/>
                <w:szCs w:val="21"/>
                <w:highlight w:val="none"/>
                <w:u w:val="none"/>
                <w:lang w:val="zh-CN"/>
              </w:rPr>
              <w:t>辰溪县修溪镇中心卫生院血液透析室建设项目</w:t>
            </w:r>
          </w:p>
        </w:tc>
        <w:tc>
          <w:tcPr>
            <w:tcW w:w="3323" w:type="dxa"/>
            <w:shd w:val="clear" w:color="auto" w:fill="auto"/>
            <w:noWrap w:val="0"/>
            <w:vAlign w:val="center"/>
          </w:tcPr>
          <w:p w14:paraId="45EB69B9">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2"/>
                <w:sz w:val="21"/>
                <w:szCs w:val="21"/>
                <w:u w:val="none"/>
                <w:lang w:val="en-US" w:eastAsia="zh-CN" w:bidi="ar-SA"/>
              </w:rPr>
              <w:t>血液透析机</w:t>
            </w:r>
          </w:p>
        </w:tc>
        <w:tc>
          <w:tcPr>
            <w:tcW w:w="2304" w:type="dxa"/>
            <w:tcBorders>
              <w:left w:val="single" w:color="auto" w:sz="4" w:space="0"/>
            </w:tcBorders>
            <w:noWrap w:val="0"/>
            <w:vAlign w:val="center"/>
          </w:tcPr>
          <w:p w14:paraId="7FB1B86A">
            <w:pPr>
              <w:adjustRightInd w:val="0"/>
              <w:snapToGrid w:val="0"/>
              <w:spacing w:before="156" w:beforeLines="50" w:line="360" w:lineRule="auto"/>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见第二节技术要求</w:t>
            </w:r>
          </w:p>
        </w:tc>
        <w:tc>
          <w:tcPr>
            <w:tcW w:w="1169" w:type="dxa"/>
            <w:tcBorders>
              <w:left w:val="single" w:color="auto" w:sz="4" w:space="0"/>
            </w:tcBorders>
            <w:noWrap w:val="0"/>
            <w:vAlign w:val="center"/>
          </w:tcPr>
          <w:p w14:paraId="0CACFFA0">
            <w:pPr>
              <w:adjustRightInd w:val="0"/>
              <w:snapToGrid w:val="0"/>
              <w:spacing w:before="156" w:beforeLines="50" w:line="360" w:lineRule="auto"/>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8台</w:t>
            </w:r>
          </w:p>
        </w:tc>
      </w:tr>
      <w:tr w14:paraId="14DB74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64" w:hRule="atLeast"/>
        </w:trPr>
        <w:tc>
          <w:tcPr>
            <w:tcW w:w="513" w:type="dxa"/>
            <w:vMerge w:val="continue"/>
            <w:noWrap w:val="0"/>
            <w:vAlign w:val="center"/>
          </w:tcPr>
          <w:p w14:paraId="72DDEF6C">
            <w:pPr>
              <w:adjustRightInd w:val="0"/>
              <w:snapToGrid w:val="0"/>
              <w:spacing w:before="156" w:beforeLines="50" w:line="360" w:lineRule="auto"/>
              <w:jc w:val="center"/>
              <w:rPr>
                <w:rFonts w:ascii="Times New Roman" w:hAnsi="Times New Roman" w:eastAsia="宋体" w:cs="Times New Roman"/>
                <w:color w:val="auto"/>
                <w:szCs w:val="21"/>
              </w:rPr>
            </w:pPr>
          </w:p>
        </w:tc>
        <w:tc>
          <w:tcPr>
            <w:tcW w:w="1950" w:type="dxa"/>
            <w:vMerge w:val="continue"/>
            <w:noWrap w:val="0"/>
            <w:vAlign w:val="center"/>
          </w:tcPr>
          <w:p w14:paraId="77173485">
            <w:pPr>
              <w:adjustRightInd w:val="0"/>
              <w:snapToGrid w:val="0"/>
              <w:spacing w:before="156" w:beforeLines="50" w:line="360" w:lineRule="auto"/>
              <w:jc w:val="center"/>
              <w:rPr>
                <w:rFonts w:ascii="Times New Roman" w:hAnsi="Times New Roman" w:eastAsia="宋体" w:cs="Times New Roman"/>
                <w:color w:val="auto"/>
                <w:szCs w:val="21"/>
              </w:rPr>
            </w:pPr>
          </w:p>
        </w:tc>
        <w:tc>
          <w:tcPr>
            <w:tcW w:w="3323" w:type="dxa"/>
            <w:shd w:val="clear" w:color="auto" w:fill="auto"/>
            <w:noWrap w:val="0"/>
            <w:vAlign w:val="center"/>
          </w:tcPr>
          <w:p w14:paraId="52327728">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zh-CN" w:eastAsia="zh-CN" w:bidi="ar-SA"/>
              </w:rPr>
            </w:pPr>
            <w:r>
              <w:rPr>
                <w:rFonts w:hint="eastAsia" w:ascii="宋体" w:hAnsi="宋体" w:cs="宋体"/>
                <w:i w:val="0"/>
                <w:iCs w:val="0"/>
                <w:color w:val="auto"/>
                <w:kern w:val="2"/>
                <w:sz w:val="21"/>
                <w:szCs w:val="21"/>
                <w:u w:val="none"/>
                <w:lang w:val="zh-CN" w:eastAsia="zh-CN" w:bidi="ar-SA"/>
              </w:rPr>
              <w:t>血液透析用制水设备</w:t>
            </w:r>
          </w:p>
        </w:tc>
        <w:tc>
          <w:tcPr>
            <w:tcW w:w="2304" w:type="dxa"/>
            <w:tcBorders>
              <w:left w:val="single" w:color="auto" w:sz="4" w:space="0"/>
            </w:tcBorders>
            <w:noWrap w:val="0"/>
            <w:vAlign w:val="center"/>
          </w:tcPr>
          <w:p w14:paraId="1A1AAF08">
            <w:pPr>
              <w:adjustRightInd w:val="0"/>
              <w:snapToGrid w:val="0"/>
              <w:spacing w:before="156" w:beforeLines="50" w:line="360" w:lineRule="auto"/>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见第二节技术要求</w:t>
            </w:r>
          </w:p>
        </w:tc>
        <w:tc>
          <w:tcPr>
            <w:tcW w:w="1169" w:type="dxa"/>
            <w:tcBorders>
              <w:left w:val="single" w:color="auto" w:sz="4" w:space="0"/>
            </w:tcBorders>
            <w:noWrap w:val="0"/>
            <w:vAlign w:val="center"/>
          </w:tcPr>
          <w:p w14:paraId="3FFF5B1F">
            <w:pPr>
              <w:adjustRightInd w:val="0"/>
              <w:snapToGrid w:val="0"/>
              <w:spacing w:before="156" w:beforeLines="50" w:line="360" w:lineRule="auto"/>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1套</w:t>
            </w:r>
          </w:p>
        </w:tc>
      </w:tr>
      <w:tr w14:paraId="7CB5E8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6" w:hRule="atLeast"/>
        </w:trPr>
        <w:tc>
          <w:tcPr>
            <w:tcW w:w="513" w:type="dxa"/>
            <w:vMerge w:val="continue"/>
            <w:noWrap w:val="0"/>
            <w:vAlign w:val="center"/>
          </w:tcPr>
          <w:p w14:paraId="3A9E3E0C">
            <w:pPr>
              <w:adjustRightInd w:val="0"/>
              <w:snapToGrid w:val="0"/>
              <w:spacing w:before="156" w:beforeLines="50" w:line="360" w:lineRule="auto"/>
              <w:jc w:val="center"/>
              <w:rPr>
                <w:rFonts w:ascii="Times New Roman" w:hAnsi="Times New Roman" w:eastAsia="宋体" w:cs="Times New Roman"/>
                <w:color w:val="auto"/>
                <w:szCs w:val="21"/>
              </w:rPr>
            </w:pPr>
          </w:p>
        </w:tc>
        <w:tc>
          <w:tcPr>
            <w:tcW w:w="1950" w:type="dxa"/>
            <w:vMerge w:val="continue"/>
            <w:noWrap w:val="0"/>
            <w:vAlign w:val="center"/>
          </w:tcPr>
          <w:p w14:paraId="0C898283">
            <w:pPr>
              <w:adjustRightInd w:val="0"/>
              <w:snapToGrid w:val="0"/>
              <w:spacing w:before="156" w:beforeLines="50" w:line="360" w:lineRule="auto"/>
              <w:jc w:val="center"/>
              <w:rPr>
                <w:rFonts w:ascii="Times New Roman" w:hAnsi="Times New Roman" w:eastAsia="宋体" w:cs="Times New Roman"/>
                <w:color w:val="auto"/>
                <w:szCs w:val="21"/>
              </w:rPr>
            </w:pPr>
          </w:p>
        </w:tc>
        <w:tc>
          <w:tcPr>
            <w:tcW w:w="3323" w:type="dxa"/>
            <w:shd w:val="clear" w:color="auto" w:fill="auto"/>
            <w:noWrap w:val="0"/>
            <w:vAlign w:val="center"/>
          </w:tcPr>
          <w:p w14:paraId="6463799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zh-CN" w:eastAsia="zh-CN" w:bidi="ar"/>
              </w:rPr>
            </w:pPr>
            <w:r>
              <w:rPr>
                <w:rFonts w:hint="eastAsia" w:ascii="宋体" w:hAnsi="宋体" w:eastAsia="宋体" w:cs="宋体"/>
                <w:i w:val="0"/>
                <w:iCs w:val="0"/>
                <w:color w:val="auto"/>
                <w:kern w:val="0"/>
                <w:sz w:val="21"/>
                <w:szCs w:val="21"/>
                <w:u w:val="none"/>
                <w:lang w:val="zh-CN" w:eastAsia="zh-CN" w:bidi="ar"/>
              </w:rPr>
              <w:t>血液透析滤过机</w:t>
            </w:r>
          </w:p>
        </w:tc>
        <w:tc>
          <w:tcPr>
            <w:tcW w:w="2304" w:type="dxa"/>
            <w:tcBorders>
              <w:left w:val="single" w:color="auto" w:sz="4" w:space="0"/>
            </w:tcBorders>
            <w:noWrap w:val="0"/>
            <w:vAlign w:val="center"/>
          </w:tcPr>
          <w:p w14:paraId="4B87A89F">
            <w:pPr>
              <w:adjustRightInd w:val="0"/>
              <w:snapToGrid w:val="0"/>
              <w:spacing w:before="156" w:beforeLines="50" w:line="360" w:lineRule="auto"/>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见第二节技术要求</w:t>
            </w:r>
          </w:p>
        </w:tc>
        <w:tc>
          <w:tcPr>
            <w:tcW w:w="1169" w:type="dxa"/>
            <w:tcBorders>
              <w:left w:val="single" w:color="auto" w:sz="4" w:space="0"/>
            </w:tcBorders>
            <w:noWrap w:val="0"/>
            <w:vAlign w:val="center"/>
          </w:tcPr>
          <w:p w14:paraId="0C73D8D8">
            <w:pPr>
              <w:adjustRightInd w:val="0"/>
              <w:snapToGrid w:val="0"/>
              <w:spacing w:before="156" w:beforeLines="50" w:line="360" w:lineRule="auto"/>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1台</w:t>
            </w:r>
          </w:p>
        </w:tc>
      </w:tr>
    </w:tbl>
    <w:p w14:paraId="12478B7D">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注：1</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“包”为最小合同单位。每“包”内容应细化到具体的标的。</w:t>
      </w:r>
    </w:p>
    <w:p w14:paraId="761DE770">
      <w:pPr>
        <w:adjustRightInd w:val="0"/>
        <w:snapToGrid w:val="0"/>
        <w:spacing w:before="156" w:beforeLines="50" w:line="360" w:lineRule="auto"/>
        <w:ind w:firstLine="420" w:firstLineChars="200"/>
        <w:rPr>
          <w:rFonts w:ascii="宋体" w:hAnsi="宋体" w:eastAsia="宋体" w:cs="宋体"/>
          <w:color w:val="auto"/>
          <w:kern w:val="0"/>
          <w:szCs w:val="21"/>
        </w:rPr>
      </w:pPr>
      <w:r>
        <w:rPr>
          <w:rFonts w:hint="eastAsia" w:ascii="宋体" w:hAnsi="宋体" w:eastAsia="宋体" w:cs="Times New Roman"/>
          <w:color w:val="auto"/>
          <w:szCs w:val="21"/>
        </w:rPr>
        <w:t>2</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货物的主要技术参数或规格：</w:t>
      </w:r>
      <w:r>
        <w:rPr>
          <w:rFonts w:ascii="宋体" w:hAnsi="宋体" w:eastAsia="宋体" w:cs="宋体"/>
          <w:color w:val="auto"/>
          <w:kern w:val="0"/>
          <w:szCs w:val="21"/>
        </w:rPr>
        <w:t>详见“技术要求”中的具体技术参数</w:t>
      </w:r>
      <w:r>
        <w:rPr>
          <w:rFonts w:hint="eastAsia" w:ascii="宋体" w:hAnsi="宋体" w:eastAsia="宋体" w:cs="宋体"/>
          <w:color w:val="auto"/>
          <w:kern w:val="0"/>
          <w:szCs w:val="21"/>
        </w:rPr>
        <w:t>。</w:t>
      </w:r>
    </w:p>
    <w:p w14:paraId="658768EA">
      <w:pPr>
        <w:spacing w:line="360" w:lineRule="auto"/>
        <w:ind w:firstLine="420" w:firstLineChars="200"/>
        <w:rPr>
          <w:rFonts w:hint="eastAsia" w:ascii="宋体" w:hAnsi="宋体" w:eastAsia="宋体" w:cs="宋体"/>
          <w:b/>
          <w:bCs/>
          <w:snapToGrid w:val="0"/>
          <w:color w:val="auto"/>
          <w:spacing w:val="-3"/>
          <w:kern w:val="0"/>
          <w:sz w:val="24"/>
          <w:szCs w:val="24"/>
          <w:lang w:val="en-US" w:eastAsia="zh-CN" w:bidi="ar-SA"/>
        </w:rPr>
      </w:pPr>
      <w:r>
        <w:rPr>
          <w:rFonts w:hint="eastAsia" w:ascii="宋体" w:hAnsi="宋体" w:eastAsia="宋体" w:cs="宋体"/>
          <w:bCs/>
          <w:color w:val="auto"/>
          <w:kern w:val="0"/>
          <w:szCs w:val="21"/>
        </w:rPr>
        <w:t>3</w:t>
      </w:r>
      <w:r>
        <w:rPr>
          <w:rFonts w:hint="eastAsia" w:ascii="宋体" w:hAnsi="宋体" w:eastAsia="宋体" w:cs="宋体"/>
          <w:bCs/>
          <w:color w:val="auto"/>
          <w:kern w:val="0"/>
          <w:szCs w:val="21"/>
          <w:lang w:val="en-US" w:eastAsia="zh-CN"/>
        </w:rPr>
        <w:t>.</w:t>
      </w:r>
      <w:r>
        <w:rPr>
          <w:rFonts w:hint="eastAsia" w:ascii="宋体" w:hAnsi="宋体" w:eastAsia="宋体" w:cs="宋体"/>
          <w:bCs/>
          <w:color w:val="auto"/>
          <w:kern w:val="0"/>
          <w:szCs w:val="21"/>
        </w:rPr>
        <w:t>供应商应</w:t>
      </w:r>
      <w:r>
        <w:rPr>
          <w:rFonts w:hint="eastAsia" w:ascii="宋体" w:hAnsi="宋体" w:eastAsia="宋体" w:cs="宋体"/>
          <w:color w:val="auto"/>
          <w:kern w:val="0"/>
          <w:szCs w:val="21"/>
        </w:rPr>
        <w:t>在响应文件</w:t>
      </w:r>
      <w:r>
        <w:rPr>
          <w:rFonts w:hint="eastAsia" w:ascii="华文中宋" w:hAnsi="华文中宋" w:eastAsia="华文中宋" w:cs="宋体"/>
          <w:color w:val="auto"/>
          <w:kern w:val="0"/>
          <w:szCs w:val="21"/>
        </w:rPr>
        <w:t>“</w:t>
      </w:r>
      <w:r>
        <w:rPr>
          <w:rFonts w:hint="eastAsia" w:ascii="宋体" w:hAnsi="宋体" w:eastAsia="宋体" w:cs="宋体"/>
          <w:color w:val="auto"/>
          <w:kern w:val="0"/>
          <w:szCs w:val="21"/>
        </w:rPr>
        <w:t>分项报价明细表</w:t>
      </w:r>
      <w:r>
        <w:rPr>
          <w:rFonts w:hint="eastAsia" w:ascii="华文中宋" w:hAnsi="华文中宋" w:eastAsia="华文中宋" w:cs="宋体"/>
          <w:color w:val="auto"/>
          <w:kern w:val="0"/>
          <w:szCs w:val="21"/>
        </w:rPr>
        <w:t>”</w:t>
      </w:r>
      <w:r>
        <w:rPr>
          <w:rFonts w:hint="eastAsia" w:ascii="宋体" w:hAnsi="宋体" w:eastAsia="宋体" w:cs="宋体"/>
          <w:color w:val="auto"/>
          <w:kern w:val="0"/>
          <w:szCs w:val="21"/>
        </w:rPr>
        <w:t>中按</w:t>
      </w:r>
      <w:r>
        <w:rPr>
          <w:rFonts w:hint="eastAsia" w:ascii="宋体" w:hAnsi="宋体" w:eastAsia="宋体" w:cs="Times New Roman"/>
          <w:color w:val="auto"/>
          <w:szCs w:val="21"/>
        </w:rPr>
        <w:t>标的名称</w:t>
      </w:r>
      <w:r>
        <w:rPr>
          <w:rFonts w:hint="eastAsia" w:ascii="宋体" w:hAnsi="宋体" w:eastAsia="宋体" w:cs="宋体"/>
          <w:color w:val="auto"/>
          <w:kern w:val="0"/>
          <w:szCs w:val="21"/>
        </w:rPr>
        <w:t>顺序逐项填写，且每个标的均需按谈判文件规定报价。如有缺项、漏项，其</w:t>
      </w:r>
      <w:r>
        <w:rPr>
          <w:rFonts w:hint="eastAsia" w:ascii="宋体" w:hAnsi="宋体" w:eastAsia="宋体" w:cs="宋体"/>
          <w:b/>
          <w:color w:val="auto"/>
          <w:kern w:val="0"/>
          <w:szCs w:val="21"/>
        </w:rPr>
        <w:t>响应无效</w:t>
      </w:r>
      <w:r>
        <w:rPr>
          <w:rFonts w:hint="eastAsia" w:ascii="宋体" w:hAnsi="宋体" w:eastAsia="宋体" w:cs="宋体"/>
          <w:color w:val="auto"/>
          <w:kern w:val="0"/>
          <w:szCs w:val="21"/>
        </w:rPr>
        <w:t>。</w:t>
      </w:r>
    </w:p>
    <w:p w14:paraId="028480DF">
      <w:pPr>
        <w:rPr>
          <w:rFonts w:hint="eastAsia" w:ascii="宋体" w:hAnsi="宋体" w:eastAsia="宋体" w:cs="宋体"/>
          <w:b/>
          <w:bCs/>
          <w:snapToGrid w:val="0"/>
          <w:color w:val="auto"/>
          <w:spacing w:val="-3"/>
          <w:kern w:val="0"/>
          <w:sz w:val="24"/>
          <w:szCs w:val="24"/>
          <w:lang w:val="en-US" w:eastAsia="zh-CN" w:bidi="ar-SA"/>
        </w:rPr>
      </w:pPr>
      <w:r>
        <w:rPr>
          <w:rFonts w:hint="eastAsia" w:ascii="宋体" w:hAnsi="宋体" w:eastAsia="宋体" w:cs="宋体"/>
          <w:b/>
          <w:bCs/>
          <w:snapToGrid w:val="0"/>
          <w:color w:val="auto"/>
          <w:spacing w:val="-3"/>
          <w:kern w:val="0"/>
          <w:sz w:val="24"/>
          <w:szCs w:val="24"/>
          <w:lang w:val="en-US" w:eastAsia="zh-CN" w:bidi="ar-SA"/>
        </w:rPr>
        <w:br w:type="page"/>
      </w:r>
    </w:p>
    <w:p w14:paraId="4407B994">
      <w:pPr>
        <w:jc w:val="center"/>
        <w:rPr>
          <w:rFonts w:hint="eastAsia" w:ascii="Times New Roman" w:hAnsi="Times New Roman" w:eastAsia="宋体" w:cs="Times New Roman"/>
          <w:b/>
          <w:bCs/>
          <w:sz w:val="28"/>
          <w:szCs w:val="28"/>
          <w:lang w:val="en-US" w:eastAsia="zh-CN"/>
        </w:rPr>
      </w:pPr>
      <w:r>
        <w:rPr>
          <w:rFonts w:hint="eastAsia" w:ascii="宋体" w:hAnsi="宋体" w:eastAsia="宋体" w:cs="宋体"/>
          <w:b/>
          <w:bCs/>
          <w:color w:val="auto"/>
          <w:sz w:val="32"/>
          <w:szCs w:val="32"/>
          <w:lang w:val="en-US" w:eastAsia="zh-CN"/>
        </w:rPr>
        <w:t>第二节   技术要求</w:t>
      </w:r>
    </w:p>
    <w:p w14:paraId="5575058E">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28"/>
          <w:szCs w:val="28"/>
          <w:lang w:val="en-US" w:eastAsia="zh-CN"/>
        </w:rPr>
        <w:t>（一）</w:t>
      </w:r>
      <w:r>
        <w:rPr>
          <w:rFonts w:ascii="Times New Roman" w:hAnsi="Times New Roman" w:eastAsia="宋体" w:cs="Times New Roman"/>
          <w:b/>
          <w:bCs/>
          <w:sz w:val="28"/>
          <w:szCs w:val="28"/>
        </w:rPr>
        <w:t>血液透析滤过机</w:t>
      </w:r>
    </w:p>
    <w:p w14:paraId="4FA6F6B5">
      <w:pPr>
        <w:adjustRightInd w:val="0"/>
        <w:snapToGrid w:val="0"/>
        <w:spacing w:line="288" w:lineRule="auto"/>
        <w:jc w:val="center"/>
        <w:rPr>
          <w:rFonts w:hint="eastAsia" w:ascii="宋体" w:hAnsi="宋体" w:eastAsia="宋体" w:cs="Times New Roman"/>
          <w:b/>
          <w:bCs/>
          <w:sz w:val="24"/>
        </w:rPr>
      </w:pPr>
    </w:p>
    <w:p w14:paraId="713D289E">
      <w:pPr>
        <w:adjustRightInd w:val="0"/>
        <w:snapToGrid w:val="0"/>
        <w:spacing w:line="360" w:lineRule="auto"/>
        <w:rPr>
          <w:rFonts w:hint="eastAsia" w:ascii="宋体" w:hAnsi="宋体" w:eastAsia="宋体" w:cs="Times New Roman"/>
          <w:sz w:val="24"/>
        </w:rPr>
      </w:pPr>
      <w:r>
        <w:rPr>
          <w:rFonts w:hint="eastAsia" w:ascii="宋体" w:hAnsi="宋体" w:eastAsia="宋体" w:cs="Times New Roman"/>
          <w:sz w:val="24"/>
        </w:rPr>
        <w:t>一、主要功能：</w:t>
      </w:r>
    </w:p>
    <w:p w14:paraId="4E3D6879">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w:t>
      </w:r>
      <w:r>
        <w:rPr>
          <w:rFonts w:hint="eastAsia" w:ascii="宋体" w:hAnsi="宋体" w:eastAsia="宋体" w:cs="Times New Roman"/>
          <w:sz w:val="24"/>
        </w:rPr>
        <w:t>屏幕尺寸</w:t>
      </w:r>
      <w:r>
        <w:rPr>
          <w:rFonts w:hint="eastAsia" w:ascii="宋体" w:hAnsi="宋体" w:eastAsia="宋体" w:cs="宋体"/>
          <w:sz w:val="24"/>
        </w:rPr>
        <w:t>≥15英寸，全触摸屏</w:t>
      </w:r>
      <w:r>
        <w:rPr>
          <w:rFonts w:hint="eastAsia" w:ascii="宋体" w:hAnsi="宋体" w:eastAsia="宋体" w:cs="宋体"/>
          <w:sz w:val="24"/>
          <w:lang w:eastAsia="zh-CN"/>
        </w:rPr>
        <w:t>，</w:t>
      </w:r>
      <w:r>
        <w:rPr>
          <w:rFonts w:hint="eastAsia" w:ascii="Times New Roman" w:hAnsi="Times New Roman" w:eastAsia="宋体" w:cs="Times New Roman"/>
          <w:sz w:val="24"/>
        </w:rPr>
        <w:t>中文操作界面</w:t>
      </w:r>
      <w:r>
        <w:rPr>
          <w:rFonts w:hint="eastAsia" w:ascii="宋体" w:hAnsi="宋体" w:eastAsia="宋体" w:cs="宋体"/>
          <w:sz w:val="24"/>
        </w:rPr>
        <w:t>；</w:t>
      </w:r>
    </w:p>
    <w:p w14:paraId="59B945C7">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2、</w:t>
      </w:r>
      <w:r>
        <w:rPr>
          <w:rFonts w:hint="eastAsia" w:ascii="宋体" w:hAnsi="宋体" w:eastAsia="宋体" w:cs="宋体"/>
          <w:sz w:val="24"/>
        </w:rPr>
        <w:t>屏幕旋转≥180°，360°全方位声光报警；</w:t>
      </w:r>
    </w:p>
    <w:p w14:paraId="5C5A8A02">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rPr>
        <w:t>可在线生成冲洗液，无需生理盐水预冲，可实现预冲液联机排放，无需废液袋；</w:t>
      </w:r>
    </w:p>
    <w:p w14:paraId="1C76EB8C">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4、</w:t>
      </w:r>
      <w:r>
        <w:rPr>
          <w:rFonts w:hint="eastAsia" w:ascii="宋体" w:hAnsi="宋体" w:eastAsia="宋体" w:cs="宋体"/>
          <w:sz w:val="24"/>
        </w:rPr>
        <w:t>可在线生成置换液，并可实现前、后稀释治疗模式；</w:t>
      </w:r>
    </w:p>
    <w:p w14:paraId="1E5B3F28">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5、</w:t>
      </w:r>
      <w:r>
        <w:rPr>
          <w:rFonts w:hint="eastAsia" w:ascii="宋体" w:hAnsi="宋体" w:eastAsia="宋体" w:cs="宋体"/>
          <w:sz w:val="24"/>
        </w:rPr>
        <w:t>满足科室多种供配液配置需求：可根据临床需求选择配置透析浓缩液或B联机干粉桶不同供配液模式；</w:t>
      </w:r>
    </w:p>
    <w:p w14:paraId="4F7A1B6E">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6、</w:t>
      </w:r>
      <w:r>
        <w:rPr>
          <w:rFonts w:hint="eastAsia" w:ascii="宋体" w:hAnsi="宋体" w:eastAsia="宋体" w:cs="宋体"/>
          <w:sz w:val="24"/>
        </w:rPr>
        <w:t>在病人未上机前，具有“省液模式”；</w:t>
      </w:r>
    </w:p>
    <w:p w14:paraId="17095269">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7、</w:t>
      </w:r>
      <w:r>
        <w:rPr>
          <w:rFonts w:hint="eastAsia" w:ascii="宋体" w:hAnsi="宋体" w:eastAsia="宋体" w:cs="宋体"/>
          <w:sz w:val="24"/>
        </w:rPr>
        <w:t>采用平衡腔超滤平衡系统；</w:t>
      </w:r>
    </w:p>
    <w:p w14:paraId="02897F22">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8、</w:t>
      </w:r>
      <w:r>
        <w:rPr>
          <w:rFonts w:hint="eastAsia" w:ascii="宋体" w:hAnsi="宋体" w:eastAsia="宋体" w:cs="宋体"/>
          <w:sz w:val="24"/>
        </w:rPr>
        <w:t>具有血液探测器传感器，具有引血及回血的提示；</w:t>
      </w:r>
    </w:p>
    <w:p w14:paraId="3B027FD8">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9、</w:t>
      </w:r>
      <w:r>
        <w:rPr>
          <w:rFonts w:hint="eastAsia" w:ascii="宋体" w:hAnsi="宋体" w:eastAsia="宋体" w:cs="宋体"/>
          <w:sz w:val="24"/>
        </w:rPr>
        <w:t>配液方式：先吸B液后吸A液，B液浓度误差更小，同时具有电导度反馈调节系统，透析液浓度和B液浓度可单独监测并控制，可对酸中毒患者有针对性治疗；</w:t>
      </w:r>
    </w:p>
    <w:p w14:paraId="7FC552FA">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10、</w:t>
      </w:r>
      <w:r>
        <w:rPr>
          <w:rFonts w:hint="eastAsia" w:ascii="宋体" w:hAnsi="宋体" w:eastAsia="宋体" w:cs="宋体"/>
          <w:sz w:val="24"/>
        </w:rPr>
        <w:t>具有个体化透析治疗提供更多方案，可提供六大曲线设置功能，超滤曲线≥8条、Na曲线≥8条、以及碳酸氢根曲线、透析液流量曲线、透析液温度曲线、肝素曲线个性化设置；</w:t>
      </w:r>
    </w:p>
    <w:p w14:paraId="5B8B1DCB">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11、</w:t>
      </w:r>
      <w:r>
        <w:rPr>
          <w:rFonts w:hint="eastAsia" w:ascii="宋体" w:hAnsi="宋体" w:eastAsia="宋体" w:cs="宋体"/>
          <w:sz w:val="24"/>
          <w:lang w:val="en-US" w:eastAsia="zh-CN"/>
        </w:rPr>
        <w:t>具有</w:t>
      </w:r>
      <w:r>
        <w:rPr>
          <w:rFonts w:hint="eastAsia" w:ascii="宋体" w:hAnsi="宋体" w:eastAsia="宋体" w:cs="宋体"/>
          <w:sz w:val="24"/>
        </w:rPr>
        <w:t>在线监测Kt/V功能；</w:t>
      </w:r>
    </w:p>
    <w:p w14:paraId="3D29507A">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12、</w:t>
      </w:r>
      <w:r>
        <w:rPr>
          <w:rFonts w:hint="eastAsia" w:ascii="宋体" w:hAnsi="宋体" w:eastAsia="宋体" w:cs="宋体"/>
          <w:sz w:val="24"/>
          <w:lang w:val="en-US" w:eastAsia="zh-CN"/>
        </w:rPr>
        <w:t>具有</w:t>
      </w:r>
      <w:r>
        <w:rPr>
          <w:rFonts w:hint="eastAsia" w:ascii="宋体" w:hAnsi="宋体" w:eastAsia="宋体" w:cs="宋体"/>
          <w:sz w:val="24"/>
        </w:rPr>
        <w:t>无创血压监测功能，自动监测和记录患者透析期间的心律、血压变化；</w:t>
      </w:r>
    </w:p>
    <w:p w14:paraId="096B2284">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13、</w:t>
      </w:r>
      <w:r>
        <w:rPr>
          <w:rFonts w:hint="eastAsia" w:ascii="宋体" w:hAnsi="宋体" w:eastAsia="宋体" w:cs="宋体"/>
          <w:sz w:val="24"/>
          <w:lang w:val="en-US" w:eastAsia="zh-CN"/>
        </w:rPr>
        <w:t>具有</w:t>
      </w:r>
      <w:r>
        <w:rPr>
          <w:rFonts w:hint="eastAsia" w:ascii="宋体" w:hAnsi="宋体" w:eastAsia="宋体" w:cs="宋体"/>
          <w:sz w:val="24"/>
        </w:rPr>
        <w:t>血氧饱和度和脉率监测功能；</w:t>
      </w:r>
      <w:r>
        <w:rPr>
          <w:rFonts w:ascii="Times New Roman" w:hAnsi="Times New Roman" w:eastAsia="宋体" w:cs="Times New Roman"/>
          <w:b/>
          <w:bCs/>
          <w:sz w:val="24"/>
        </w:rPr>
        <w:t>（该参数提供</w:t>
      </w:r>
      <w:r>
        <w:rPr>
          <w:rFonts w:hint="eastAsia" w:ascii="Times New Roman" w:hAnsi="Times New Roman" w:eastAsia="宋体" w:cs="Times New Roman"/>
          <w:b/>
          <w:bCs/>
          <w:sz w:val="24"/>
        </w:rPr>
        <w:t>技术白皮书或产品彩页或第三方检测报告或产品</w:t>
      </w:r>
      <w:r>
        <w:rPr>
          <w:rFonts w:ascii="Times New Roman" w:hAnsi="Times New Roman" w:eastAsia="宋体" w:cs="Times New Roman"/>
          <w:b/>
          <w:bCs/>
          <w:sz w:val="24"/>
        </w:rPr>
        <w:t>说明书等</w:t>
      </w:r>
      <w:r>
        <w:rPr>
          <w:rFonts w:hint="eastAsia" w:ascii="Times New Roman" w:hAnsi="Times New Roman" w:eastAsia="宋体" w:cs="Times New Roman"/>
          <w:b/>
          <w:bCs/>
          <w:sz w:val="24"/>
          <w:lang w:val="en-US" w:eastAsia="zh-CN"/>
        </w:rPr>
        <w:t>有效的证明材料复印件并加盖投标人公章</w:t>
      </w:r>
      <w:r>
        <w:rPr>
          <w:rFonts w:ascii="Times New Roman" w:hAnsi="Times New Roman" w:eastAsia="宋体" w:cs="Times New Roman"/>
          <w:b/>
          <w:bCs/>
          <w:sz w:val="24"/>
        </w:rPr>
        <w:t>）</w:t>
      </w:r>
    </w:p>
    <w:p w14:paraId="6E01187B">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14、</w:t>
      </w:r>
      <w:r>
        <w:rPr>
          <w:rFonts w:hint="eastAsia" w:ascii="宋体" w:hAnsi="宋体" w:eastAsia="宋体" w:cs="宋体"/>
          <w:sz w:val="24"/>
        </w:rPr>
        <w:t>具有趋势图观察功能，可提供超滤和钠离子趋势图、动静脉压力趋势图、血压趋势图观察功能；</w:t>
      </w:r>
    </w:p>
    <w:p w14:paraId="6590C68A">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15、</w:t>
      </w:r>
      <w:r>
        <w:rPr>
          <w:rFonts w:hint="eastAsia" w:ascii="宋体" w:hAnsi="宋体" w:eastAsia="宋体" w:cs="宋体"/>
          <w:sz w:val="24"/>
        </w:rPr>
        <w:t>具有一键应急功能，出现特殊情况，可实现一键自动旁路、自动停止超滤、自动调节血流量≤80ml/min、自动血压测量、自动推注；</w:t>
      </w:r>
      <w:r>
        <w:rPr>
          <w:rFonts w:ascii="Times New Roman" w:hAnsi="Times New Roman" w:eastAsia="宋体" w:cs="Times New Roman"/>
          <w:b/>
          <w:bCs/>
          <w:sz w:val="24"/>
        </w:rPr>
        <w:t>（该参数提供</w:t>
      </w:r>
      <w:r>
        <w:rPr>
          <w:rFonts w:hint="eastAsia" w:ascii="Times New Roman" w:hAnsi="Times New Roman" w:eastAsia="宋体" w:cs="Times New Roman"/>
          <w:b/>
          <w:bCs/>
          <w:sz w:val="24"/>
        </w:rPr>
        <w:t>技术白皮书或产品彩页或第三方检测报告或产品</w:t>
      </w:r>
      <w:r>
        <w:rPr>
          <w:rFonts w:ascii="Times New Roman" w:hAnsi="Times New Roman" w:eastAsia="宋体" w:cs="Times New Roman"/>
          <w:b/>
          <w:bCs/>
          <w:sz w:val="24"/>
        </w:rPr>
        <w:t>说明书等</w:t>
      </w:r>
      <w:r>
        <w:rPr>
          <w:rFonts w:hint="eastAsia" w:ascii="Times New Roman" w:hAnsi="Times New Roman" w:eastAsia="宋体" w:cs="Times New Roman"/>
          <w:b/>
          <w:bCs/>
          <w:sz w:val="24"/>
          <w:lang w:val="en-US" w:eastAsia="zh-CN"/>
        </w:rPr>
        <w:t>有效的证明材料复印件并加盖投标人公章</w:t>
      </w:r>
      <w:r>
        <w:rPr>
          <w:rFonts w:ascii="Times New Roman" w:hAnsi="Times New Roman" w:eastAsia="宋体" w:cs="Times New Roman"/>
          <w:b/>
          <w:bCs/>
          <w:sz w:val="24"/>
        </w:rPr>
        <w:t>）</w:t>
      </w:r>
    </w:p>
    <w:p w14:paraId="4D410852">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16、</w:t>
      </w:r>
      <w:r>
        <w:rPr>
          <w:rFonts w:hint="eastAsia" w:ascii="宋体" w:hAnsi="宋体" w:eastAsia="宋体" w:cs="宋体"/>
          <w:sz w:val="24"/>
        </w:rPr>
        <w:t>具有闹钟功能，可进行单次或周期性提醒；</w:t>
      </w:r>
    </w:p>
    <w:p w14:paraId="2A8B7DD5">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17、</w:t>
      </w:r>
      <w:r>
        <w:rPr>
          <w:rFonts w:hint="eastAsia" w:ascii="宋体" w:hAnsi="宋体" w:eastAsia="宋体" w:cs="宋体"/>
          <w:sz w:val="24"/>
        </w:rPr>
        <w:t>具有透析日志功能，存储≥200次治疗数据，方便随时查看；</w:t>
      </w:r>
    </w:p>
    <w:p w14:paraId="237BD009">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18、</w:t>
      </w:r>
      <w:r>
        <w:rPr>
          <w:rFonts w:hint="eastAsia" w:ascii="宋体" w:hAnsi="宋体" w:eastAsia="宋体" w:cs="宋体"/>
          <w:sz w:val="24"/>
        </w:rPr>
        <w:t>配备大容量电池，可保证机器在停电断电状态下连续工作</w:t>
      </w:r>
      <w:r>
        <w:rPr>
          <w:rFonts w:hint="eastAsia" w:ascii="宋体" w:hAnsi="宋体" w:eastAsia="宋体" w:cs="宋体"/>
          <w:sz w:val="24"/>
          <w:lang w:val="en-US" w:eastAsia="zh-CN"/>
        </w:rPr>
        <w:t>时间＞</w:t>
      </w:r>
      <w:r>
        <w:rPr>
          <w:rFonts w:hint="eastAsia" w:ascii="宋体" w:hAnsi="宋体" w:eastAsia="宋体" w:cs="宋体"/>
          <w:sz w:val="24"/>
        </w:rPr>
        <w:t>30分钟；</w:t>
      </w:r>
    </w:p>
    <w:p w14:paraId="30EA56BA">
      <w:pPr>
        <w:numPr>
          <w:ilvl w:val="0"/>
          <w:numId w:val="0"/>
        </w:numPr>
        <w:tabs>
          <w:tab w:val="left" w:pos="709"/>
        </w:tabs>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kern w:val="2"/>
          <w:sz w:val="24"/>
          <w:szCs w:val="24"/>
          <w:lang w:val="en-US" w:eastAsia="zh-CN" w:bidi="ar-SA"/>
        </w:rPr>
        <w:t>19、</w:t>
      </w:r>
      <w:r>
        <w:rPr>
          <w:rFonts w:hint="eastAsia" w:ascii="宋体" w:hAnsi="宋体" w:eastAsia="宋体" w:cs="宋体"/>
          <w:sz w:val="24"/>
        </w:rPr>
        <w:t>水路、电路多层分离结构，方便设备后期维护；</w:t>
      </w:r>
    </w:p>
    <w:p w14:paraId="325AE6D2">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20、</w:t>
      </w:r>
      <w:r>
        <w:rPr>
          <w:rFonts w:hint="eastAsia" w:ascii="宋体" w:hAnsi="宋体" w:eastAsia="宋体" w:cs="宋体"/>
          <w:sz w:val="24"/>
        </w:rPr>
        <w:t>联网功能：负责设备与医院信息系统的数据互联互通;</w:t>
      </w:r>
    </w:p>
    <w:p w14:paraId="07C68E11">
      <w:pPr>
        <w:numPr>
          <w:ilvl w:val="0"/>
          <w:numId w:val="0"/>
        </w:numPr>
        <w:tabs>
          <w:tab w:val="left"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21、</w:t>
      </w:r>
      <w:r>
        <w:rPr>
          <w:rFonts w:hint="eastAsia" w:ascii="宋体" w:hAnsi="宋体" w:eastAsia="宋体" w:cs="宋体"/>
          <w:sz w:val="24"/>
        </w:rPr>
        <w:t>设备耗材开放式，可满足多种品牌耗材使用；</w:t>
      </w:r>
    </w:p>
    <w:p w14:paraId="5DBBCEE1">
      <w:pPr>
        <w:numPr>
          <w:ilvl w:val="0"/>
          <w:numId w:val="0"/>
        </w:numPr>
        <w:tabs>
          <w:tab w:val="left" w:pos="709"/>
        </w:tabs>
        <w:adjustRightInd w:val="0"/>
        <w:snapToGrid w:val="0"/>
        <w:spacing w:line="360" w:lineRule="auto"/>
        <w:ind w:firstLine="480" w:firstLineChars="200"/>
        <w:rPr>
          <w:rFonts w:hint="eastAsia" w:ascii="宋体" w:hAnsi="宋体" w:eastAsia="宋体" w:cs="Times New Roman"/>
          <w:sz w:val="24"/>
        </w:rPr>
      </w:pPr>
      <w:r>
        <w:rPr>
          <w:rFonts w:hint="eastAsia" w:ascii="宋体" w:hAnsi="宋体" w:eastAsia="宋体" w:cs="Times New Roman"/>
          <w:kern w:val="2"/>
          <w:sz w:val="24"/>
          <w:szCs w:val="24"/>
          <w:lang w:val="en-US" w:eastAsia="zh-CN" w:bidi="ar-SA"/>
        </w:rPr>
        <w:t>22、</w:t>
      </w:r>
      <w:r>
        <w:rPr>
          <w:rFonts w:hint="eastAsia" w:ascii="宋体" w:hAnsi="宋体" w:eastAsia="宋体" w:cs="宋体"/>
          <w:sz w:val="24"/>
        </w:rPr>
        <w:t>具有热消毒、化学消毒（可使用次氯酸钠、过氧乙酸</w:t>
      </w:r>
      <w:r>
        <w:rPr>
          <w:rFonts w:hint="eastAsia" w:ascii="宋体" w:hAnsi="宋体" w:eastAsia="宋体" w:cs="宋体"/>
          <w:sz w:val="24"/>
          <w:lang w:val="en-US" w:eastAsia="zh-CN"/>
        </w:rPr>
        <w:t>等</w:t>
      </w:r>
      <w:r>
        <w:rPr>
          <w:rFonts w:hint="eastAsia" w:ascii="宋体" w:hAnsi="宋体" w:eastAsia="宋体" w:cs="宋体"/>
          <w:sz w:val="24"/>
        </w:rPr>
        <w:t>）、化学热消毒（可使用20%或者50%柠檬酸</w:t>
      </w:r>
      <w:r>
        <w:rPr>
          <w:rFonts w:hint="eastAsia" w:ascii="宋体" w:hAnsi="宋体" w:eastAsia="宋体" w:cs="宋体"/>
          <w:sz w:val="24"/>
          <w:lang w:val="en-US" w:eastAsia="zh-CN"/>
        </w:rPr>
        <w:t>等</w:t>
      </w:r>
      <w:r>
        <w:rPr>
          <w:rFonts w:hint="eastAsia" w:ascii="宋体" w:hAnsi="宋体" w:eastAsia="宋体" w:cs="宋体"/>
          <w:sz w:val="24"/>
        </w:rPr>
        <w:t>消毒液）。</w:t>
      </w:r>
    </w:p>
    <w:p w14:paraId="292912B1">
      <w:pPr>
        <w:adjustRightInd w:val="0"/>
        <w:snapToGrid w:val="0"/>
        <w:spacing w:line="360" w:lineRule="auto"/>
        <w:rPr>
          <w:rFonts w:hint="eastAsia" w:ascii="宋体" w:hAnsi="宋体" w:eastAsia="宋体" w:cs="Times New Roman"/>
          <w:sz w:val="24"/>
        </w:rPr>
      </w:pPr>
      <w:r>
        <w:rPr>
          <w:rFonts w:hint="eastAsia" w:ascii="宋体" w:hAnsi="宋体" w:eastAsia="宋体" w:cs="Times New Roman"/>
          <w:sz w:val="24"/>
        </w:rPr>
        <w:t>二、主要技术参数</w:t>
      </w:r>
    </w:p>
    <w:p w14:paraId="395EA57F">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w:t>
      </w:r>
      <w:r>
        <w:rPr>
          <w:rFonts w:hint="eastAsia" w:ascii="宋体" w:hAnsi="宋体" w:eastAsia="宋体" w:cs="宋体"/>
          <w:bCs/>
          <w:sz w:val="24"/>
        </w:rPr>
        <w:t>血泵流</w:t>
      </w:r>
      <w:r>
        <w:rPr>
          <w:rFonts w:hint="eastAsia" w:ascii="宋体" w:hAnsi="宋体" w:eastAsia="宋体" w:cs="宋体"/>
          <w:bCs/>
          <w:color w:val="auto"/>
          <w:sz w:val="24"/>
        </w:rPr>
        <w:t>量：20</w:t>
      </w:r>
      <w:r>
        <w:rPr>
          <w:rFonts w:hint="eastAsia" w:ascii="宋体" w:hAnsi="宋体" w:eastAsia="宋体" w:cs="宋体"/>
          <w:bCs/>
          <w:color w:val="auto"/>
          <w:sz w:val="24"/>
          <w:lang w:val="en-US" w:eastAsia="zh-CN"/>
        </w:rPr>
        <w:t>0</w:t>
      </w:r>
      <w:r>
        <w:rPr>
          <w:rFonts w:hint="eastAsia" w:ascii="宋体" w:hAnsi="宋体" w:eastAsia="宋体" w:cs="宋体"/>
          <w:bCs/>
          <w:color w:val="auto"/>
          <w:sz w:val="24"/>
        </w:rPr>
        <w:t>ml/</w:t>
      </w:r>
      <w:r>
        <w:rPr>
          <w:rFonts w:hint="eastAsia" w:ascii="宋体" w:hAnsi="宋体" w:eastAsia="宋体" w:cs="宋体"/>
          <w:color w:val="auto"/>
          <w:sz w:val="24"/>
        </w:rPr>
        <w:t>min～600ml/min(精确度：±10ml/min或±10%)</w:t>
      </w:r>
      <w:r>
        <w:rPr>
          <w:rFonts w:ascii="Times New Roman" w:hAnsi="Times New Roman" w:eastAsia="宋体" w:cs="Times New Roman"/>
          <w:b/>
          <w:bCs/>
          <w:color w:val="auto"/>
          <w:sz w:val="24"/>
        </w:rPr>
        <w:t>（该参数提供</w:t>
      </w:r>
      <w:r>
        <w:rPr>
          <w:rFonts w:hint="eastAsia" w:ascii="Times New Roman" w:hAnsi="Times New Roman" w:eastAsia="宋体" w:cs="Times New Roman"/>
          <w:b/>
          <w:bCs/>
          <w:color w:val="auto"/>
          <w:sz w:val="24"/>
        </w:rPr>
        <w:t>技术白皮书或产品彩页或第三方检测报告或产品</w:t>
      </w:r>
      <w:r>
        <w:rPr>
          <w:rFonts w:ascii="Times New Roman" w:hAnsi="Times New Roman" w:eastAsia="宋体" w:cs="Times New Roman"/>
          <w:b/>
          <w:bCs/>
          <w:color w:val="auto"/>
          <w:sz w:val="24"/>
        </w:rPr>
        <w:t>说明书等</w:t>
      </w:r>
      <w:r>
        <w:rPr>
          <w:rFonts w:hint="eastAsia" w:ascii="Times New Roman" w:hAnsi="Times New Roman" w:eastAsia="宋体" w:cs="Times New Roman"/>
          <w:b/>
          <w:bCs/>
          <w:color w:val="auto"/>
          <w:sz w:val="24"/>
          <w:lang w:val="en-US" w:eastAsia="zh-CN"/>
        </w:rPr>
        <w:t>有效的证</w:t>
      </w:r>
      <w:r>
        <w:rPr>
          <w:rFonts w:hint="eastAsia" w:ascii="Times New Roman" w:hAnsi="Times New Roman" w:eastAsia="宋体" w:cs="Times New Roman"/>
          <w:b/>
          <w:bCs/>
          <w:sz w:val="24"/>
          <w:lang w:val="en-US" w:eastAsia="zh-CN"/>
        </w:rPr>
        <w:t>明材料复印件并加盖投标人公章</w:t>
      </w:r>
      <w:r>
        <w:rPr>
          <w:rFonts w:ascii="Times New Roman" w:hAnsi="Times New Roman" w:eastAsia="宋体" w:cs="Times New Roman"/>
          <w:b/>
          <w:bCs/>
          <w:sz w:val="24"/>
        </w:rPr>
        <w:t>）</w:t>
      </w:r>
    </w:p>
    <w:p w14:paraId="4BD04776">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2、</w:t>
      </w:r>
      <w:r>
        <w:rPr>
          <w:rFonts w:hint="eastAsia" w:ascii="宋体" w:hAnsi="宋体" w:eastAsia="宋体" w:cs="宋体"/>
          <w:sz w:val="24"/>
        </w:rPr>
        <w:t>置换液泵流量：20ml/</w:t>
      </w:r>
      <w:r>
        <w:rPr>
          <w:rFonts w:hint="eastAsia" w:ascii="宋体" w:hAnsi="宋体" w:eastAsia="宋体" w:cs="宋体"/>
          <w:bCs/>
          <w:sz w:val="24"/>
        </w:rPr>
        <w:t>min～600ml/min(精确度：</w:t>
      </w:r>
      <w:r>
        <w:rPr>
          <w:rFonts w:hint="eastAsia" w:ascii="宋体" w:hAnsi="宋体" w:eastAsia="宋体" w:cs="宋体"/>
          <w:bCs/>
          <w:sz w:val="24"/>
          <w:lang w:val="sv-SE"/>
        </w:rPr>
        <w:t>±10ml/min或±10%</w:t>
      </w:r>
      <w:r>
        <w:rPr>
          <w:rFonts w:hint="eastAsia" w:ascii="宋体" w:hAnsi="宋体" w:eastAsia="宋体" w:cs="宋体"/>
          <w:bCs/>
          <w:sz w:val="24"/>
        </w:rPr>
        <w:t>)；推注模式下置换液流量为50ml/min～250ml/min可调</w:t>
      </w:r>
    </w:p>
    <w:p w14:paraId="77825D79">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3、</w:t>
      </w:r>
      <w:r>
        <w:rPr>
          <w:rFonts w:hint="eastAsia" w:ascii="宋体" w:hAnsi="宋体" w:eastAsia="宋体" w:cs="宋体"/>
          <w:sz w:val="24"/>
        </w:rPr>
        <w:t>肝素泵</w:t>
      </w:r>
      <w:r>
        <w:rPr>
          <w:rFonts w:hint="eastAsia" w:ascii="宋体" w:hAnsi="宋体" w:eastAsia="宋体" w:cs="宋体"/>
          <w:sz w:val="24"/>
          <w:lang w:val="pt-BR"/>
        </w:rPr>
        <w:t>：</w:t>
      </w:r>
      <w:r>
        <w:rPr>
          <w:rFonts w:hint="eastAsia" w:ascii="宋体" w:hAnsi="宋体" w:eastAsia="宋体" w:cs="宋体"/>
          <w:sz w:val="24"/>
        </w:rPr>
        <w:t>0</w:t>
      </w:r>
      <w:r>
        <w:rPr>
          <w:rFonts w:hint="eastAsia" w:ascii="宋体" w:hAnsi="宋体" w:eastAsia="宋体" w:cs="宋体"/>
          <w:bCs/>
          <w:sz w:val="24"/>
        </w:rPr>
        <w:t>ml/h～10ml/h（精确度：±0.2ml/h或±5%）</w:t>
      </w:r>
    </w:p>
    <w:p w14:paraId="5264FB6A">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4、</w:t>
      </w:r>
      <w:r>
        <w:rPr>
          <w:rFonts w:hint="eastAsia" w:ascii="宋体" w:hAnsi="宋体" w:eastAsia="宋体" w:cs="宋体"/>
          <w:sz w:val="24"/>
        </w:rPr>
        <w:t>动脉压力测量范围：-600mmHg～+600mmHg(精确度：±10mmHg)</w:t>
      </w:r>
    </w:p>
    <w:p w14:paraId="023F37ED">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5、</w:t>
      </w:r>
      <w:r>
        <w:rPr>
          <w:rFonts w:hint="eastAsia" w:ascii="宋体" w:hAnsi="宋体" w:eastAsia="宋体" w:cs="宋体"/>
          <w:sz w:val="24"/>
        </w:rPr>
        <w:t>静脉压力测量范围：-600mmHg～+600mmHg(精确度：±10mmHg)</w:t>
      </w:r>
    </w:p>
    <w:p w14:paraId="0E597BE1">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6、</w:t>
      </w:r>
      <w:r>
        <w:rPr>
          <w:rFonts w:hint="eastAsia" w:ascii="宋体" w:hAnsi="宋体" w:eastAsia="宋体" w:cs="宋体"/>
          <w:sz w:val="24"/>
        </w:rPr>
        <w:t>跨膜压测量范围：-600mmHg～+600mmHg（精确度：±20mmHg）</w:t>
      </w:r>
    </w:p>
    <w:p w14:paraId="3110D947">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7、</w:t>
      </w:r>
      <w:r>
        <w:rPr>
          <w:rFonts w:hint="eastAsia" w:ascii="宋体" w:hAnsi="宋体" w:eastAsia="宋体" w:cs="宋体"/>
          <w:sz w:val="24"/>
        </w:rPr>
        <w:t>空气监测：同时具有血液管路超声监测及液位光电监测</w:t>
      </w:r>
    </w:p>
    <w:p w14:paraId="2F8262E9">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8、</w:t>
      </w:r>
      <w:r>
        <w:rPr>
          <w:rFonts w:hint="eastAsia" w:ascii="宋体" w:hAnsi="宋体" w:eastAsia="宋体" w:cs="宋体"/>
          <w:sz w:val="24"/>
        </w:rPr>
        <w:t>透析液流量：100ml/min～1000ml/min(精确度：-5%～+10%)</w:t>
      </w:r>
    </w:p>
    <w:p w14:paraId="3D7223B4">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9、</w:t>
      </w:r>
      <w:r>
        <w:rPr>
          <w:rFonts w:hint="eastAsia" w:ascii="宋体" w:hAnsi="宋体" w:eastAsia="宋体" w:cs="宋体"/>
          <w:sz w:val="24"/>
        </w:rPr>
        <w:t>透析液温度：33-40℃</w:t>
      </w:r>
    </w:p>
    <w:p w14:paraId="5B07436A">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10、</w:t>
      </w:r>
      <w:r>
        <w:rPr>
          <w:rFonts w:hint="eastAsia" w:ascii="宋体" w:hAnsi="宋体" w:eastAsia="宋体" w:cs="宋体"/>
          <w:sz w:val="24"/>
        </w:rPr>
        <w:t>超滤率范围：0～4000ml/h</w:t>
      </w:r>
    </w:p>
    <w:p w14:paraId="7B0FE3CF">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11、</w:t>
      </w:r>
      <w:r>
        <w:rPr>
          <w:rFonts w:hint="eastAsia" w:ascii="宋体" w:hAnsi="宋体" w:eastAsia="宋体" w:cs="宋体"/>
          <w:sz w:val="24"/>
        </w:rPr>
        <w:t>超滤量：0-10L可调，可设2</w:t>
      </w:r>
      <w:r>
        <w:rPr>
          <w:rFonts w:ascii="宋体" w:hAnsi="宋体" w:eastAsia="宋体" w:cs="宋体"/>
          <w:sz w:val="24"/>
        </w:rPr>
        <w:t>4</w:t>
      </w:r>
      <w:r>
        <w:rPr>
          <w:rFonts w:hint="eastAsia" w:ascii="宋体" w:hAnsi="宋体" w:eastAsia="宋体" w:cs="宋体"/>
          <w:sz w:val="24"/>
        </w:rPr>
        <w:t>小时超滤时间</w:t>
      </w:r>
    </w:p>
    <w:p w14:paraId="3753CC44">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12、</w:t>
      </w:r>
      <w:r>
        <w:rPr>
          <w:rFonts w:hint="eastAsia" w:ascii="宋体" w:hAnsi="宋体" w:eastAsia="宋体" w:cs="宋体"/>
          <w:sz w:val="24"/>
        </w:rPr>
        <w:t>置换液：内毒素≤0.03EU/ml</w:t>
      </w:r>
    </w:p>
    <w:p w14:paraId="36872A6D">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kern w:val="2"/>
          <w:sz w:val="24"/>
          <w:szCs w:val="24"/>
          <w:lang w:val="en-US" w:eastAsia="zh-CN" w:bidi="ar-SA"/>
        </w:rPr>
        <w:t>13、</w:t>
      </w:r>
      <w:r>
        <w:rPr>
          <w:rFonts w:hint="eastAsia" w:ascii="宋体" w:hAnsi="宋体" w:eastAsia="宋体" w:cs="宋体"/>
          <w:sz w:val="24"/>
        </w:rPr>
        <w:t>电导率</w:t>
      </w:r>
      <w:r>
        <w:rPr>
          <w:rFonts w:hint="eastAsia" w:ascii="宋体" w:hAnsi="宋体" w:eastAsia="宋体" w:cs="宋体"/>
          <w:color w:val="auto"/>
          <w:sz w:val="24"/>
        </w:rPr>
        <w:t>：</w:t>
      </w:r>
      <w:r>
        <w:rPr>
          <w:rFonts w:hint="eastAsia" w:ascii="宋体" w:hAnsi="宋体" w:eastAsia="宋体" w:cs="宋体"/>
          <w:color w:val="auto"/>
          <w:sz w:val="24"/>
          <w:lang w:val="en-US" w:eastAsia="zh-CN"/>
        </w:rPr>
        <w:t>13</w:t>
      </w:r>
      <w:r>
        <w:rPr>
          <w:rFonts w:hint="eastAsia" w:ascii="宋体" w:hAnsi="宋体" w:eastAsia="宋体" w:cs="宋体"/>
          <w:color w:val="auto"/>
          <w:sz w:val="24"/>
        </w:rPr>
        <w:t>mS/cm～15.</w:t>
      </w:r>
      <w:r>
        <w:rPr>
          <w:rFonts w:hint="eastAsia" w:ascii="宋体" w:hAnsi="宋体" w:eastAsia="宋体" w:cs="宋体"/>
          <w:color w:val="auto"/>
          <w:sz w:val="24"/>
          <w:lang w:val="en-US" w:eastAsia="zh-CN"/>
        </w:rPr>
        <w:t>5</w:t>
      </w:r>
      <w:r>
        <w:rPr>
          <w:rFonts w:hint="eastAsia" w:ascii="宋体" w:hAnsi="宋体" w:eastAsia="宋体" w:cs="宋体"/>
          <w:color w:val="auto"/>
          <w:sz w:val="24"/>
        </w:rPr>
        <w:t>mS/cm(精确度：±0.1mS/cm)</w:t>
      </w:r>
    </w:p>
    <w:p w14:paraId="3AEF0EFC">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kern w:val="2"/>
          <w:sz w:val="24"/>
          <w:szCs w:val="24"/>
          <w:lang w:val="en-US" w:eastAsia="zh-CN" w:bidi="ar-SA"/>
        </w:rPr>
        <w:t>14、</w:t>
      </w:r>
      <w:r>
        <w:rPr>
          <w:rFonts w:hint="eastAsia" w:ascii="宋体" w:hAnsi="宋体" w:eastAsia="宋体" w:cs="宋体"/>
          <w:color w:val="auto"/>
          <w:sz w:val="24"/>
        </w:rPr>
        <w:t>钠离子调整范围：125-15</w:t>
      </w:r>
      <w:r>
        <w:rPr>
          <w:rFonts w:hint="eastAsia" w:ascii="宋体" w:hAnsi="宋体" w:eastAsia="宋体" w:cs="宋体"/>
          <w:color w:val="auto"/>
          <w:sz w:val="24"/>
          <w:lang w:val="en-US" w:eastAsia="zh-CN"/>
        </w:rPr>
        <w:t>0</w:t>
      </w:r>
      <w:r>
        <w:rPr>
          <w:rFonts w:hint="eastAsia" w:ascii="宋体" w:hAnsi="宋体" w:eastAsia="宋体" w:cs="宋体"/>
          <w:color w:val="auto"/>
          <w:sz w:val="24"/>
        </w:rPr>
        <w:t>mmol/L</w:t>
      </w:r>
    </w:p>
    <w:p w14:paraId="2AEC5C41">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15、</w:t>
      </w:r>
      <w:r>
        <w:rPr>
          <w:rFonts w:hint="eastAsia" w:ascii="宋体" w:hAnsi="宋体" w:eastAsia="宋体" w:cs="宋体"/>
          <w:sz w:val="24"/>
        </w:rPr>
        <w:t>碳酸氢盐调整范围：24-40mmol/L</w:t>
      </w:r>
    </w:p>
    <w:p w14:paraId="2C298E81">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16、</w:t>
      </w:r>
      <w:r>
        <w:rPr>
          <w:rFonts w:hint="eastAsia" w:ascii="宋体" w:hAnsi="宋体" w:eastAsia="宋体" w:cs="宋体"/>
          <w:sz w:val="24"/>
        </w:rPr>
        <w:t>漏血检测器：≤0.35mL/min（红细胞比容(HCT)=32%）</w:t>
      </w:r>
    </w:p>
    <w:p w14:paraId="6DC13DEB">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17、</w:t>
      </w:r>
      <w:r>
        <w:rPr>
          <w:rFonts w:hint="eastAsia" w:ascii="宋体" w:hAnsi="宋体" w:eastAsia="宋体" w:cs="宋体"/>
          <w:sz w:val="24"/>
        </w:rPr>
        <w:t>无创血压参数：收缩压：30mmHg～270mmHg，舒张压：10mmHg～220mmHg，平均动脉压：20mmHg～235mmHg（以上血压监测精确度：±8mmHg）</w:t>
      </w:r>
    </w:p>
    <w:p w14:paraId="481E3F55">
      <w:pPr>
        <w:numPr>
          <w:ilvl w:val="0"/>
          <w:numId w:val="0"/>
        </w:numPr>
        <w:tabs>
          <w:tab w:val="left" w:pos="709"/>
          <w:tab w:val="left" w:pos="851"/>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18、</w:t>
      </w:r>
      <w:r>
        <w:rPr>
          <w:rFonts w:hint="eastAsia" w:ascii="宋体" w:hAnsi="宋体" w:eastAsia="宋体" w:cs="宋体"/>
          <w:sz w:val="24"/>
        </w:rPr>
        <w:t>脉搏氧饱和度和脉率参数：</w:t>
      </w:r>
    </w:p>
    <w:p w14:paraId="6DF483F8">
      <w:pPr>
        <w:adjustRightInd w:val="0"/>
        <w:snapToGrid w:val="0"/>
        <w:spacing w:line="360" w:lineRule="auto"/>
        <w:ind w:firstLine="708" w:firstLineChars="295"/>
        <w:rPr>
          <w:rFonts w:hint="eastAsia" w:ascii="宋体" w:hAnsi="宋体" w:eastAsia="宋体" w:cs="宋体"/>
          <w:bCs/>
          <w:sz w:val="24"/>
        </w:rPr>
      </w:pPr>
      <w:r>
        <w:rPr>
          <w:rFonts w:hint="eastAsia" w:ascii="宋体" w:hAnsi="宋体" w:eastAsia="宋体" w:cs="Times New Roman"/>
          <w:sz w:val="24"/>
        </w:rPr>
        <w:t>①脉搏氧饱和度测量范围：30%</w:t>
      </w:r>
      <w:r>
        <w:rPr>
          <w:rFonts w:hint="eastAsia" w:ascii="宋体" w:hAnsi="宋体" w:eastAsia="宋体" w:cs="宋体"/>
          <w:bCs/>
          <w:sz w:val="24"/>
        </w:rPr>
        <w:t>～100%</w:t>
      </w:r>
    </w:p>
    <w:p w14:paraId="08760B2C">
      <w:pPr>
        <w:adjustRightInd w:val="0"/>
        <w:snapToGrid w:val="0"/>
        <w:spacing w:line="360" w:lineRule="auto"/>
        <w:ind w:firstLine="708" w:firstLineChars="295"/>
        <w:rPr>
          <w:rFonts w:ascii="宋体" w:hAnsi="宋体" w:eastAsia="宋体" w:cs="宋体"/>
          <w:bCs/>
          <w:sz w:val="24"/>
        </w:rPr>
      </w:pPr>
      <w:r>
        <w:rPr>
          <w:rFonts w:hint="eastAsia" w:ascii="宋体" w:hAnsi="宋体" w:eastAsia="宋体" w:cs="宋体"/>
          <w:bCs/>
          <w:sz w:val="24"/>
        </w:rPr>
        <w:t>②脉率测量范围：30bpm</w:t>
      </w:r>
      <w:r>
        <w:rPr>
          <w:rFonts w:hint="eastAsia" w:ascii="宋体" w:hAnsi="宋体" w:eastAsia="宋体" w:cs="宋体"/>
          <w:bCs/>
          <w:color w:val="auto"/>
          <w:sz w:val="24"/>
        </w:rPr>
        <w:t>～25</w:t>
      </w:r>
      <w:r>
        <w:rPr>
          <w:rFonts w:hint="eastAsia" w:ascii="宋体" w:hAnsi="宋体" w:eastAsia="宋体" w:cs="宋体"/>
          <w:bCs/>
          <w:color w:val="auto"/>
          <w:sz w:val="24"/>
          <w:lang w:val="en-US" w:eastAsia="zh-CN"/>
        </w:rPr>
        <w:t>0</w:t>
      </w:r>
      <w:r>
        <w:rPr>
          <w:rFonts w:hint="eastAsia" w:ascii="宋体" w:hAnsi="宋体" w:eastAsia="宋体" w:cs="宋体"/>
          <w:bCs/>
          <w:color w:val="auto"/>
          <w:sz w:val="24"/>
        </w:rPr>
        <w:t>b</w:t>
      </w:r>
      <w:r>
        <w:rPr>
          <w:rFonts w:hint="eastAsia" w:ascii="宋体" w:hAnsi="宋体" w:eastAsia="宋体" w:cs="宋体"/>
          <w:bCs/>
          <w:sz w:val="24"/>
        </w:rPr>
        <w:t>pm（精确度：±3bpm）</w:t>
      </w:r>
    </w:p>
    <w:p w14:paraId="2F29DE9E">
      <w:pPr>
        <w:jc w:val="center"/>
        <w:rPr>
          <w:rFonts w:ascii="Times New Roman" w:hAnsi="Times New Roman" w:eastAsia="宋体" w:cs="Times New Roman"/>
          <w:b/>
          <w:bCs/>
          <w:sz w:val="36"/>
          <w:szCs w:val="36"/>
        </w:rPr>
      </w:pPr>
      <w:bookmarkStart w:id="187" w:name="_GoBack"/>
      <w:bookmarkEnd w:id="187"/>
      <w:r>
        <w:rPr>
          <w:rFonts w:hint="eastAsia" w:ascii="Times New Roman" w:hAnsi="Times New Roman" w:eastAsia="宋体" w:cs="Times New Roman"/>
          <w:b/>
          <w:bCs/>
          <w:sz w:val="36"/>
          <w:szCs w:val="36"/>
          <w:lang w:eastAsia="zh-CN"/>
        </w:rPr>
        <w:t>（</w:t>
      </w:r>
      <w:r>
        <w:rPr>
          <w:rFonts w:hint="eastAsia" w:ascii="Times New Roman" w:hAnsi="Times New Roman" w:eastAsia="宋体" w:cs="Times New Roman"/>
          <w:b/>
          <w:bCs/>
          <w:sz w:val="36"/>
          <w:szCs w:val="36"/>
          <w:lang w:val="en-US" w:eastAsia="zh-CN"/>
        </w:rPr>
        <w:t>二</w:t>
      </w:r>
      <w:r>
        <w:rPr>
          <w:rFonts w:hint="eastAsia" w:ascii="Times New Roman" w:hAnsi="Times New Roman" w:eastAsia="宋体" w:cs="Times New Roman"/>
          <w:b/>
          <w:bCs/>
          <w:sz w:val="36"/>
          <w:szCs w:val="36"/>
          <w:lang w:eastAsia="zh-CN"/>
        </w:rPr>
        <w:t>）</w:t>
      </w:r>
      <w:r>
        <w:rPr>
          <w:rFonts w:hint="eastAsia" w:ascii="Times New Roman" w:hAnsi="Times New Roman" w:eastAsia="宋体" w:cs="Times New Roman"/>
          <w:b/>
          <w:bCs/>
          <w:sz w:val="36"/>
          <w:szCs w:val="36"/>
        </w:rPr>
        <w:t>血液透析</w:t>
      </w:r>
      <w:r>
        <w:rPr>
          <w:rFonts w:ascii="Times New Roman" w:hAnsi="Times New Roman" w:eastAsia="宋体" w:cs="Times New Roman"/>
          <w:b/>
          <w:bCs/>
          <w:sz w:val="36"/>
          <w:szCs w:val="36"/>
        </w:rPr>
        <w:t>机</w:t>
      </w:r>
    </w:p>
    <w:p w14:paraId="0A3A8D4D">
      <w:pPr>
        <w:adjustRightInd w:val="0"/>
        <w:snapToGrid w:val="0"/>
        <w:spacing w:line="288" w:lineRule="auto"/>
        <w:jc w:val="center"/>
        <w:rPr>
          <w:rFonts w:hint="eastAsia" w:ascii="Times New Roman" w:hAnsi="Times New Roman" w:eastAsia="宋体" w:cs="Times New Roman"/>
          <w:b/>
          <w:bCs/>
          <w:sz w:val="24"/>
        </w:rPr>
      </w:pPr>
    </w:p>
    <w:p w14:paraId="6E8E926C">
      <w:pPr>
        <w:adjustRightInd w:val="0"/>
        <w:snapToGrid w:val="0"/>
        <w:spacing w:line="360" w:lineRule="auto"/>
        <w:rPr>
          <w:rFonts w:hint="eastAsia" w:ascii="Times New Roman" w:hAnsi="Times New Roman" w:eastAsia="宋体" w:cs="Times New Roman"/>
          <w:sz w:val="24"/>
        </w:rPr>
      </w:pPr>
      <w:r>
        <w:rPr>
          <w:rFonts w:hint="eastAsia" w:ascii="Times New Roman" w:hAnsi="Times New Roman" w:eastAsia="宋体" w:cs="Times New Roman"/>
          <w:sz w:val="24"/>
        </w:rPr>
        <w:t>一、主要功能：</w:t>
      </w:r>
    </w:p>
    <w:p w14:paraId="420B1698">
      <w:pPr>
        <w:numPr>
          <w:ilvl w:val="0"/>
          <w:numId w:val="0"/>
        </w:numPr>
        <w:tabs>
          <w:tab w:val="center" w:pos="567"/>
        </w:tabs>
        <w:adjustRightInd w:val="0"/>
        <w:snapToGrid w:val="0"/>
        <w:spacing w:line="360" w:lineRule="auto"/>
        <w:ind w:left="575" w:leftChars="194" w:hanging="168" w:hangingChars="7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w:t>
      </w:r>
      <w:r>
        <w:rPr>
          <w:rFonts w:hint="eastAsia" w:ascii="Times New Roman" w:hAnsi="Times New Roman" w:eastAsia="宋体" w:cs="Times New Roman"/>
          <w:sz w:val="24"/>
        </w:rPr>
        <w:t>屏幕尺寸≥15英寸，全触摸屏</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中文操作界面；</w:t>
      </w:r>
    </w:p>
    <w:p w14:paraId="4662846B">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2、</w:t>
      </w:r>
      <w:r>
        <w:rPr>
          <w:rFonts w:hint="eastAsia" w:ascii="Times New Roman" w:hAnsi="Times New Roman" w:eastAsia="宋体" w:cs="Times New Roman"/>
          <w:sz w:val="24"/>
        </w:rPr>
        <w:t>屏幕旋转≥180°，360°全方位声光报警；</w:t>
      </w:r>
    </w:p>
    <w:p w14:paraId="50F18C63">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3、</w:t>
      </w:r>
      <w:r>
        <w:rPr>
          <w:rFonts w:hint="eastAsia" w:ascii="Times New Roman" w:hAnsi="Times New Roman" w:eastAsia="宋体" w:cs="Times New Roman"/>
          <w:sz w:val="24"/>
        </w:rPr>
        <w:t>标配透析液过滤器接口，实现对病人的超纯透析治疗；</w:t>
      </w:r>
    </w:p>
    <w:p w14:paraId="2D74A641">
      <w:pPr>
        <w:numPr>
          <w:ilvl w:val="0"/>
          <w:numId w:val="0"/>
        </w:numPr>
        <w:tabs>
          <w:tab w:val="center" w:pos="567"/>
        </w:tabs>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4、</w:t>
      </w:r>
      <w:r>
        <w:rPr>
          <w:rFonts w:hint="eastAsia" w:ascii="Times New Roman" w:hAnsi="Times New Roman" w:eastAsia="宋体" w:cs="Times New Roman"/>
          <w:sz w:val="24"/>
        </w:rPr>
        <w:t>在病人未上机前，具有“省液模式”；</w:t>
      </w:r>
      <w:r>
        <w:rPr>
          <w:rFonts w:ascii="Times New Roman" w:hAnsi="Times New Roman" w:eastAsia="宋体" w:cs="Times New Roman"/>
          <w:b/>
          <w:bCs/>
          <w:sz w:val="24"/>
        </w:rPr>
        <w:t>（该参数提供</w:t>
      </w:r>
      <w:r>
        <w:rPr>
          <w:rFonts w:hint="eastAsia" w:ascii="Times New Roman" w:hAnsi="Times New Roman" w:eastAsia="宋体" w:cs="Times New Roman"/>
          <w:b/>
          <w:bCs/>
          <w:sz w:val="24"/>
        </w:rPr>
        <w:t>技术白皮书或产品彩页或第三方检测报告或产品</w:t>
      </w:r>
      <w:r>
        <w:rPr>
          <w:rFonts w:ascii="Times New Roman" w:hAnsi="Times New Roman" w:eastAsia="宋体" w:cs="Times New Roman"/>
          <w:b/>
          <w:bCs/>
          <w:sz w:val="24"/>
        </w:rPr>
        <w:t>说明书等</w:t>
      </w:r>
      <w:r>
        <w:rPr>
          <w:rFonts w:hint="eastAsia" w:ascii="Times New Roman" w:hAnsi="Times New Roman" w:eastAsia="宋体" w:cs="Times New Roman"/>
          <w:b/>
          <w:bCs/>
          <w:sz w:val="24"/>
          <w:lang w:val="en-US" w:eastAsia="zh-CN"/>
        </w:rPr>
        <w:t>有效的证明材料复印件并加盖投标人公章</w:t>
      </w:r>
      <w:r>
        <w:rPr>
          <w:rFonts w:ascii="Times New Roman" w:hAnsi="Times New Roman" w:eastAsia="宋体" w:cs="Times New Roman"/>
          <w:b/>
          <w:bCs/>
          <w:sz w:val="24"/>
        </w:rPr>
        <w:t>）</w:t>
      </w:r>
    </w:p>
    <w:p w14:paraId="18BA5A8A">
      <w:pPr>
        <w:numPr>
          <w:ilvl w:val="0"/>
          <w:numId w:val="0"/>
        </w:numPr>
        <w:tabs>
          <w:tab w:val="center" w:pos="567"/>
        </w:tabs>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5、</w:t>
      </w:r>
      <w:r>
        <w:rPr>
          <w:rFonts w:hint="eastAsia" w:ascii="Times New Roman" w:hAnsi="Times New Roman" w:eastAsia="宋体" w:cs="Times New Roman"/>
          <w:sz w:val="24"/>
        </w:rPr>
        <w:t>采用双平衡腔超滤平衡系统；</w:t>
      </w:r>
    </w:p>
    <w:p w14:paraId="32866C69">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6、</w:t>
      </w:r>
      <w:r>
        <w:rPr>
          <w:rFonts w:hint="eastAsia" w:ascii="Times New Roman" w:hAnsi="Times New Roman" w:eastAsia="宋体" w:cs="Times New Roman"/>
          <w:sz w:val="24"/>
        </w:rPr>
        <w:t>具有血液探测器传感器，具有引血及回血的提示；</w:t>
      </w:r>
    </w:p>
    <w:p w14:paraId="476C62A6">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7、</w:t>
      </w:r>
      <w:r>
        <w:rPr>
          <w:rFonts w:hint="eastAsia" w:ascii="Times New Roman" w:hAnsi="Times New Roman" w:eastAsia="宋体" w:cs="Times New Roman"/>
          <w:sz w:val="24"/>
        </w:rPr>
        <w:t>配液方式：先吸B液后吸A液，B液浓度误差更小，同时具有电导度反馈调节系统，透析液浓度和B液浓度可单独监测并控制，可对酸中毒患者有针对性治疗；</w:t>
      </w:r>
    </w:p>
    <w:p w14:paraId="5A88C158">
      <w:pPr>
        <w:numPr>
          <w:ilvl w:val="0"/>
          <w:numId w:val="0"/>
        </w:numPr>
        <w:tabs>
          <w:tab w:val="center" w:pos="567"/>
        </w:tabs>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8、</w:t>
      </w:r>
      <w:r>
        <w:rPr>
          <w:rFonts w:hint="eastAsia" w:ascii="Times New Roman" w:hAnsi="Times New Roman" w:eastAsia="宋体" w:cs="Times New Roman"/>
          <w:sz w:val="24"/>
        </w:rPr>
        <w:t>具有个体化透析治疗提供更多方案，可提供超滤曲线≥8条、Na曲线≥8条、以及碳酸氢根曲线、透析液流量曲线、透析液温度曲线、肝素曲线个性化设置；</w:t>
      </w:r>
      <w:r>
        <w:rPr>
          <w:rFonts w:ascii="Times New Roman" w:hAnsi="Times New Roman" w:eastAsia="宋体" w:cs="Times New Roman"/>
          <w:b/>
          <w:bCs/>
          <w:sz w:val="24"/>
        </w:rPr>
        <w:t>（该参数提供</w:t>
      </w:r>
      <w:r>
        <w:rPr>
          <w:rFonts w:hint="eastAsia" w:ascii="Times New Roman" w:hAnsi="Times New Roman" w:eastAsia="宋体" w:cs="Times New Roman"/>
          <w:b/>
          <w:bCs/>
          <w:sz w:val="24"/>
        </w:rPr>
        <w:t>技术白皮书或产品彩页或第三方检测报告或产品</w:t>
      </w:r>
      <w:r>
        <w:rPr>
          <w:rFonts w:ascii="Times New Roman" w:hAnsi="Times New Roman" w:eastAsia="宋体" w:cs="Times New Roman"/>
          <w:b/>
          <w:bCs/>
          <w:sz w:val="24"/>
        </w:rPr>
        <w:t>说明书等</w:t>
      </w:r>
      <w:r>
        <w:rPr>
          <w:rFonts w:hint="eastAsia" w:ascii="Times New Roman" w:hAnsi="Times New Roman" w:eastAsia="宋体" w:cs="Times New Roman"/>
          <w:b/>
          <w:bCs/>
          <w:sz w:val="24"/>
          <w:lang w:val="en-US" w:eastAsia="zh-CN"/>
        </w:rPr>
        <w:t>有效的证明材料复印件并加盖投标人公章</w:t>
      </w:r>
      <w:r>
        <w:rPr>
          <w:rFonts w:ascii="Times New Roman" w:hAnsi="Times New Roman" w:eastAsia="宋体" w:cs="Times New Roman"/>
          <w:b/>
          <w:bCs/>
          <w:sz w:val="24"/>
        </w:rPr>
        <w:t>）</w:t>
      </w:r>
    </w:p>
    <w:p w14:paraId="4F5B5D61">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9、</w:t>
      </w:r>
      <w:r>
        <w:rPr>
          <w:rFonts w:hint="eastAsia" w:ascii="Times New Roman" w:hAnsi="Times New Roman" w:eastAsia="宋体" w:cs="Times New Roman"/>
          <w:sz w:val="24"/>
          <w:lang w:val="en-US" w:eastAsia="zh-CN"/>
        </w:rPr>
        <w:t>具有</w:t>
      </w:r>
      <w:r>
        <w:rPr>
          <w:rFonts w:hint="eastAsia" w:ascii="Times New Roman" w:hAnsi="Times New Roman" w:eastAsia="宋体" w:cs="Times New Roman"/>
          <w:sz w:val="24"/>
        </w:rPr>
        <w:t>在线监测Kt/V功能；</w:t>
      </w:r>
    </w:p>
    <w:p w14:paraId="1EE64B2E">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10、</w:t>
      </w:r>
      <w:r>
        <w:rPr>
          <w:rFonts w:hint="eastAsia" w:ascii="Times New Roman" w:hAnsi="Times New Roman" w:eastAsia="宋体" w:cs="Times New Roman"/>
          <w:sz w:val="24"/>
          <w:lang w:val="en-US" w:eastAsia="zh-CN"/>
        </w:rPr>
        <w:t>具有</w:t>
      </w:r>
      <w:r>
        <w:rPr>
          <w:rFonts w:hint="eastAsia" w:ascii="Times New Roman" w:hAnsi="Times New Roman" w:eastAsia="宋体" w:cs="Times New Roman"/>
          <w:sz w:val="24"/>
        </w:rPr>
        <w:t>无创血压监测功能，自动监测和记录患者透析期间的心律、血压变化；</w:t>
      </w:r>
    </w:p>
    <w:p w14:paraId="2BCA2DB5">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11、</w:t>
      </w:r>
      <w:r>
        <w:rPr>
          <w:rFonts w:hint="eastAsia" w:ascii="Times New Roman" w:hAnsi="Times New Roman" w:eastAsia="宋体" w:cs="Times New Roman"/>
          <w:sz w:val="24"/>
        </w:rPr>
        <w:t>具有趋势图观察功能，可提供超滤和钠离子趋势图、动静脉压力趋势图、血压趋势图观察功能；</w:t>
      </w:r>
    </w:p>
    <w:p w14:paraId="169B2989">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12、</w:t>
      </w:r>
      <w:r>
        <w:rPr>
          <w:rFonts w:hint="eastAsia" w:ascii="Times New Roman" w:hAnsi="Times New Roman" w:eastAsia="宋体" w:cs="Times New Roman"/>
          <w:sz w:val="24"/>
        </w:rPr>
        <w:t>具有一键应急功能，出现特殊情况，可实现一键自动旁路、自动停止超滤、自动调节血流量≤100ml/min、自动血压测量；</w:t>
      </w:r>
    </w:p>
    <w:p w14:paraId="76F652AC">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13、</w:t>
      </w:r>
      <w:r>
        <w:rPr>
          <w:rFonts w:hint="eastAsia" w:ascii="Times New Roman" w:hAnsi="Times New Roman" w:eastAsia="宋体" w:cs="Times New Roman"/>
          <w:sz w:val="24"/>
        </w:rPr>
        <w:t>具有闹钟功能，可进行单次或周期性提醒；</w:t>
      </w:r>
    </w:p>
    <w:p w14:paraId="68BD8973">
      <w:pPr>
        <w:numPr>
          <w:ilvl w:val="0"/>
          <w:numId w:val="0"/>
        </w:numPr>
        <w:tabs>
          <w:tab w:val="center" w:pos="567"/>
        </w:tabs>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14、</w:t>
      </w:r>
      <w:r>
        <w:rPr>
          <w:rFonts w:hint="eastAsia" w:ascii="Times New Roman" w:hAnsi="Times New Roman" w:eastAsia="宋体" w:cs="Times New Roman"/>
          <w:sz w:val="24"/>
        </w:rPr>
        <w:t>具有透析日志功能，</w:t>
      </w:r>
      <w:r>
        <w:rPr>
          <w:rFonts w:hint="eastAsia" w:ascii="宋体" w:hAnsi="宋体" w:eastAsia="宋体" w:cs="宋体"/>
          <w:sz w:val="24"/>
        </w:rPr>
        <w:t>存储≥100次治疗数据，方便随时查看</w:t>
      </w:r>
      <w:r>
        <w:rPr>
          <w:rFonts w:hint="eastAsia" w:ascii="Times New Roman" w:hAnsi="Times New Roman" w:eastAsia="宋体" w:cs="Times New Roman"/>
          <w:sz w:val="24"/>
        </w:rPr>
        <w:t>；</w:t>
      </w:r>
      <w:r>
        <w:rPr>
          <w:rFonts w:ascii="Times New Roman" w:hAnsi="Times New Roman" w:eastAsia="宋体" w:cs="Times New Roman"/>
          <w:b/>
          <w:bCs/>
          <w:sz w:val="24"/>
        </w:rPr>
        <w:t>（该参数提供</w:t>
      </w:r>
      <w:r>
        <w:rPr>
          <w:rFonts w:hint="eastAsia" w:ascii="Times New Roman" w:hAnsi="Times New Roman" w:eastAsia="宋体" w:cs="Times New Roman"/>
          <w:b/>
          <w:bCs/>
          <w:sz w:val="24"/>
        </w:rPr>
        <w:t>技术白皮书或产品彩页或第三方检测报告或产品</w:t>
      </w:r>
      <w:r>
        <w:rPr>
          <w:rFonts w:ascii="Times New Roman" w:hAnsi="Times New Roman" w:eastAsia="宋体" w:cs="Times New Roman"/>
          <w:b/>
          <w:bCs/>
          <w:sz w:val="24"/>
        </w:rPr>
        <w:t>说明书等</w:t>
      </w:r>
      <w:r>
        <w:rPr>
          <w:rFonts w:hint="eastAsia" w:ascii="Times New Roman" w:hAnsi="Times New Roman" w:eastAsia="宋体" w:cs="Times New Roman"/>
          <w:b/>
          <w:bCs/>
          <w:sz w:val="24"/>
          <w:lang w:val="en-US" w:eastAsia="zh-CN"/>
        </w:rPr>
        <w:t>有效的证明材料复印件并加盖投标人公章</w:t>
      </w:r>
      <w:r>
        <w:rPr>
          <w:rFonts w:ascii="Times New Roman" w:hAnsi="Times New Roman" w:eastAsia="宋体" w:cs="Times New Roman"/>
          <w:b/>
          <w:bCs/>
          <w:sz w:val="24"/>
        </w:rPr>
        <w:t>）</w:t>
      </w:r>
    </w:p>
    <w:p w14:paraId="77DA3772">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15、</w:t>
      </w:r>
      <w:r>
        <w:rPr>
          <w:rFonts w:hint="eastAsia" w:ascii="Times New Roman" w:hAnsi="Times New Roman" w:eastAsia="宋体" w:cs="Times New Roman"/>
          <w:sz w:val="24"/>
        </w:rPr>
        <w:t>配备大容量电池，可保证机器在停电断电状态下连续工作</w:t>
      </w:r>
      <w:r>
        <w:rPr>
          <w:rFonts w:hint="eastAsia" w:ascii="Times New Roman" w:hAnsi="Times New Roman" w:eastAsia="宋体" w:cs="Times New Roman"/>
          <w:sz w:val="24"/>
          <w:lang w:val="en-US" w:eastAsia="zh-CN"/>
        </w:rPr>
        <w:t>时间＞</w:t>
      </w:r>
      <w:r>
        <w:rPr>
          <w:rFonts w:hint="eastAsia" w:ascii="Times New Roman" w:hAnsi="Times New Roman" w:eastAsia="宋体" w:cs="Times New Roman"/>
          <w:sz w:val="24"/>
        </w:rPr>
        <w:t>30分钟；</w:t>
      </w:r>
    </w:p>
    <w:p w14:paraId="2990FF2A">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16、</w:t>
      </w:r>
      <w:r>
        <w:rPr>
          <w:rFonts w:hint="eastAsia" w:ascii="Times New Roman" w:hAnsi="Times New Roman" w:eastAsia="宋体" w:cs="Times New Roman"/>
          <w:sz w:val="24"/>
        </w:rPr>
        <w:t>水路、电路多层分离结构；</w:t>
      </w:r>
    </w:p>
    <w:p w14:paraId="7398F10A">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17、</w:t>
      </w:r>
      <w:r>
        <w:rPr>
          <w:rFonts w:hint="eastAsia" w:ascii="Times New Roman" w:hAnsi="Times New Roman" w:eastAsia="宋体" w:cs="Times New Roman"/>
          <w:sz w:val="24"/>
        </w:rPr>
        <w:t>设备耗材开放式；</w:t>
      </w:r>
    </w:p>
    <w:p w14:paraId="7A266120">
      <w:pPr>
        <w:numPr>
          <w:ilvl w:val="0"/>
          <w:numId w:val="0"/>
        </w:numPr>
        <w:tabs>
          <w:tab w:val="center" w:pos="567"/>
        </w:tabs>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kern w:val="2"/>
          <w:sz w:val="24"/>
          <w:szCs w:val="24"/>
          <w:lang w:val="en-US" w:eastAsia="zh-CN" w:bidi="ar-SA"/>
        </w:rPr>
        <w:t>18、</w:t>
      </w:r>
      <w:r>
        <w:rPr>
          <w:rFonts w:hint="eastAsia" w:ascii="Times New Roman" w:hAnsi="Times New Roman" w:eastAsia="宋体" w:cs="Times New Roman"/>
          <w:sz w:val="24"/>
        </w:rPr>
        <w:t>具有热消毒、化学消毒（可使用次氯酸钠、过氧乙酸</w:t>
      </w:r>
      <w:r>
        <w:rPr>
          <w:rFonts w:hint="eastAsia" w:ascii="Times New Roman" w:hAnsi="Times New Roman" w:eastAsia="宋体" w:cs="Times New Roman"/>
          <w:sz w:val="24"/>
          <w:lang w:val="en-US" w:eastAsia="zh-CN"/>
        </w:rPr>
        <w:t>等</w:t>
      </w:r>
      <w:r>
        <w:rPr>
          <w:rFonts w:hint="eastAsia" w:ascii="Times New Roman" w:hAnsi="Times New Roman" w:eastAsia="宋体" w:cs="Times New Roman"/>
          <w:sz w:val="24"/>
        </w:rPr>
        <w:t>）、化学热消毒（可使用20%或者50%柠檬酸</w:t>
      </w:r>
      <w:r>
        <w:rPr>
          <w:rFonts w:hint="eastAsia" w:ascii="Times New Roman" w:hAnsi="Times New Roman" w:eastAsia="宋体" w:cs="Times New Roman"/>
          <w:sz w:val="24"/>
          <w:lang w:val="en-US" w:eastAsia="zh-CN"/>
        </w:rPr>
        <w:t>等</w:t>
      </w:r>
      <w:r>
        <w:rPr>
          <w:rFonts w:hint="eastAsia" w:ascii="Times New Roman" w:hAnsi="Times New Roman" w:eastAsia="宋体" w:cs="Times New Roman"/>
          <w:sz w:val="24"/>
        </w:rPr>
        <w:t>消毒液）。</w:t>
      </w:r>
    </w:p>
    <w:p w14:paraId="6F311840">
      <w:pPr>
        <w:adjustRightInd w:val="0"/>
        <w:snapToGrid w:val="0"/>
        <w:spacing w:line="360" w:lineRule="auto"/>
        <w:rPr>
          <w:rFonts w:hint="eastAsia" w:ascii="Times New Roman" w:hAnsi="Times New Roman" w:eastAsia="宋体" w:cs="Times New Roman"/>
          <w:sz w:val="24"/>
        </w:rPr>
      </w:pPr>
      <w:r>
        <w:rPr>
          <w:rFonts w:hint="eastAsia" w:ascii="Times New Roman" w:hAnsi="Times New Roman" w:eastAsia="宋体" w:cs="Times New Roman"/>
          <w:sz w:val="24"/>
        </w:rPr>
        <w:t>二、主要技术参数</w:t>
      </w:r>
    </w:p>
    <w:p w14:paraId="1BA3CB2C">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1、</w:t>
      </w:r>
      <w:r>
        <w:rPr>
          <w:rFonts w:hint="eastAsia" w:ascii="宋体" w:hAnsi="宋体" w:eastAsia="宋体" w:cs="宋体"/>
          <w:bCs/>
          <w:sz w:val="24"/>
        </w:rPr>
        <w:t>血</w:t>
      </w:r>
      <w:r>
        <w:rPr>
          <w:rFonts w:hint="eastAsia" w:ascii="宋体" w:hAnsi="宋体" w:eastAsia="宋体" w:cs="宋体"/>
          <w:bCs/>
          <w:color w:val="auto"/>
          <w:sz w:val="24"/>
        </w:rPr>
        <w:t>泵流量：20</w:t>
      </w:r>
      <w:r>
        <w:rPr>
          <w:rFonts w:hint="eastAsia" w:ascii="宋体" w:hAnsi="宋体" w:eastAsia="宋体" w:cs="宋体"/>
          <w:bCs/>
          <w:color w:val="auto"/>
          <w:sz w:val="24"/>
          <w:lang w:val="en-US" w:eastAsia="zh-CN"/>
        </w:rPr>
        <w:t>0</w:t>
      </w:r>
      <w:r>
        <w:rPr>
          <w:rFonts w:hint="eastAsia" w:ascii="宋体" w:hAnsi="宋体" w:eastAsia="宋体" w:cs="宋体"/>
          <w:bCs/>
          <w:color w:val="auto"/>
          <w:sz w:val="24"/>
        </w:rPr>
        <w:t>ml/min～600ml/min(精确度：</w:t>
      </w:r>
      <w:r>
        <w:rPr>
          <w:rFonts w:hint="eastAsia" w:ascii="宋体" w:hAnsi="宋体" w:eastAsia="宋体" w:cs="宋体"/>
          <w:bCs/>
          <w:sz w:val="24"/>
          <w:lang w:val="sv-SE"/>
        </w:rPr>
        <w:t>±10ml/min或±10%</w:t>
      </w:r>
      <w:r>
        <w:rPr>
          <w:rFonts w:hint="eastAsia" w:ascii="宋体" w:hAnsi="宋体" w:eastAsia="宋体" w:cs="宋体"/>
          <w:bCs/>
          <w:sz w:val="24"/>
        </w:rPr>
        <w:t>)</w:t>
      </w:r>
    </w:p>
    <w:p w14:paraId="5CF4A503">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2、</w:t>
      </w:r>
      <w:r>
        <w:rPr>
          <w:rFonts w:hint="eastAsia" w:ascii="宋体" w:hAnsi="宋体" w:eastAsia="宋体" w:cs="宋体"/>
          <w:sz w:val="24"/>
        </w:rPr>
        <w:t>肝素泵</w:t>
      </w:r>
      <w:r>
        <w:rPr>
          <w:rFonts w:hint="eastAsia" w:ascii="宋体" w:hAnsi="宋体" w:eastAsia="宋体" w:cs="宋体"/>
          <w:sz w:val="24"/>
          <w:lang w:val="pt-BR"/>
        </w:rPr>
        <w:t>：</w:t>
      </w:r>
      <w:r>
        <w:rPr>
          <w:rFonts w:hint="eastAsia" w:ascii="宋体" w:hAnsi="宋体" w:eastAsia="宋体" w:cs="宋体"/>
          <w:sz w:val="24"/>
        </w:rPr>
        <w:t>0</w:t>
      </w:r>
      <w:r>
        <w:rPr>
          <w:rFonts w:hint="eastAsia" w:ascii="宋体" w:hAnsi="宋体" w:eastAsia="宋体" w:cs="宋体"/>
          <w:bCs/>
          <w:sz w:val="24"/>
        </w:rPr>
        <w:t>ml/h～10ml/h（精确度：±0.2ml/h或±5%）</w:t>
      </w:r>
    </w:p>
    <w:p w14:paraId="29BB6688">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3、</w:t>
      </w:r>
      <w:r>
        <w:rPr>
          <w:rFonts w:hint="eastAsia" w:ascii="宋体" w:hAnsi="宋体" w:eastAsia="宋体" w:cs="宋体"/>
          <w:bCs/>
          <w:sz w:val="24"/>
        </w:rPr>
        <w:t>动脉压力测量范围：-600mmHg～+600mmHg(精确度：±10mmHg)</w:t>
      </w:r>
    </w:p>
    <w:p w14:paraId="4CCC54FF">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4、</w:t>
      </w:r>
      <w:r>
        <w:rPr>
          <w:rFonts w:hint="eastAsia" w:ascii="宋体" w:hAnsi="宋体" w:eastAsia="宋体" w:cs="宋体"/>
          <w:bCs/>
          <w:sz w:val="24"/>
        </w:rPr>
        <w:t>静脉压力测量范围：-600mmHg～+600mmHg(精确度：±10mmHg)</w:t>
      </w:r>
    </w:p>
    <w:p w14:paraId="7297F270">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5、</w:t>
      </w:r>
      <w:r>
        <w:rPr>
          <w:rFonts w:hint="eastAsia" w:ascii="宋体" w:hAnsi="宋体" w:eastAsia="宋体" w:cs="宋体"/>
          <w:bCs/>
          <w:sz w:val="24"/>
        </w:rPr>
        <w:t>跨膜压测量范围：-600mmHg～+600mmHg（精确度：±20mmHg）</w:t>
      </w:r>
    </w:p>
    <w:p w14:paraId="1C4B6B3F">
      <w:pPr>
        <w:numPr>
          <w:ilvl w:val="0"/>
          <w:numId w:val="0"/>
        </w:numPr>
        <w:tabs>
          <w:tab w:val="center" w:pos="709"/>
        </w:tabs>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kern w:val="2"/>
          <w:sz w:val="24"/>
          <w:szCs w:val="24"/>
          <w:lang w:val="en-US" w:eastAsia="zh-CN" w:bidi="ar-SA"/>
        </w:rPr>
        <w:t>6、</w:t>
      </w:r>
      <w:r>
        <w:rPr>
          <w:rFonts w:hint="eastAsia" w:ascii="宋体" w:hAnsi="宋体" w:eastAsia="宋体" w:cs="宋体"/>
          <w:sz w:val="24"/>
        </w:rPr>
        <w:t>空气监测：同时具有血液管路超声监测及液位光电监测</w:t>
      </w:r>
    </w:p>
    <w:p w14:paraId="772AABB4">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7、</w:t>
      </w:r>
      <w:r>
        <w:rPr>
          <w:rFonts w:hint="eastAsia" w:ascii="宋体" w:hAnsi="宋体" w:eastAsia="宋体" w:cs="宋体"/>
          <w:bCs/>
          <w:sz w:val="24"/>
        </w:rPr>
        <w:t>透析液流量：100ml/min～1000ml/min(精确度：-5%～+10%)</w:t>
      </w:r>
    </w:p>
    <w:p w14:paraId="06BD5461">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8、</w:t>
      </w:r>
      <w:r>
        <w:rPr>
          <w:rFonts w:hint="eastAsia" w:ascii="宋体" w:hAnsi="宋体" w:eastAsia="宋体" w:cs="宋体"/>
          <w:bCs/>
          <w:sz w:val="24"/>
        </w:rPr>
        <w:t>透析液温度：33-40℃</w:t>
      </w:r>
    </w:p>
    <w:p w14:paraId="27635994">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9、</w:t>
      </w:r>
      <w:r>
        <w:rPr>
          <w:rFonts w:hint="eastAsia" w:ascii="宋体" w:hAnsi="宋体" w:eastAsia="宋体" w:cs="宋体"/>
          <w:bCs/>
          <w:sz w:val="24"/>
        </w:rPr>
        <w:t>超滤率范围：0～4000ml/h</w:t>
      </w:r>
    </w:p>
    <w:p w14:paraId="3AECF7CF">
      <w:pPr>
        <w:numPr>
          <w:ilvl w:val="0"/>
          <w:numId w:val="0"/>
        </w:numPr>
        <w:tabs>
          <w:tab w:val="center" w:pos="709"/>
        </w:tabs>
        <w:adjustRightInd w:val="0"/>
        <w:snapToGrid w:val="0"/>
        <w:spacing w:line="360" w:lineRule="auto"/>
        <w:ind w:firstLine="480" w:firstLineChars="200"/>
        <w:rPr>
          <w:rFonts w:ascii="宋体" w:hAnsi="宋体" w:eastAsia="宋体" w:cs="宋体"/>
          <w:bCs/>
          <w:sz w:val="24"/>
        </w:rPr>
      </w:pPr>
      <w:r>
        <w:rPr>
          <w:rFonts w:hint="eastAsia" w:ascii="宋体" w:hAnsi="宋体" w:eastAsia="宋体" w:cs="宋体"/>
          <w:bCs/>
          <w:kern w:val="2"/>
          <w:sz w:val="24"/>
          <w:szCs w:val="24"/>
          <w:lang w:val="en-US" w:eastAsia="zh-CN" w:bidi="ar-SA"/>
        </w:rPr>
        <w:t>10、</w:t>
      </w:r>
      <w:r>
        <w:rPr>
          <w:rFonts w:hint="eastAsia" w:ascii="宋体" w:hAnsi="宋体" w:eastAsia="宋体" w:cs="宋体"/>
          <w:bCs/>
          <w:sz w:val="24"/>
        </w:rPr>
        <w:t>超滤量：0-10L可调</w:t>
      </w:r>
      <w:r>
        <w:rPr>
          <w:rFonts w:hint="eastAsia" w:ascii="Times New Roman" w:hAnsi="Times New Roman" w:eastAsia="宋体" w:cs="Times New Roman"/>
          <w:sz w:val="24"/>
        </w:rPr>
        <w:t>，</w:t>
      </w:r>
      <w:r>
        <w:rPr>
          <w:rFonts w:hint="eastAsia" w:ascii="宋体" w:hAnsi="宋体" w:eastAsia="宋体" w:cs="宋体"/>
          <w:sz w:val="24"/>
        </w:rPr>
        <w:t>可设2</w:t>
      </w:r>
      <w:r>
        <w:rPr>
          <w:rFonts w:ascii="宋体" w:hAnsi="宋体" w:eastAsia="宋体" w:cs="宋体"/>
          <w:sz w:val="24"/>
        </w:rPr>
        <w:t>4</w:t>
      </w:r>
      <w:r>
        <w:rPr>
          <w:rFonts w:hint="eastAsia" w:ascii="宋体" w:hAnsi="宋体" w:eastAsia="宋体" w:cs="宋体"/>
          <w:sz w:val="24"/>
        </w:rPr>
        <w:t>小时超滤时间</w:t>
      </w:r>
    </w:p>
    <w:p w14:paraId="01953351">
      <w:pPr>
        <w:numPr>
          <w:ilvl w:val="0"/>
          <w:numId w:val="0"/>
        </w:numPr>
        <w:tabs>
          <w:tab w:val="center" w:pos="709"/>
        </w:tabs>
        <w:adjustRightInd w:val="0"/>
        <w:snapToGrid w:val="0"/>
        <w:spacing w:line="360" w:lineRule="auto"/>
        <w:ind w:firstLine="480" w:firstLineChars="200"/>
        <w:rPr>
          <w:rFonts w:hint="eastAsia" w:ascii="宋体" w:hAnsi="宋体" w:eastAsia="宋体" w:cs="宋体"/>
          <w:bCs/>
          <w:color w:val="auto"/>
          <w:sz w:val="24"/>
        </w:rPr>
      </w:pPr>
      <w:r>
        <w:rPr>
          <w:rFonts w:hint="eastAsia" w:ascii="宋体" w:hAnsi="宋体" w:eastAsia="宋体" w:cs="宋体"/>
          <w:bCs/>
          <w:kern w:val="2"/>
          <w:sz w:val="24"/>
          <w:szCs w:val="24"/>
          <w:lang w:val="en-US" w:eastAsia="zh-CN" w:bidi="ar-SA"/>
        </w:rPr>
        <w:t>11、</w:t>
      </w:r>
      <w:r>
        <w:rPr>
          <w:rFonts w:hint="eastAsia" w:ascii="宋体" w:hAnsi="宋体" w:eastAsia="宋体" w:cs="宋体"/>
          <w:bCs/>
          <w:sz w:val="24"/>
        </w:rPr>
        <w:t>电导率：</w:t>
      </w:r>
      <w:r>
        <w:rPr>
          <w:rFonts w:hint="eastAsia" w:ascii="宋体" w:hAnsi="宋体" w:eastAsia="宋体" w:cs="宋体"/>
          <w:bCs/>
          <w:color w:val="auto"/>
          <w:sz w:val="24"/>
        </w:rPr>
        <w:t>1</w:t>
      </w:r>
      <w:r>
        <w:rPr>
          <w:rFonts w:hint="eastAsia" w:ascii="宋体" w:hAnsi="宋体" w:eastAsia="宋体" w:cs="宋体"/>
          <w:bCs/>
          <w:color w:val="auto"/>
          <w:sz w:val="24"/>
          <w:lang w:val="en-US" w:eastAsia="zh-CN"/>
        </w:rPr>
        <w:t>3</w:t>
      </w:r>
      <w:r>
        <w:rPr>
          <w:rFonts w:hint="eastAsia" w:ascii="宋体" w:hAnsi="宋体" w:eastAsia="宋体" w:cs="宋体"/>
          <w:bCs/>
          <w:color w:val="auto"/>
          <w:sz w:val="24"/>
        </w:rPr>
        <w:t>mS/cm～15.</w:t>
      </w:r>
      <w:r>
        <w:rPr>
          <w:rFonts w:hint="eastAsia" w:ascii="宋体" w:hAnsi="宋体" w:eastAsia="宋体" w:cs="宋体"/>
          <w:bCs/>
          <w:color w:val="auto"/>
          <w:sz w:val="24"/>
          <w:lang w:val="en-US" w:eastAsia="zh-CN"/>
        </w:rPr>
        <w:t>5</w:t>
      </w:r>
      <w:r>
        <w:rPr>
          <w:rFonts w:hint="eastAsia" w:ascii="宋体" w:hAnsi="宋体" w:eastAsia="宋体" w:cs="宋体"/>
          <w:bCs/>
          <w:color w:val="auto"/>
          <w:sz w:val="24"/>
        </w:rPr>
        <w:t>mS/cm(精确度：±0.1mS/cm)</w:t>
      </w:r>
    </w:p>
    <w:p w14:paraId="06D9F1D8">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color w:val="auto"/>
          <w:kern w:val="2"/>
          <w:sz w:val="24"/>
          <w:szCs w:val="24"/>
          <w:lang w:val="en-US" w:eastAsia="zh-CN" w:bidi="ar-SA"/>
        </w:rPr>
        <w:t>12、</w:t>
      </w:r>
      <w:r>
        <w:rPr>
          <w:rFonts w:hint="eastAsia" w:ascii="宋体" w:hAnsi="宋体" w:eastAsia="宋体" w:cs="宋体"/>
          <w:bCs/>
          <w:color w:val="auto"/>
          <w:sz w:val="24"/>
        </w:rPr>
        <w:t>钠离子调整范围：125-15</w:t>
      </w:r>
      <w:r>
        <w:rPr>
          <w:rFonts w:hint="eastAsia" w:ascii="宋体" w:hAnsi="宋体" w:eastAsia="宋体" w:cs="宋体"/>
          <w:bCs/>
          <w:color w:val="auto"/>
          <w:sz w:val="24"/>
          <w:lang w:val="en-US" w:eastAsia="zh-CN"/>
        </w:rPr>
        <w:t>0</w:t>
      </w:r>
      <w:r>
        <w:rPr>
          <w:rFonts w:hint="eastAsia" w:ascii="宋体" w:hAnsi="宋体" w:eastAsia="宋体" w:cs="宋体"/>
          <w:bCs/>
          <w:sz w:val="24"/>
        </w:rPr>
        <w:t>mmol/L</w:t>
      </w:r>
    </w:p>
    <w:p w14:paraId="6318064E">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13、</w:t>
      </w:r>
      <w:r>
        <w:rPr>
          <w:rFonts w:hint="eastAsia" w:ascii="宋体" w:hAnsi="宋体" w:eastAsia="宋体" w:cs="宋体"/>
          <w:bCs/>
          <w:sz w:val="24"/>
        </w:rPr>
        <w:t>碳酸氢盐调整范围：24-40mmol/L</w:t>
      </w:r>
    </w:p>
    <w:p w14:paraId="3A4FA9FB">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14、</w:t>
      </w:r>
      <w:r>
        <w:rPr>
          <w:rFonts w:hint="eastAsia" w:ascii="宋体" w:hAnsi="宋体" w:eastAsia="宋体" w:cs="宋体"/>
          <w:bCs/>
          <w:sz w:val="24"/>
        </w:rPr>
        <w:t>漏血检测器：≤0.35mL/min（红细胞比容(HCT)=32%）</w:t>
      </w:r>
    </w:p>
    <w:p w14:paraId="1391A9C8">
      <w:pPr>
        <w:numPr>
          <w:ilvl w:val="0"/>
          <w:numId w:val="0"/>
        </w:numPr>
        <w:tabs>
          <w:tab w:val="center" w:pos="709"/>
        </w:tabs>
        <w:adjustRightInd w:val="0"/>
        <w:snapToGrid w:val="0"/>
        <w:spacing w:line="360" w:lineRule="auto"/>
        <w:ind w:firstLine="480" w:firstLineChars="200"/>
        <w:rPr>
          <w:rFonts w:hint="eastAsia" w:ascii="宋体" w:hAnsi="宋体" w:eastAsia="宋体" w:cs="宋体"/>
          <w:bCs/>
          <w:sz w:val="24"/>
        </w:rPr>
      </w:pPr>
      <w:r>
        <w:rPr>
          <w:rFonts w:hint="eastAsia" w:ascii="宋体" w:hAnsi="宋体" w:eastAsia="宋体" w:cs="宋体"/>
          <w:bCs/>
          <w:kern w:val="2"/>
          <w:sz w:val="24"/>
          <w:szCs w:val="24"/>
          <w:lang w:val="en-US" w:eastAsia="zh-CN" w:bidi="ar-SA"/>
        </w:rPr>
        <w:t>15、</w:t>
      </w:r>
      <w:r>
        <w:rPr>
          <w:rFonts w:hint="eastAsia" w:ascii="宋体" w:hAnsi="宋体" w:eastAsia="宋体" w:cs="宋体"/>
          <w:bCs/>
          <w:sz w:val="24"/>
        </w:rPr>
        <w:t>无创血压参数：收缩压：30mmHg～270mmHg，舒张压：10mmHg～220mmHg，平均动脉压：20mmHg～235mmHg（以上血压监测精确度：±8mmHg）；</w:t>
      </w:r>
    </w:p>
    <w:p w14:paraId="4D2A8941">
      <w:pPr>
        <w:adjustRightInd w:val="0"/>
        <w:snapToGrid w:val="0"/>
        <w:spacing w:line="288" w:lineRule="auto"/>
        <w:rPr>
          <w:rFonts w:ascii="宋体" w:hAnsi="宋体" w:eastAsia="宋体" w:cs="宋体"/>
          <w:bCs/>
          <w:sz w:val="24"/>
        </w:rPr>
      </w:pPr>
    </w:p>
    <w:p w14:paraId="3FD0855D">
      <w:pPr>
        <w:adjustRightInd w:val="0"/>
        <w:snapToGrid w:val="0"/>
        <w:spacing w:line="288" w:lineRule="auto"/>
        <w:rPr>
          <w:rFonts w:ascii="宋体" w:hAnsi="宋体" w:eastAsia="宋体" w:cs="宋体"/>
          <w:bCs/>
          <w:sz w:val="28"/>
        </w:rPr>
      </w:pPr>
    </w:p>
    <w:p w14:paraId="2CFFBCD8">
      <w:pPr>
        <w:adjustRightInd w:val="0"/>
        <w:snapToGrid w:val="0"/>
        <w:spacing w:line="288" w:lineRule="auto"/>
        <w:rPr>
          <w:rFonts w:hint="eastAsia" w:ascii="Times New Roman" w:hAnsi="Times New Roman" w:eastAsia="宋体" w:cs="Times New Roman"/>
          <w:sz w:val="28"/>
          <w:szCs w:val="28"/>
        </w:rPr>
      </w:pPr>
    </w:p>
    <w:p w14:paraId="5CC6D6B2">
      <w:pPr>
        <w:adjustRightInd w:val="0"/>
        <w:snapToGrid w:val="0"/>
        <w:spacing w:line="288" w:lineRule="auto"/>
        <w:rPr>
          <w:rFonts w:hint="eastAsia" w:ascii="Times New Roman" w:hAnsi="Times New Roman" w:eastAsia="宋体" w:cs="Times New Roman"/>
          <w:sz w:val="28"/>
          <w:szCs w:val="28"/>
        </w:rPr>
      </w:pPr>
    </w:p>
    <w:p w14:paraId="38CD30AB">
      <w:pPr>
        <w:adjustRightInd w:val="0"/>
        <w:snapToGrid w:val="0"/>
        <w:spacing w:line="288" w:lineRule="auto"/>
        <w:rPr>
          <w:rFonts w:hint="eastAsia" w:ascii="宋体" w:hAnsi="宋体" w:eastAsia="宋体" w:cs="宋体"/>
          <w:bCs/>
          <w:sz w:val="28"/>
        </w:rPr>
      </w:pPr>
    </w:p>
    <w:p w14:paraId="2D5CBA60">
      <w:pPr>
        <w:adjustRightInd w:val="0"/>
        <w:snapToGrid w:val="0"/>
        <w:spacing w:line="288" w:lineRule="auto"/>
        <w:rPr>
          <w:rFonts w:ascii="Times New Roman" w:hAnsi="Times New Roman" w:eastAsia="宋体" w:cs="Times New Roman"/>
          <w:sz w:val="28"/>
          <w:szCs w:val="28"/>
        </w:rPr>
      </w:pPr>
    </w:p>
    <w:p w14:paraId="7F91196F">
      <w:pPr>
        <w:adjustRightInd w:val="0"/>
        <w:snapToGrid w:val="0"/>
        <w:spacing w:line="288" w:lineRule="auto"/>
        <w:rPr>
          <w:rFonts w:ascii="Times New Roman" w:hAnsi="Times New Roman" w:eastAsia="宋体" w:cs="Times New Roman"/>
          <w:sz w:val="28"/>
          <w:szCs w:val="28"/>
        </w:rPr>
      </w:pPr>
    </w:p>
    <w:p w14:paraId="3D22EAD0">
      <w:pPr>
        <w:adjustRightInd w:val="0"/>
        <w:snapToGrid w:val="0"/>
        <w:spacing w:line="288" w:lineRule="auto"/>
        <w:rPr>
          <w:rFonts w:ascii="Times New Roman" w:hAnsi="Times New Roman" w:eastAsia="宋体" w:cs="Times New Roman"/>
          <w:sz w:val="28"/>
          <w:szCs w:val="28"/>
        </w:rPr>
      </w:pPr>
    </w:p>
    <w:p w14:paraId="56DB0059">
      <w:pPr>
        <w:adjustRightInd w:val="0"/>
        <w:snapToGrid w:val="0"/>
        <w:spacing w:line="288" w:lineRule="auto"/>
        <w:rPr>
          <w:rFonts w:ascii="Times New Roman" w:hAnsi="Times New Roman" w:eastAsia="宋体" w:cs="Times New Roman"/>
          <w:sz w:val="28"/>
          <w:szCs w:val="28"/>
        </w:rPr>
      </w:pPr>
    </w:p>
    <w:p w14:paraId="17F14410">
      <w:pPr>
        <w:adjustRightInd w:val="0"/>
        <w:snapToGrid w:val="0"/>
        <w:spacing w:line="288" w:lineRule="auto"/>
        <w:rPr>
          <w:rFonts w:ascii="Times New Roman" w:hAnsi="Times New Roman" w:eastAsia="宋体" w:cs="Times New Roman"/>
          <w:sz w:val="28"/>
          <w:szCs w:val="28"/>
        </w:rPr>
      </w:pPr>
    </w:p>
    <w:p w14:paraId="0785B167">
      <w:pPr>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br w:type="page"/>
      </w:r>
    </w:p>
    <w:p w14:paraId="4C553904">
      <w:pPr>
        <w:spacing w:line="312" w:lineRule="auto"/>
        <w:jc w:val="center"/>
        <w:rPr>
          <w:rFonts w:hint="eastAsia" w:ascii="宋体" w:hAnsi="宋体" w:eastAsia="宋体" w:cs="宋体"/>
          <w:b/>
          <w:bCs/>
          <w:sz w:val="28"/>
          <w:szCs w:val="28"/>
        </w:rPr>
      </w:pP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三</w:t>
      </w:r>
      <w:r>
        <w:rPr>
          <w:rFonts w:hint="eastAsia" w:ascii="宋体" w:hAnsi="宋体" w:eastAsia="宋体" w:cs="宋体"/>
          <w:b/>
          <w:bCs/>
          <w:sz w:val="28"/>
          <w:szCs w:val="28"/>
          <w:lang w:eastAsia="zh-CN"/>
        </w:rPr>
        <w:t>）</w:t>
      </w:r>
      <w:r>
        <w:rPr>
          <w:rFonts w:ascii="宋体" w:hAnsi="宋体" w:eastAsia="宋体" w:cs="宋体"/>
          <w:b/>
          <w:bCs/>
          <w:sz w:val="28"/>
          <w:szCs w:val="28"/>
        </w:rPr>
        <w:t>血液透析用制水设备</w:t>
      </w:r>
    </w:p>
    <w:p w14:paraId="6215B41E">
      <w:pPr>
        <w:spacing w:line="360" w:lineRule="auto"/>
        <w:ind w:firstLine="480" w:firstLineChars="200"/>
        <w:rPr>
          <w:rFonts w:ascii="宋体" w:hAnsi="宋体" w:eastAsia="宋体" w:cs="宋体"/>
          <w:sz w:val="24"/>
        </w:rPr>
      </w:pPr>
    </w:p>
    <w:p w14:paraId="206C1BB3">
      <w:pPr>
        <w:spacing w:line="360" w:lineRule="auto"/>
        <w:ind w:firstLine="480" w:firstLineChars="200"/>
        <w:rPr>
          <w:rFonts w:hint="eastAsia" w:ascii="宋体" w:hAnsi="宋体" w:eastAsia="宋体" w:cs="宋体"/>
          <w:sz w:val="24"/>
        </w:rPr>
      </w:pPr>
      <w:r>
        <w:rPr>
          <w:rFonts w:ascii="宋体" w:hAnsi="宋体" w:eastAsia="宋体" w:cs="宋体"/>
          <w:sz w:val="24"/>
        </w:rPr>
        <w:t>1</w:t>
      </w:r>
      <w:r>
        <w:rPr>
          <w:rFonts w:hint="eastAsia" w:ascii="宋体" w:hAnsi="宋体" w:eastAsia="宋体" w:cs="宋体"/>
          <w:sz w:val="24"/>
          <w:lang w:eastAsia="zh-CN"/>
        </w:rPr>
        <w:t>、</w:t>
      </w:r>
      <w:r>
        <w:rPr>
          <w:rFonts w:ascii="宋体" w:hAnsi="宋体" w:eastAsia="宋体" w:cs="宋体"/>
          <w:sz w:val="24"/>
        </w:rPr>
        <w:t>产水水质：菌落总数：≤1CFU/ml，内毒素：≤0.02EU/ml。</w:t>
      </w:r>
      <w:r>
        <w:rPr>
          <w:rFonts w:ascii="宋体" w:hAnsi="宋体" w:eastAsia="宋体" w:cs="宋体"/>
          <w:b/>
          <w:bCs/>
          <w:sz w:val="24"/>
        </w:rPr>
        <w:t>（提供</w:t>
      </w:r>
      <w:r>
        <w:rPr>
          <w:rFonts w:hint="eastAsia" w:ascii="宋体" w:hAnsi="宋体" w:eastAsia="宋体" w:cs="宋体"/>
          <w:b/>
          <w:bCs/>
          <w:sz w:val="24"/>
          <w:lang w:val="en-US" w:eastAsia="zh-CN"/>
        </w:rPr>
        <w:t>有资质的第三方检测机构</w:t>
      </w:r>
      <w:r>
        <w:rPr>
          <w:rFonts w:ascii="宋体" w:hAnsi="宋体" w:eastAsia="宋体" w:cs="宋体"/>
          <w:b/>
          <w:bCs/>
          <w:sz w:val="24"/>
        </w:rPr>
        <w:t>出具的检测报告</w:t>
      </w:r>
      <w:r>
        <w:rPr>
          <w:rFonts w:hint="eastAsia" w:ascii="宋体" w:hAnsi="宋体" w:eastAsia="宋体" w:cs="宋体"/>
          <w:b/>
          <w:bCs/>
          <w:sz w:val="24"/>
          <w:lang w:val="en-US" w:eastAsia="zh-CN"/>
        </w:rPr>
        <w:t>并加盖投标人公章</w:t>
      </w:r>
      <w:r>
        <w:rPr>
          <w:rFonts w:ascii="宋体" w:hAnsi="宋体" w:eastAsia="宋体" w:cs="宋体"/>
          <w:b/>
          <w:bCs/>
          <w:sz w:val="24"/>
        </w:rPr>
        <w:t>）</w:t>
      </w:r>
    </w:p>
    <w:p w14:paraId="2C36A5A7">
      <w:pPr>
        <w:spacing w:line="360" w:lineRule="auto"/>
        <w:ind w:firstLine="480" w:firstLineChars="20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lang w:eastAsia="zh-CN"/>
        </w:rPr>
        <w:t>、</w:t>
      </w:r>
      <w:r>
        <w:rPr>
          <w:rFonts w:ascii="宋体" w:hAnsi="宋体" w:eastAsia="宋体" w:cs="宋体"/>
          <w:sz w:val="24"/>
        </w:rPr>
        <w:t>实测产水流量：温度低于15℃情况下，实测产水量≥900L/H（15L/min），可满足20床透析用水。</w:t>
      </w:r>
      <w:r>
        <w:rPr>
          <w:rFonts w:ascii="宋体" w:hAnsi="宋体" w:eastAsia="宋体" w:cs="宋体"/>
          <w:b/>
          <w:bCs/>
          <w:sz w:val="24"/>
        </w:rPr>
        <w:t>（提供</w:t>
      </w:r>
      <w:r>
        <w:rPr>
          <w:rFonts w:hint="eastAsia" w:ascii="宋体" w:hAnsi="宋体" w:eastAsia="宋体" w:cs="宋体"/>
          <w:b/>
          <w:bCs/>
          <w:sz w:val="24"/>
          <w:lang w:val="en-US" w:eastAsia="zh-CN"/>
        </w:rPr>
        <w:t>有资质的第三方检测机构</w:t>
      </w:r>
      <w:r>
        <w:rPr>
          <w:rFonts w:ascii="宋体" w:hAnsi="宋体" w:eastAsia="宋体" w:cs="宋体"/>
          <w:b/>
          <w:bCs/>
          <w:sz w:val="24"/>
        </w:rPr>
        <w:t>出具的检测报告</w:t>
      </w:r>
      <w:r>
        <w:rPr>
          <w:rFonts w:hint="eastAsia" w:ascii="宋体" w:hAnsi="宋体" w:eastAsia="宋体" w:cs="宋体"/>
          <w:b/>
          <w:bCs/>
          <w:sz w:val="24"/>
          <w:lang w:val="en-US" w:eastAsia="zh-CN"/>
        </w:rPr>
        <w:t>并加盖投标人公章</w:t>
      </w:r>
      <w:r>
        <w:rPr>
          <w:rFonts w:ascii="宋体" w:hAnsi="宋体" w:eastAsia="宋体" w:cs="宋体"/>
          <w:b/>
          <w:bCs/>
          <w:sz w:val="24"/>
        </w:rPr>
        <w:t>）</w:t>
      </w:r>
    </w:p>
    <w:p w14:paraId="1B648EE3">
      <w:pPr>
        <w:spacing w:line="360" w:lineRule="auto"/>
        <w:ind w:firstLine="480" w:firstLineChars="200"/>
        <w:rPr>
          <w:rFonts w:hint="eastAsia" w:ascii="宋体" w:hAnsi="宋体" w:eastAsia="宋体" w:cs="宋体"/>
          <w:sz w:val="24"/>
        </w:rPr>
      </w:pPr>
      <w:r>
        <w:rPr>
          <w:rFonts w:ascii="宋体" w:hAnsi="宋体" w:eastAsia="宋体" w:cs="宋体"/>
          <w:sz w:val="24"/>
        </w:rPr>
        <w:t>3</w:t>
      </w:r>
      <w:r>
        <w:rPr>
          <w:rFonts w:hint="eastAsia" w:ascii="宋体" w:hAnsi="宋体" w:eastAsia="宋体" w:cs="宋体"/>
          <w:sz w:val="24"/>
          <w:lang w:eastAsia="zh-CN"/>
        </w:rPr>
        <w:t>、</w:t>
      </w:r>
      <w:r>
        <w:rPr>
          <w:rFonts w:ascii="宋体" w:hAnsi="宋体" w:eastAsia="宋体" w:cs="宋体"/>
          <w:sz w:val="24"/>
        </w:rPr>
        <w:t>自动化学消毒：一键启动消毒程序。消毒可任意设置循环、浸泡时长，自动冲洗至电导检测合格后终止消毒程序。</w:t>
      </w:r>
    </w:p>
    <w:p w14:paraId="1A109439">
      <w:pPr>
        <w:spacing w:line="360" w:lineRule="auto"/>
        <w:ind w:firstLine="480" w:firstLineChars="200"/>
        <w:rPr>
          <w:rFonts w:hint="eastAsia" w:ascii="宋体" w:hAnsi="宋体" w:eastAsia="宋体" w:cs="宋体"/>
          <w:sz w:val="24"/>
        </w:rPr>
      </w:pPr>
      <w:r>
        <w:rPr>
          <w:rFonts w:ascii="宋体" w:hAnsi="宋体" w:eastAsia="宋体" w:cs="宋体"/>
          <w:sz w:val="24"/>
        </w:rPr>
        <w:t>4</w:t>
      </w:r>
      <w:r>
        <w:rPr>
          <w:rFonts w:hint="eastAsia" w:ascii="宋体" w:hAnsi="宋体" w:eastAsia="宋体" w:cs="宋体"/>
          <w:sz w:val="24"/>
          <w:lang w:eastAsia="zh-CN"/>
        </w:rPr>
        <w:t>、</w:t>
      </w:r>
      <w:r>
        <w:rPr>
          <w:rFonts w:ascii="宋体" w:hAnsi="宋体" w:eastAsia="宋体" w:cs="宋体"/>
          <w:sz w:val="24"/>
        </w:rPr>
        <w:t>智能废水回收平衡系统：系统通过对浓水电导采集分析，自动调整浓水回收比例。</w:t>
      </w:r>
    </w:p>
    <w:p w14:paraId="30A9442F">
      <w:pPr>
        <w:spacing w:line="360" w:lineRule="auto"/>
        <w:ind w:firstLine="480" w:firstLineChars="200"/>
        <w:rPr>
          <w:rFonts w:hint="eastAsia" w:ascii="宋体" w:hAnsi="宋体" w:eastAsia="宋体" w:cs="宋体"/>
          <w:sz w:val="24"/>
        </w:rPr>
      </w:pPr>
      <w:r>
        <w:rPr>
          <w:rFonts w:ascii="宋体" w:hAnsi="宋体" w:eastAsia="宋体" w:cs="宋体"/>
          <w:sz w:val="24"/>
        </w:rPr>
        <w:t>5</w:t>
      </w:r>
      <w:r>
        <w:rPr>
          <w:rFonts w:hint="eastAsia" w:ascii="宋体" w:hAnsi="宋体" w:eastAsia="宋体" w:cs="宋体"/>
          <w:sz w:val="24"/>
          <w:lang w:eastAsia="zh-CN"/>
        </w:rPr>
        <w:t>、</w:t>
      </w:r>
      <w:r>
        <w:rPr>
          <w:rFonts w:ascii="宋体" w:hAnsi="宋体" w:eastAsia="宋体" w:cs="宋体"/>
          <w:sz w:val="24"/>
        </w:rPr>
        <w:t>智能供水动态平衡系统：系统通过监测与计算，自动调整进水流量，使设备制水与进水始终维持一个平衡状态。</w:t>
      </w:r>
    </w:p>
    <w:p w14:paraId="30848B81">
      <w:pPr>
        <w:spacing w:line="360" w:lineRule="auto"/>
        <w:ind w:firstLine="480" w:firstLineChars="200"/>
        <w:rPr>
          <w:rFonts w:hint="eastAsia" w:ascii="宋体" w:hAnsi="宋体" w:eastAsia="宋体" w:cs="宋体"/>
          <w:sz w:val="24"/>
        </w:rPr>
      </w:pPr>
      <w:r>
        <w:rPr>
          <w:rFonts w:ascii="宋体" w:hAnsi="宋体" w:eastAsia="宋体" w:cs="宋体"/>
          <w:sz w:val="24"/>
        </w:rPr>
        <w:t>6</w:t>
      </w:r>
      <w:r>
        <w:rPr>
          <w:rFonts w:hint="eastAsia" w:ascii="宋体" w:hAnsi="宋体" w:eastAsia="宋体" w:cs="宋体"/>
          <w:sz w:val="24"/>
          <w:lang w:eastAsia="zh-CN"/>
        </w:rPr>
        <w:t>、</w:t>
      </w:r>
      <w:r>
        <w:rPr>
          <w:rFonts w:ascii="宋体" w:hAnsi="宋体" w:eastAsia="宋体" w:cs="宋体"/>
          <w:sz w:val="24"/>
        </w:rPr>
        <w:t>智能产水平衡系统：通过系统对数据的检测，实时判断实时水量，适时降低一、二级膜压节省能源或增高膜压提升产水量。</w:t>
      </w:r>
    </w:p>
    <w:p w14:paraId="5DCFC587">
      <w:pPr>
        <w:spacing w:line="360" w:lineRule="auto"/>
        <w:ind w:firstLine="480" w:firstLineChars="200"/>
        <w:rPr>
          <w:rFonts w:hint="eastAsia" w:ascii="宋体" w:hAnsi="宋体" w:eastAsia="宋体" w:cs="宋体"/>
          <w:sz w:val="24"/>
        </w:rPr>
      </w:pPr>
      <w:r>
        <w:rPr>
          <w:rFonts w:ascii="宋体" w:hAnsi="宋体" w:eastAsia="宋体" w:cs="宋体"/>
          <w:sz w:val="24"/>
        </w:rPr>
        <w:t>7</w:t>
      </w:r>
      <w:r>
        <w:rPr>
          <w:rFonts w:hint="eastAsia" w:ascii="宋体" w:hAnsi="宋体" w:eastAsia="宋体" w:cs="宋体"/>
          <w:sz w:val="24"/>
          <w:lang w:eastAsia="zh-CN"/>
        </w:rPr>
        <w:t>、</w:t>
      </w:r>
      <w:r>
        <w:rPr>
          <w:rFonts w:ascii="宋体" w:hAnsi="宋体" w:eastAsia="宋体" w:cs="宋体"/>
          <w:sz w:val="24"/>
        </w:rPr>
        <w:t>预处理智控模块：可在主机触摸屏上集中调控所有预处理的再生时间。系统可自动优先治疗用水，避免预处理冲洗、再生与主机制水相冲突，</w:t>
      </w:r>
      <w:r>
        <w:rPr>
          <w:rFonts w:hint="eastAsia" w:ascii="宋体" w:hAnsi="宋体" w:eastAsia="宋体" w:cs="宋体"/>
          <w:b/>
          <w:bCs/>
          <w:sz w:val="24"/>
          <w:lang w:eastAsia="zh-CN"/>
        </w:rPr>
        <w:t>（</w:t>
      </w:r>
      <w:r>
        <w:rPr>
          <w:rFonts w:ascii="宋体" w:hAnsi="宋体" w:eastAsia="宋体" w:cs="宋体"/>
          <w:b/>
          <w:bCs/>
          <w:sz w:val="24"/>
        </w:rPr>
        <w:t>提供实拍预处理冲洗时间设置触控界面图片</w:t>
      </w:r>
      <w:r>
        <w:rPr>
          <w:rFonts w:hint="eastAsia" w:ascii="宋体" w:hAnsi="宋体" w:eastAsia="宋体" w:cs="宋体"/>
          <w:b/>
          <w:bCs/>
          <w:sz w:val="24"/>
          <w:lang w:val="en-US" w:eastAsia="zh-CN"/>
        </w:rPr>
        <w:t>并加盖投标人公章）</w:t>
      </w:r>
      <w:r>
        <w:rPr>
          <w:rFonts w:hint="eastAsia" w:ascii="宋体" w:hAnsi="宋体" w:eastAsia="宋体" w:cs="宋体"/>
          <w:sz w:val="24"/>
        </w:rPr>
        <w:t>。</w:t>
      </w:r>
    </w:p>
    <w:p w14:paraId="4C61DD0C">
      <w:pPr>
        <w:spacing w:line="360" w:lineRule="auto"/>
        <w:ind w:firstLine="480" w:firstLineChars="200"/>
        <w:rPr>
          <w:rFonts w:hint="eastAsia" w:ascii="宋体" w:hAnsi="宋体" w:eastAsia="宋体" w:cs="宋体"/>
          <w:sz w:val="24"/>
        </w:rPr>
      </w:pPr>
      <w:r>
        <w:rPr>
          <w:rFonts w:ascii="宋体" w:hAnsi="宋体" w:eastAsia="宋体" w:cs="宋体"/>
          <w:sz w:val="24"/>
        </w:rPr>
        <w:t>8</w:t>
      </w:r>
      <w:r>
        <w:rPr>
          <w:rFonts w:hint="eastAsia" w:ascii="宋体" w:hAnsi="宋体" w:eastAsia="宋体" w:cs="宋体"/>
          <w:sz w:val="24"/>
          <w:lang w:eastAsia="zh-CN"/>
        </w:rPr>
        <w:t>、</w:t>
      </w:r>
      <w:r>
        <w:rPr>
          <w:rFonts w:ascii="宋体" w:hAnsi="宋体" w:eastAsia="宋体" w:cs="宋体"/>
          <w:sz w:val="24"/>
        </w:rPr>
        <w:t>纯水养护：停机后纯水填整个系统，防止微生物滋生。</w:t>
      </w:r>
    </w:p>
    <w:p w14:paraId="1523B297">
      <w:pPr>
        <w:spacing w:line="360" w:lineRule="auto"/>
        <w:ind w:firstLine="480" w:firstLineChars="200"/>
        <w:rPr>
          <w:rFonts w:hint="eastAsia" w:ascii="宋体" w:hAnsi="宋体" w:eastAsia="宋体" w:cs="宋体"/>
          <w:sz w:val="24"/>
        </w:rPr>
      </w:pPr>
      <w:r>
        <w:rPr>
          <w:rFonts w:ascii="宋体" w:hAnsi="宋体" w:eastAsia="宋体" w:cs="宋体"/>
          <w:sz w:val="24"/>
        </w:rPr>
        <w:t>9</w:t>
      </w:r>
      <w:r>
        <w:rPr>
          <w:rFonts w:hint="eastAsia" w:ascii="宋体" w:hAnsi="宋体" w:eastAsia="宋体" w:cs="宋体"/>
          <w:sz w:val="24"/>
          <w:lang w:eastAsia="zh-CN"/>
        </w:rPr>
        <w:t>、</w:t>
      </w:r>
      <w:r>
        <w:rPr>
          <w:rFonts w:ascii="宋体" w:hAnsi="宋体" w:eastAsia="宋体" w:cs="宋体"/>
          <w:sz w:val="24"/>
        </w:rPr>
        <w:t>预处理系统：原水泵采用变频增压防止水锤、多介质过滤器，活性碳过滤器，软化器过滤器，全部采用玻璃钢过滤罐。</w:t>
      </w:r>
    </w:p>
    <w:p w14:paraId="5CDBBD09">
      <w:pPr>
        <w:spacing w:line="360" w:lineRule="auto"/>
        <w:ind w:firstLine="480" w:firstLineChars="200"/>
        <w:rPr>
          <w:rFonts w:hint="eastAsia" w:ascii="宋体" w:hAnsi="宋体" w:eastAsia="宋体" w:cs="宋体"/>
          <w:sz w:val="24"/>
        </w:rPr>
      </w:pPr>
      <w:r>
        <w:rPr>
          <w:rFonts w:ascii="宋体" w:hAnsi="宋体" w:eastAsia="宋体" w:cs="宋体"/>
          <w:sz w:val="24"/>
        </w:rPr>
        <w:t>10</w:t>
      </w:r>
      <w:r>
        <w:rPr>
          <w:rFonts w:hint="eastAsia" w:ascii="宋体" w:hAnsi="宋体" w:eastAsia="宋体" w:cs="宋体"/>
          <w:sz w:val="24"/>
          <w:lang w:eastAsia="zh-CN"/>
        </w:rPr>
        <w:t>、</w:t>
      </w:r>
      <w:r>
        <w:rPr>
          <w:rFonts w:ascii="宋体" w:hAnsi="宋体" w:eastAsia="宋体" w:cs="宋体"/>
          <w:sz w:val="24"/>
        </w:rPr>
        <w:t>反渗透高压水泵：</w:t>
      </w:r>
      <w:r>
        <w:rPr>
          <w:rFonts w:hint="eastAsia" w:ascii="宋体" w:hAnsi="宋体" w:eastAsia="宋体" w:cs="宋体"/>
          <w:sz w:val="24"/>
          <w:lang w:val="en-US" w:eastAsia="zh-CN"/>
        </w:rPr>
        <w:t xml:space="preserve"> </w:t>
      </w:r>
      <w:r>
        <w:rPr>
          <w:rFonts w:ascii="宋体" w:hAnsi="宋体" w:eastAsia="宋体" w:cs="宋体"/>
          <w:sz w:val="24"/>
        </w:rPr>
        <w:t>立式多级离心泵。</w:t>
      </w:r>
    </w:p>
    <w:p w14:paraId="51F9AE60">
      <w:pPr>
        <w:spacing w:line="360" w:lineRule="auto"/>
        <w:ind w:firstLine="480" w:firstLineChars="200"/>
        <w:rPr>
          <w:rFonts w:hint="eastAsia" w:ascii="宋体" w:hAnsi="宋体" w:eastAsia="宋体" w:cs="宋体"/>
          <w:sz w:val="24"/>
        </w:rPr>
      </w:pPr>
      <w:r>
        <w:rPr>
          <w:rFonts w:ascii="宋体" w:hAnsi="宋体" w:eastAsia="宋体" w:cs="宋体"/>
          <w:sz w:val="24"/>
        </w:rPr>
        <w:t>11</w:t>
      </w:r>
      <w:r>
        <w:rPr>
          <w:rFonts w:hint="eastAsia" w:ascii="宋体" w:hAnsi="宋体" w:eastAsia="宋体" w:cs="宋体"/>
          <w:sz w:val="24"/>
          <w:lang w:eastAsia="zh-CN"/>
        </w:rPr>
        <w:t>、</w:t>
      </w:r>
      <w:r>
        <w:rPr>
          <w:rFonts w:hint="eastAsia" w:ascii="宋体" w:hAnsi="宋体" w:eastAsia="宋体" w:cs="宋体"/>
          <w:sz w:val="24"/>
          <w:lang w:val="en-US" w:eastAsia="zh-CN"/>
        </w:rPr>
        <w:t>具有</w:t>
      </w:r>
      <w:r>
        <w:rPr>
          <w:rFonts w:ascii="宋体" w:hAnsi="宋体" w:eastAsia="宋体" w:cs="宋体"/>
          <w:sz w:val="24"/>
        </w:rPr>
        <w:t>反渗透膜。</w:t>
      </w:r>
    </w:p>
    <w:p w14:paraId="5071C91F">
      <w:pPr>
        <w:spacing w:line="360" w:lineRule="auto"/>
        <w:ind w:firstLine="480" w:firstLineChars="200"/>
        <w:rPr>
          <w:rFonts w:hint="eastAsia" w:ascii="宋体" w:hAnsi="宋体" w:eastAsia="宋体" w:cs="宋体"/>
          <w:sz w:val="24"/>
        </w:rPr>
      </w:pPr>
      <w:r>
        <w:rPr>
          <w:rFonts w:ascii="宋体" w:hAnsi="宋体" w:eastAsia="宋体" w:cs="宋体"/>
          <w:sz w:val="24"/>
        </w:rPr>
        <w:t>12</w:t>
      </w:r>
      <w:r>
        <w:rPr>
          <w:rFonts w:hint="eastAsia" w:ascii="宋体" w:hAnsi="宋体" w:eastAsia="宋体" w:cs="宋体"/>
          <w:sz w:val="24"/>
          <w:lang w:eastAsia="zh-CN"/>
        </w:rPr>
        <w:t>、</w:t>
      </w:r>
      <w:r>
        <w:rPr>
          <w:rFonts w:ascii="宋体" w:hAnsi="宋体" w:eastAsia="宋体" w:cs="宋体"/>
          <w:sz w:val="24"/>
        </w:rPr>
        <w:t>无盲端膜壳：不锈钢材质膜压力容器，含上下端盖整体设计长度</w:t>
      </w:r>
      <w:r>
        <w:rPr>
          <w:rFonts w:hint="eastAsia" w:ascii="宋体" w:hAnsi="宋体" w:eastAsia="宋体" w:cs="宋体"/>
          <w:sz w:val="24"/>
        </w:rPr>
        <w:t>小于等于</w:t>
      </w:r>
      <w:r>
        <w:rPr>
          <w:rFonts w:ascii="宋体" w:hAnsi="宋体" w:eastAsia="宋体" w:cs="宋体"/>
          <w:sz w:val="24"/>
        </w:rPr>
        <w:t>1.05米，贴合反渗透膜组有效提高膜压力容器内水流速度。</w:t>
      </w:r>
      <w:r>
        <w:rPr>
          <w:rFonts w:ascii="宋体" w:hAnsi="宋体" w:eastAsia="宋体" w:cs="宋体"/>
          <w:b/>
          <w:bCs/>
          <w:sz w:val="24"/>
        </w:rPr>
        <w:t>（提供装机膜壳的长度测量实拍图片</w:t>
      </w:r>
      <w:r>
        <w:rPr>
          <w:rFonts w:hint="eastAsia" w:ascii="宋体" w:hAnsi="宋体" w:eastAsia="宋体" w:cs="宋体"/>
          <w:b/>
          <w:bCs/>
          <w:sz w:val="24"/>
          <w:lang w:val="en-US" w:eastAsia="zh-CN"/>
        </w:rPr>
        <w:t>并加盖投标人公章</w:t>
      </w:r>
      <w:r>
        <w:rPr>
          <w:rFonts w:ascii="宋体" w:hAnsi="宋体" w:eastAsia="宋体" w:cs="宋体"/>
          <w:b/>
          <w:bCs/>
          <w:sz w:val="24"/>
        </w:rPr>
        <w:t>）</w:t>
      </w:r>
    </w:p>
    <w:p w14:paraId="169B2FB0">
      <w:pPr>
        <w:spacing w:line="360" w:lineRule="auto"/>
        <w:ind w:firstLine="480" w:firstLineChars="200"/>
        <w:rPr>
          <w:rFonts w:hint="eastAsia" w:ascii="宋体" w:hAnsi="宋体" w:eastAsia="宋体" w:cs="宋体"/>
          <w:sz w:val="24"/>
        </w:rPr>
      </w:pPr>
      <w:r>
        <w:rPr>
          <w:rFonts w:ascii="宋体" w:hAnsi="宋体" w:eastAsia="宋体" w:cs="宋体"/>
          <w:sz w:val="24"/>
        </w:rPr>
        <w:t>13</w:t>
      </w:r>
      <w:r>
        <w:rPr>
          <w:rFonts w:hint="eastAsia" w:ascii="宋体" w:hAnsi="宋体" w:eastAsia="宋体" w:cs="宋体"/>
          <w:sz w:val="24"/>
          <w:lang w:eastAsia="zh-CN"/>
        </w:rPr>
        <w:t>、</w:t>
      </w:r>
      <w:r>
        <w:rPr>
          <w:rFonts w:ascii="宋体" w:hAnsi="宋体" w:eastAsia="宋体" w:cs="宋体"/>
          <w:sz w:val="24"/>
        </w:rPr>
        <w:t>主机连接管路：不锈钢管件和阀门，内外惰性气体保护全自动环缝工艺焊接。</w:t>
      </w:r>
    </w:p>
    <w:p w14:paraId="629EAABD">
      <w:pPr>
        <w:spacing w:line="360" w:lineRule="auto"/>
        <w:ind w:firstLine="480" w:firstLineChars="200"/>
        <w:rPr>
          <w:rFonts w:hint="eastAsia" w:ascii="宋体" w:hAnsi="宋体" w:eastAsia="宋体" w:cs="宋体"/>
          <w:sz w:val="24"/>
        </w:rPr>
      </w:pPr>
      <w:r>
        <w:rPr>
          <w:rFonts w:ascii="宋体" w:hAnsi="宋体" w:eastAsia="宋体" w:cs="宋体"/>
          <w:sz w:val="24"/>
        </w:rPr>
        <w:t>14</w:t>
      </w:r>
      <w:r>
        <w:rPr>
          <w:rFonts w:hint="eastAsia" w:ascii="宋体" w:hAnsi="宋体" w:eastAsia="宋体" w:cs="宋体"/>
          <w:sz w:val="24"/>
          <w:lang w:eastAsia="zh-CN"/>
        </w:rPr>
        <w:t>、</w:t>
      </w:r>
      <w:r>
        <w:rPr>
          <w:rFonts w:ascii="宋体" w:hAnsi="宋体" w:eastAsia="宋体" w:cs="宋体"/>
          <w:sz w:val="24"/>
        </w:rPr>
        <w:t>传感器：采用</w:t>
      </w:r>
      <w:r>
        <w:rPr>
          <w:rFonts w:hint="eastAsia" w:ascii="宋体" w:hAnsi="宋体" w:eastAsia="宋体" w:cs="宋体"/>
          <w:sz w:val="24"/>
          <w:lang w:val="en-US" w:eastAsia="zh-CN"/>
        </w:rPr>
        <w:t xml:space="preserve"> </w:t>
      </w:r>
      <w:r>
        <w:rPr>
          <w:rFonts w:ascii="宋体" w:hAnsi="宋体" w:eastAsia="宋体" w:cs="宋体"/>
          <w:sz w:val="24"/>
        </w:rPr>
        <w:t>电导表，同时检测源水、一级产水、二级产水电导值。可实时监控数据，自由设置预警值，设备具备数据超标声光报警提示功能。</w:t>
      </w:r>
    </w:p>
    <w:p w14:paraId="3BFD390F">
      <w:pPr>
        <w:spacing w:line="360" w:lineRule="auto"/>
        <w:ind w:firstLine="480" w:firstLineChars="200"/>
        <w:rPr>
          <w:rFonts w:hint="eastAsia" w:ascii="宋体" w:hAnsi="宋体" w:eastAsia="宋体" w:cs="宋体"/>
          <w:sz w:val="24"/>
        </w:rPr>
      </w:pPr>
      <w:r>
        <w:rPr>
          <w:rFonts w:ascii="宋体" w:hAnsi="宋体" w:eastAsia="宋体" w:cs="宋体"/>
          <w:sz w:val="24"/>
        </w:rPr>
        <w:t>15</w:t>
      </w:r>
      <w:r>
        <w:rPr>
          <w:rFonts w:hint="eastAsia" w:ascii="宋体" w:hAnsi="宋体" w:eastAsia="宋体" w:cs="宋体"/>
          <w:sz w:val="24"/>
          <w:lang w:eastAsia="zh-CN"/>
        </w:rPr>
        <w:t>、</w:t>
      </w:r>
      <w:r>
        <w:rPr>
          <w:rFonts w:ascii="宋体" w:hAnsi="宋体" w:eastAsia="宋体" w:cs="宋体"/>
          <w:sz w:val="24"/>
        </w:rPr>
        <w:t>病房纯水管路：管件材质采用UPVC管路。</w:t>
      </w:r>
    </w:p>
    <w:p w14:paraId="50336346">
      <w:pPr>
        <w:spacing w:line="360" w:lineRule="auto"/>
        <w:ind w:firstLine="480" w:firstLineChars="200"/>
        <w:rPr>
          <w:rFonts w:hint="eastAsia" w:ascii="宋体" w:hAnsi="宋体" w:eastAsia="宋体" w:cs="宋体"/>
          <w:sz w:val="24"/>
        </w:rPr>
      </w:pPr>
      <w:r>
        <w:rPr>
          <w:rFonts w:ascii="宋体" w:hAnsi="宋体" w:eastAsia="宋体" w:cs="宋体"/>
          <w:sz w:val="24"/>
        </w:rPr>
        <w:t>16</w:t>
      </w:r>
      <w:r>
        <w:rPr>
          <w:rFonts w:hint="eastAsia" w:ascii="宋体" w:hAnsi="宋体" w:eastAsia="宋体" w:cs="宋体"/>
          <w:sz w:val="24"/>
          <w:lang w:eastAsia="zh-CN"/>
        </w:rPr>
        <w:t>、</w:t>
      </w:r>
      <w:r>
        <w:rPr>
          <w:rFonts w:ascii="宋体" w:hAnsi="宋体" w:eastAsia="宋体" w:cs="宋体"/>
          <w:sz w:val="24"/>
        </w:rPr>
        <w:t>纯水恒压供水装置：管路采用稳压阀，自动恒定纯水管路压力值。</w:t>
      </w:r>
    </w:p>
    <w:p w14:paraId="7AED8ABB">
      <w:pPr>
        <w:spacing w:line="360" w:lineRule="auto"/>
        <w:ind w:firstLine="480" w:firstLineChars="200"/>
        <w:rPr>
          <w:rFonts w:hint="eastAsia" w:ascii="宋体" w:hAnsi="宋体" w:eastAsia="宋体" w:cs="宋体"/>
          <w:b/>
          <w:bCs/>
          <w:sz w:val="24"/>
        </w:rPr>
      </w:pPr>
      <w:r>
        <w:rPr>
          <w:rFonts w:ascii="宋体" w:hAnsi="宋体" w:eastAsia="宋体" w:cs="宋体"/>
          <w:sz w:val="24"/>
        </w:rPr>
        <w:t>17</w:t>
      </w:r>
      <w:r>
        <w:rPr>
          <w:rFonts w:hint="eastAsia" w:ascii="宋体" w:hAnsi="宋体" w:eastAsia="宋体" w:cs="宋体"/>
          <w:sz w:val="24"/>
          <w:lang w:eastAsia="zh-CN"/>
        </w:rPr>
        <w:t>、</w:t>
      </w:r>
      <w:r>
        <w:rPr>
          <w:rFonts w:ascii="宋体" w:hAnsi="宋体" w:eastAsia="宋体" w:cs="宋体"/>
          <w:sz w:val="24"/>
        </w:rPr>
        <w:t>主机底座：底座采用整张不锈钢板平铺于底座表面。</w:t>
      </w:r>
      <w:r>
        <w:rPr>
          <w:rFonts w:ascii="宋体" w:hAnsi="宋体" w:eastAsia="宋体" w:cs="宋体"/>
          <w:b/>
          <w:bCs/>
          <w:sz w:val="24"/>
        </w:rPr>
        <w:t>（提供底座实拍图片</w:t>
      </w:r>
      <w:r>
        <w:rPr>
          <w:rFonts w:hint="eastAsia" w:ascii="宋体" w:hAnsi="宋体" w:eastAsia="宋体" w:cs="宋体"/>
          <w:b/>
          <w:bCs/>
          <w:sz w:val="24"/>
          <w:lang w:val="en-US" w:eastAsia="zh-CN"/>
        </w:rPr>
        <w:t>并加盖投标人公章</w:t>
      </w:r>
      <w:r>
        <w:rPr>
          <w:rFonts w:ascii="宋体" w:hAnsi="宋体" w:eastAsia="宋体" w:cs="宋体"/>
          <w:b/>
          <w:bCs/>
          <w:sz w:val="24"/>
        </w:rPr>
        <w:t>）</w:t>
      </w:r>
    </w:p>
    <w:p w14:paraId="311B8542">
      <w:pPr>
        <w:spacing w:line="360" w:lineRule="auto"/>
        <w:ind w:firstLine="480" w:firstLineChars="200"/>
        <w:rPr>
          <w:rFonts w:hint="eastAsia" w:ascii="宋体" w:hAnsi="宋体" w:eastAsia="宋体" w:cs="宋体"/>
          <w:sz w:val="24"/>
        </w:rPr>
      </w:pPr>
      <w:r>
        <w:rPr>
          <w:rFonts w:ascii="宋体" w:hAnsi="宋体" w:eastAsia="宋体" w:cs="宋体"/>
          <w:sz w:val="24"/>
        </w:rPr>
        <w:t>18</w:t>
      </w:r>
      <w:r>
        <w:rPr>
          <w:rFonts w:hint="eastAsia" w:ascii="宋体" w:hAnsi="宋体" w:eastAsia="宋体" w:cs="宋体"/>
          <w:sz w:val="24"/>
          <w:lang w:eastAsia="zh-CN"/>
        </w:rPr>
        <w:t>、</w:t>
      </w:r>
      <w:r>
        <w:rPr>
          <w:rFonts w:ascii="宋体" w:hAnsi="宋体" w:eastAsia="宋体" w:cs="宋体"/>
          <w:sz w:val="24"/>
        </w:rPr>
        <w:t>售后服务：设备保修2年。</w:t>
      </w:r>
    </w:p>
    <w:p w14:paraId="41AD16FC">
      <w:pPr>
        <w:adjustRightInd w:val="0"/>
        <w:snapToGrid w:val="0"/>
        <w:spacing w:line="288" w:lineRule="auto"/>
        <w:rPr>
          <w:rFonts w:hint="eastAsia" w:ascii="Times New Roman" w:hAnsi="Times New Roman" w:eastAsia="宋体" w:cs="Times New Roman"/>
          <w:sz w:val="28"/>
          <w:szCs w:val="28"/>
        </w:rPr>
      </w:pPr>
    </w:p>
    <w:p w14:paraId="573AD5AE">
      <w:pPr>
        <w:widowControl w:val="0"/>
        <w:ind w:firstLine="560"/>
        <w:jc w:val="both"/>
        <w:rPr>
          <w:rFonts w:hint="eastAsia" w:ascii="Times New Roman" w:hAnsi="Times New Roman" w:eastAsia="仿宋_GB2312" w:cs="宋体"/>
          <w:kern w:val="2"/>
          <w:sz w:val="24"/>
          <w:szCs w:val="20"/>
          <w:lang w:val="en-US" w:eastAsia="zh-CN" w:bidi="ar-SA"/>
        </w:rPr>
      </w:pPr>
    </w:p>
    <w:p w14:paraId="62FE4AD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2B022DC6">
      <w:pPr>
        <w:spacing w:line="360" w:lineRule="auto"/>
        <w:rPr>
          <w:rFonts w:hint="eastAsia" w:ascii="宋体" w:hAnsi="宋体" w:eastAsia="宋体" w:cs="宋体"/>
          <w:color w:val="auto"/>
          <w:sz w:val="24"/>
          <w:szCs w:val="24"/>
        </w:rPr>
      </w:pPr>
    </w:p>
    <w:p w14:paraId="282EBFEF">
      <w:pPr>
        <w:spacing w:line="360" w:lineRule="auto"/>
        <w:rPr>
          <w:rFonts w:hint="eastAsia" w:ascii="宋体" w:hAnsi="宋体" w:eastAsia="宋体" w:cs="宋体"/>
          <w:color w:val="auto"/>
          <w:sz w:val="24"/>
          <w:szCs w:val="24"/>
        </w:rPr>
      </w:pPr>
    </w:p>
    <w:p w14:paraId="3933854E">
      <w:pPr>
        <w:rPr>
          <w:rFonts w:hint="eastAsia" w:ascii="宋体" w:hAnsi="宋体" w:eastAsia="宋体" w:cs="宋体"/>
          <w:b/>
          <w:bCs/>
          <w:snapToGrid w:val="0"/>
          <w:color w:val="auto"/>
          <w:spacing w:val="-3"/>
          <w:kern w:val="0"/>
          <w:sz w:val="32"/>
          <w:szCs w:val="32"/>
          <w:lang w:val="en-US" w:eastAsia="zh-CN" w:bidi="ar-SA"/>
        </w:rPr>
      </w:pPr>
      <w:r>
        <w:rPr>
          <w:rFonts w:hint="eastAsia" w:ascii="宋体" w:hAnsi="宋体" w:eastAsia="宋体" w:cs="宋体"/>
          <w:b/>
          <w:bCs/>
          <w:snapToGrid w:val="0"/>
          <w:color w:val="auto"/>
          <w:spacing w:val="-3"/>
          <w:kern w:val="0"/>
          <w:sz w:val="32"/>
          <w:szCs w:val="32"/>
          <w:lang w:val="en-US" w:eastAsia="zh-CN" w:bidi="ar-SA"/>
        </w:rPr>
        <w:br w:type="page"/>
      </w:r>
    </w:p>
    <w:p w14:paraId="66705579">
      <w:pPr>
        <w:spacing w:line="251" w:lineRule="auto"/>
        <w:jc w:val="center"/>
        <w:rPr>
          <w:rFonts w:hint="default" w:ascii="宋体" w:hAnsi="宋体" w:eastAsia="宋体" w:cs="宋体"/>
          <w:b/>
          <w:bCs/>
          <w:snapToGrid w:val="0"/>
          <w:color w:val="auto"/>
          <w:spacing w:val="-3"/>
          <w:kern w:val="0"/>
          <w:sz w:val="32"/>
          <w:szCs w:val="32"/>
          <w:lang w:val="en-US" w:eastAsia="zh-CN" w:bidi="ar-SA"/>
        </w:rPr>
      </w:pPr>
      <w:r>
        <w:rPr>
          <w:rFonts w:hint="eastAsia" w:ascii="宋体" w:hAnsi="宋体" w:eastAsia="宋体" w:cs="宋体"/>
          <w:b/>
          <w:bCs/>
          <w:snapToGrid w:val="0"/>
          <w:color w:val="auto"/>
          <w:spacing w:val="-3"/>
          <w:kern w:val="0"/>
          <w:sz w:val="32"/>
          <w:szCs w:val="32"/>
          <w:lang w:val="en-US" w:eastAsia="zh-CN" w:bidi="ar-SA"/>
        </w:rPr>
        <w:t>第三节  商务要求</w:t>
      </w:r>
    </w:p>
    <w:p w14:paraId="54DA7FAF">
      <w:pPr>
        <w:widowControl w:val="0"/>
        <w:spacing w:before="65" w:after="120" w:line="228" w:lineRule="auto"/>
        <w:ind w:left="10"/>
        <w:jc w:val="both"/>
        <w:rPr>
          <w:rFonts w:hint="eastAsia" w:ascii="宋体" w:hAnsi="宋体" w:eastAsia="宋体" w:cs="宋体"/>
          <w:b/>
          <w:bCs/>
          <w:color w:val="auto"/>
          <w:spacing w:val="5"/>
          <w:kern w:val="2"/>
          <w:sz w:val="21"/>
          <w:szCs w:val="21"/>
          <w:lang w:val="zh-CN" w:eastAsia="zh-CN" w:bidi="ar-SA"/>
        </w:rPr>
      </w:pPr>
    </w:p>
    <w:p w14:paraId="499ABF03">
      <w:pPr>
        <w:widowControl w:val="0"/>
        <w:spacing w:before="65" w:after="120" w:line="360" w:lineRule="auto"/>
        <w:ind w:left="10"/>
        <w:jc w:val="both"/>
        <w:rPr>
          <w:rFonts w:hint="eastAsia" w:ascii="宋体" w:hAnsi="宋体" w:eastAsia="宋体" w:cs="宋体"/>
          <w:color w:val="auto"/>
          <w:kern w:val="2"/>
          <w:sz w:val="24"/>
          <w:szCs w:val="24"/>
          <w:lang w:val="zh-CN" w:eastAsia="zh-CN" w:bidi="ar-SA"/>
        </w:rPr>
      </w:pPr>
      <w:r>
        <w:rPr>
          <w:rFonts w:hint="eastAsia" w:ascii="宋体" w:hAnsi="宋体" w:eastAsia="宋体" w:cs="宋体"/>
          <w:b/>
          <w:bCs/>
          <w:color w:val="auto"/>
          <w:spacing w:val="5"/>
          <w:kern w:val="2"/>
          <w:sz w:val="24"/>
          <w:szCs w:val="24"/>
          <w:lang w:val="zh-CN" w:eastAsia="zh-CN" w:bidi="ar-SA"/>
        </w:rPr>
        <w:t>一、项目要求:</w:t>
      </w:r>
    </w:p>
    <w:p w14:paraId="2292E1B3">
      <w:pPr>
        <w:widowControl w:val="0"/>
        <w:spacing w:before="175" w:after="120" w:line="360" w:lineRule="auto"/>
        <w:ind w:firstLine="500" w:firstLineChars="200"/>
        <w:jc w:val="both"/>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1、交货时间：</w:t>
      </w:r>
      <w:r>
        <w:rPr>
          <w:rFonts w:hint="eastAsia" w:ascii="宋体" w:hAnsi="宋体" w:eastAsia="宋体" w:cs="宋体"/>
          <w:color w:val="auto"/>
          <w:spacing w:val="5"/>
          <w:kern w:val="2"/>
          <w:sz w:val="24"/>
          <w:szCs w:val="24"/>
          <w:lang w:val="en-US" w:eastAsia="zh-CN" w:bidi="ar-SA"/>
        </w:rPr>
        <w:t>合同签订后15</w:t>
      </w:r>
      <w:r>
        <w:rPr>
          <w:rFonts w:hint="eastAsia" w:ascii="宋体" w:hAnsi="宋体" w:eastAsia="宋体" w:cs="宋体"/>
          <w:color w:val="auto"/>
          <w:spacing w:val="5"/>
          <w:kern w:val="2"/>
          <w:sz w:val="24"/>
          <w:szCs w:val="24"/>
          <w:lang w:val="zh-CN" w:eastAsia="zh-CN" w:bidi="ar-SA"/>
        </w:rPr>
        <w:t>日。</w:t>
      </w:r>
    </w:p>
    <w:p w14:paraId="2492461C">
      <w:pPr>
        <w:widowControl w:val="0"/>
        <w:spacing w:before="175" w:after="120" w:line="360" w:lineRule="auto"/>
        <w:ind w:firstLine="500" w:firstLineChars="2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2、交货方式：</w:t>
      </w:r>
      <w:r>
        <w:rPr>
          <w:rFonts w:hint="eastAsia" w:ascii="宋体" w:hAnsi="宋体" w:eastAsia="宋体" w:cs="宋体"/>
          <w:color w:val="auto"/>
          <w:spacing w:val="5"/>
          <w:kern w:val="2"/>
          <w:sz w:val="24"/>
          <w:szCs w:val="24"/>
          <w:highlight w:val="none"/>
          <w:lang w:val="zh-CN" w:eastAsia="zh-CN" w:bidi="ar-SA"/>
        </w:rPr>
        <w:t>送货上门安装调试完工并验收合格</w:t>
      </w:r>
      <w:r>
        <w:rPr>
          <w:rFonts w:hint="eastAsia" w:ascii="宋体" w:hAnsi="宋体" w:eastAsia="宋体" w:cs="宋体"/>
          <w:color w:val="auto"/>
          <w:spacing w:val="5"/>
          <w:kern w:val="2"/>
          <w:sz w:val="24"/>
          <w:szCs w:val="24"/>
          <w:lang w:val="zh-CN" w:eastAsia="zh-CN" w:bidi="ar-SA"/>
        </w:rPr>
        <w:t>交付使用。</w:t>
      </w:r>
    </w:p>
    <w:p w14:paraId="19139BDF">
      <w:pPr>
        <w:widowControl w:val="0"/>
        <w:spacing w:before="175" w:after="120" w:line="360" w:lineRule="auto"/>
        <w:ind w:firstLine="500" w:firstLineChars="2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3、交货安装地点：</w:t>
      </w:r>
      <w:r>
        <w:rPr>
          <w:rFonts w:hint="eastAsia" w:ascii="宋体" w:hAnsi="宋体" w:eastAsia="宋体" w:cs="宋体"/>
          <w:color w:val="auto"/>
          <w:spacing w:val="5"/>
          <w:kern w:val="2"/>
          <w:sz w:val="24"/>
          <w:szCs w:val="24"/>
          <w:lang w:val="en-US" w:eastAsia="zh-CN" w:bidi="ar-SA"/>
        </w:rPr>
        <w:t>采购人指定地点</w:t>
      </w:r>
      <w:r>
        <w:rPr>
          <w:rFonts w:hint="eastAsia" w:ascii="宋体" w:hAnsi="宋体" w:eastAsia="宋体" w:cs="宋体"/>
          <w:color w:val="auto"/>
          <w:spacing w:val="5"/>
          <w:kern w:val="2"/>
          <w:sz w:val="24"/>
          <w:szCs w:val="24"/>
          <w:lang w:val="zh-CN" w:eastAsia="zh-CN" w:bidi="ar-SA"/>
        </w:rPr>
        <w:t>。</w:t>
      </w:r>
    </w:p>
    <w:p w14:paraId="515EB8C5">
      <w:pPr>
        <w:widowControl w:val="0"/>
        <w:spacing w:before="175" w:after="120" w:line="360" w:lineRule="auto"/>
        <w:ind w:firstLine="500" w:firstLineChars="2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4、付款方式：合同签订后</w:t>
      </w:r>
      <w:r>
        <w:rPr>
          <w:rFonts w:hint="eastAsia" w:ascii="宋体" w:hAnsi="宋体" w:eastAsia="宋体" w:cs="宋体"/>
          <w:color w:val="auto"/>
          <w:spacing w:val="5"/>
          <w:kern w:val="2"/>
          <w:sz w:val="24"/>
          <w:szCs w:val="24"/>
          <w:lang w:val="en-US" w:eastAsia="zh-CN" w:bidi="ar-SA"/>
        </w:rPr>
        <w:t>另行约定</w:t>
      </w:r>
      <w:r>
        <w:rPr>
          <w:rFonts w:hint="eastAsia" w:ascii="宋体" w:hAnsi="宋体" w:eastAsia="宋体" w:cs="宋体"/>
          <w:color w:val="auto"/>
          <w:spacing w:val="5"/>
          <w:kern w:val="2"/>
          <w:sz w:val="24"/>
          <w:szCs w:val="24"/>
          <w:lang w:val="zh-CN" w:eastAsia="zh-CN" w:bidi="ar-SA"/>
        </w:rPr>
        <w:t>。</w:t>
      </w:r>
    </w:p>
    <w:p w14:paraId="5693D146">
      <w:pPr>
        <w:widowControl w:val="0"/>
        <w:spacing w:before="175" w:after="120" w:line="360" w:lineRule="auto"/>
        <w:ind w:firstLine="500" w:firstLineChars="2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en-US" w:eastAsia="zh-CN" w:bidi="ar-SA"/>
        </w:rPr>
        <w:t>5、</w:t>
      </w:r>
      <w:r>
        <w:rPr>
          <w:rFonts w:hint="eastAsia" w:ascii="宋体" w:hAnsi="宋体" w:eastAsia="宋体" w:cs="宋体"/>
          <w:color w:val="auto"/>
          <w:spacing w:val="5"/>
          <w:kern w:val="2"/>
          <w:sz w:val="24"/>
          <w:szCs w:val="24"/>
          <w:lang w:val="zh-CN" w:eastAsia="zh-CN" w:bidi="ar-SA"/>
        </w:rPr>
        <w:t>验收要求：</w:t>
      </w:r>
      <w:r>
        <w:rPr>
          <w:rFonts w:hint="eastAsia" w:ascii="宋体" w:hAnsi="宋体" w:eastAsia="宋体" w:cs="宋体"/>
          <w:color w:val="auto"/>
          <w:spacing w:val="5"/>
          <w:kern w:val="2"/>
          <w:sz w:val="24"/>
          <w:szCs w:val="24"/>
          <w:highlight w:val="none"/>
          <w:lang w:val="zh-CN" w:eastAsia="zh-CN" w:bidi="ar-SA"/>
        </w:rPr>
        <w:t>确保符合相关规范标准</w:t>
      </w:r>
      <w:r>
        <w:rPr>
          <w:rFonts w:hint="eastAsia" w:ascii="宋体" w:hAnsi="宋体" w:eastAsia="宋体" w:cs="宋体"/>
          <w:color w:val="auto"/>
          <w:spacing w:val="5"/>
          <w:kern w:val="2"/>
          <w:sz w:val="24"/>
          <w:szCs w:val="24"/>
          <w:lang w:val="zh-CN" w:eastAsia="zh-CN" w:bidi="ar-SA"/>
        </w:rPr>
        <w:t>。</w:t>
      </w:r>
    </w:p>
    <w:p w14:paraId="65ADC1DF">
      <w:pPr>
        <w:widowControl w:val="0"/>
        <w:spacing w:before="35" w:after="120" w:line="360" w:lineRule="auto"/>
        <w:jc w:val="both"/>
        <w:rPr>
          <w:rFonts w:hint="eastAsia" w:ascii="宋体" w:hAnsi="宋体" w:eastAsia="宋体" w:cs="宋体"/>
          <w:b/>
          <w:bCs/>
          <w:color w:val="auto"/>
          <w:kern w:val="2"/>
          <w:sz w:val="24"/>
          <w:szCs w:val="24"/>
          <w:lang w:val="zh-CN" w:eastAsia="zh-CN" w:bidi="ar-SA"/>
        </w:rPr>
      </w:pPr>
      <w:r>
        <w:rPr>
          <w:rFonts w:hint="eastAsia" w:ascii="宋体" w:hAnsi="宋体" w:eastAsia="宋体" w:cs="宋体"/>
          <w:b/>
          <w:bCs/>
          <w:color w:val="auto"/>
          <w:kern w:val="2"/>
          <w:sz w:val="24"/>
          <w:szCs w:val="24"/>
          <w:lang w:val="zh-CN" w:eastAsia="zh-CN" w:bidi="ar-SA"/>
        </w:rPr>
        <w:t>二、产品质量要求：</w:t>
      </w:r>
    </w:p>
    <w:p w14:paraId="06713C6E">
      <w:pPr>
        <w:widowControl w:val="0"/>
        <w:spacing w:before="35" w:after="120" w:line="360" w:lineRule="auto"/>
        <w:ind w:firstLine="500" w:firstLineChars="200"/>
        <w:jc w:val="both"/>
        <w:rPr>
          <w:rFonts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1、</w:t>
      </w:r>
      <w:r>
        <w:rPr>
          <w:rFonts w:hint="eastAsia" w:ascii="宋体" w:hAnsi="宋体" w:eastAsia="宋体" w:cs="宋体"/>
          <w:color w:val="auto"/>
          <w:spacing w:val="5"/>
          <w:kern w:val="2"/>
          <w:sz w:val="24"/>
          <w:szCs w:val="24"/>
          <w:lang w:val="en-US" w:eastAsia="zh-CN" w:bidi="ar-SA"/>
        </w:rPr>
        <w:t>质保期：产品验收合格之日起2年；</w:t>
      </w:r>
      <w:r>
        <w:rPr>
          <w:rFonts w:hint="eastAsia" w:ascii="宋体" w:hAnsi="宋体" w:eastAsia="宋体" w:cs="宋体"/>
          <w:color w:val="auto"/>
          <w:spacing w:val="5"/>
          <w:kern w:val="2"/>
          <w:sz w:val="24"/>
          <w:szCs w:val="24"/>
          <w:lang w:val="zh-CN" w:eastAsia="zh-CN" w:bidi="ar-SA"/>
        </w:rPr>
        <w:t>质保期内所有设备维护等要求上门服务。</w:t>
      </w:r>
    </w:p>
    <w:p w14:paraId="45F00881">
      <w:pPr>
        <w:widowControl w:val="0"/>
        <w:spacing w:before="35" w:after="120" w:line="360" w:lineRule="auto"/>
        <w:ind w:firstLine="500" w:firstLineChars="200"/>
        <w:jc w:val="both"/>
        <w:rPr>
          <w:rFonts w:ascii="宋体" w:hAnsi="宋体" w:eastAsia="宋体" w:cs="宋体"/>
          <w:color w:val="auto"/>
          <w:spacing w:val="5"/>
          <w:kern w:val="2"/>
          <w:sz w:val="24"/>
          <w:szCs w:val="24"/>
          <w:lang w:val="en-US" w:eastAsia="zh-CN" w:bidi="ar-SA"/>
        </w:rPr>
      </w:pPr>
      <w:r>
        <w:rPr>
          <w:rFonts w:hint="eastAsia" w:ascii="宋体" w:hAnsi="宋体" w:eastAsia="宋体" w:cs="宋体"/>
          <w:color w:val="auto"/>
          <w:spacing w:val="5"/>
          <w:kern w:val="2"/>
          <w:sz w:val="24"/>
          <w:szCs w:val="24"/>
          <w:lang w:val="en-US" w:eastAsia="zh-CN" w:bidi="ar-SA"/>
        </w:rPr>
        <w:t>2、包装标准：原厂包装，生产出厂日期要求近三个月内（以合同签订日为截止日开始计算）。</w:t>
      </w:r>
    </w:p>
    <w:p w14:paraId="33C1028B">
      <w:pPr>
        <w:widowControl w:val="0"/>
        <w:spacing w:before="35" w:after="120" w:line="360" w:lineRule="auto"/>
        <w:ind w:firstLine="500" w:firstLineChars="200"/>
        <w:jc w:val="both"/>
        <w:rPr>
          <w:rFonts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en-US" w:eastAsia="zh-CN" w:bidi="ar-SA"/>
        </w:rPr>
        <w:t>3、根据《医疗器械监督管理条例》第五十五条 医疗器械经营企业、使用单位不得经营、使用未依法注册或者备案、无合格证明文件以及过期、失效、淘汰的医疗器械。中标人所提供的货物必须为全新、未经使用过的原厂原装合格产品。</w:t>
      </w:r>
      <w:r>
        <w:rPr>
          <w:rFonts w:hint="eastAsia" w:ascii="宋体" w:hAnsi="宋体" w:eastAsia="宋体" w:cs="宋体"/>
          <w:color w:val="auto"/>
          <w:spacing w:val="5"/>
          <w:kern w:val="2"/>
          <w:sz w:val="24"/>
          <w:szCs w:val="24"/>
          <w:lang w:val="zh-CN" w:eastAsia="zh-CN" w:bidi="ar-SA"/>
        </w:rPr>
        <w:t>完全符合招标文件中规定的质量、规格和性能要求等技术标准；</w:t>
      </w:r>
    </w:p>
    <w:p w14:paraId="50DB9FDF">
      <w:pPr>
        <w:widowControl w:val="0"/>
        <w:spacing w:before="35" w:after="120" w:line="360" w:lineRule="auto"/>
        <w:ind w:firstLine="500" w:firstLineChars="200"/>
        <w:jc w:val="both"/>
        <w:rPr>
          <w:rFonts w:hint="eastAsia" w:ascii="宋体" w:hAnsi="宋体" w:eastAsia="宋体" w:cs="宋体"/>
          <w:b/>
          <w:bCs/>
          <w:color w:val="auto"/>
          <w:spacing w:val="6"/>
          <w:kern w:val="2"/>
          <w:sz w:val="24"/>
          <w:szCs w:val="24"/>
          <w:lang w:val="en-US" w:eastAsia="zh-CN" w:bidi="ar-SA"/>
        </w:rPr>
      </w:pPr>
      <w:r>
        <w:rPr>
          <w:rFonts w:hint="eastAsia" w:ascii="宋体" w:hAnsi="宋体" w:eastAsia="宋体" w:cs="宋体"/>
          <w:color w:val="auto"/>
          <w:spacing w:val="5"/>
          <w:kern w:val="2"/>
          <w:sz w:val="24"/>
          <w:szCs w:val="24"/>
          <w:lang w:val="zh-CN" w:eastAsia="zh-CN" w:bidi="ar-SA"/>
        </w:rPr>
        <w:t>4、甲方在验收过程中，如发现产品的品种、型号、使用年限、出厂日期延长等不符合规定的，甲方有权拒绝签收，由此带来的一切损失由中标人承担。</w:t>
      </w:r>
    </w:p>
    <w:p w14:paraId="312A0CC8">
      <w:pPr>
        <w:widowControl w:val="0"/>
        <w:spacing w:before="214" w:after="120" w:line="360" w:lineRule="auto"/>
        <w:ind w:left="110"/>
        <w:jc w:val="both"/>
        <w:rPr>
          <w:rFonts w:hint="eastAsia" w:ascii="宋体" w:hAnsi="宋体" w:eastAsia="宋体" w:cs="宋体"/>
          <w:color w:val="auto"/>
          <w:kern w:val="2"/>
          <w:sz w:val="24"/>
          <w:szCs w:val="24"/>
          <w:lang w:val="zh-CN" w:eastAsia="zh-CN" w:bidi="ar-SA"/>
        </w:rPr>
      </w:pPr>
      <w:r>
        <w:rPr>
          <w:rFonts w:hint="eastAsia" w:ascii="宋体" w:hAnsi="宋体" w:eastAsia="宋体" w:cs="宋体"/>
          <w:b/>
          <w:bCs/>
          <w:color w:val="auto"/>
          <w:spacing w:val="6"/>
          <w:kern w:val="2"/>
          <w:sz w:val="24"/>
          <w:szCs w:val="24"/>
          <w:lang w:val="zh-CN" w:eastAsia="zh-CN" w:bidi="ar-SA"/>
        </w:rPr>
        <w:t>三、项目实施要求：</w:t>
      </w:r>
    </w:p>
    <w:p w14:paraId="2F734C03">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1、产品运输、保管及保险</w:t>
      </w:r>
    </w:p>
    <w:p w14:paraId="1B37CA59">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（1）中标人负责产品到</w:t>
      </w:r>
      <w:r>
        <w:rPr>
          <w:rFonts w:hint="eastAsia" w:ascii="宋体" w:hAnsi="宋体" w:eastAsia="宋体" w:cs="宋体"/>
          <w:color w:val="auto"/>
          <w:spacing w:val="5"/>
          <w:kern w:val="2"/>
          <w:sz w:val="24"/>
          <w:szCs w:val="24"/>
          <w:lang w:val="en-US" w:eastAsia="zh-CN" w:bidi="ar-SA"/>
        </w:rPr>
        <w:t>交货</w:t>
      </w:r>
      <w:r>
        <w:rPr>
          <w:rFonts w:hint="eastAsia" w:ascii="宋体" w:hAnsi="宋体" w:eastAsia="宋体" w:cs="宋体"/>
          <w:color w:val="auto"/>
          <w:spacing w:val="5"/>
          <w:kern w:val="2"/>
          <w:sz w:val="24"/>
          <w:szCs w:val="24"/>
          <w:lang w:val="zh-CN" w:eastAsia="zh-CN" w:bidi="ar-SA"/>
        </w:rPr>
        <w:t>地点的全部运输，包括装卸及现场搬运等；</w:t>
      </w:r>
    </w:p>
    <w:p w14:paraId="6EB70622">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（2）中标人负责产品在</w:t>
      </w:r>
      <w:r>
        <w:rPr>
          <w:rFonts w:hint="eastAsia" w:ascii="宋体" w:hAnsi="宋体" w:eastAsia="宋体" w:cs="宋体"/>
          <w:color w:val="auto"/>
          <w:spacing w:val="5"/>
          <w:kern w:val="2"/>
          <w:sz w:val="24"/>
          <w:szCs w:val="24"/>
          <w:lang w:val="en-US" w:eastAsia="zh-CN" w:bidi="ar-SA"/>
        </w:rPr>
        <w:t>交货</w:t>
      </w:r>
      <w:r>
        <w:rPr>
          <w:rFonts w:hint="eastAsia" w:ascii="宋体" w:hAnsi="宋体" w:eastAsia="宋体" w:cs="宋体"/>
          <w:color w:val="auto"/>
          <w:spacing w:val="5"/>
          <w:kern w:val="2"/>
          <w:sz w:val="24"/>
          <w:szCs w:val="24"/>
          <w:lang w:val="zh-CN" w:eastAsia="zh-CN" w:bidi="ar-SA"/>
        </w:rPr>
        <w:t>地点的保管，直至项目验收合格；</w:t>
      </w:r>
    </w:p>
    <w:p w14:paraId="57804077">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（3）中标人负责其派出</w:t>
      </w:r>
      <w:r>
        <w:rPr>
          <w:rFonts w:hint="eastAsia" w:ascii="宋体" w:hAnsi="宋体" w:eastAsia="宋体" w:cs="宋体"/>
          <w:color w:val="auto"/>
          <w:spacing w:val="5"/>
          <w:kern w:val="2"/>
          <w:sz w:val="24"/>
          <w:szCs w:val="24"/>
          <w:lang w:val="en-US" w:eastAsia="zh-CN" w:bidi="ar-SA"/>
        </w:rPr>
        <w:t>工作</w:t>
      </w:r>
      <w:r>
        <w:rPr>
          <w:rFonts w:hint="eastAsia" w:ascii="宋体" w:hAnsi="宋体" w:eastAsia="宋体" w:cs="宋体"/>
          <w:color w:val="auto"/>
          <w:spacing w:val="5"/>
          <w:kern w:val="2"/>
          <w:sz w:val="24"/>
          <w:szCs w:val="24"/>
          <w:lang w:val="zh-CN" w:eastAsia="zh-CN" w:bidi="ar-SA"/>
        </w:rPr>
        <w:t>人员的人身意外保险。</w:t>
      </w:r>
    </w:p>
    <w:p w14:paraId="2C758DCE">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2、测试验收</w:t>
      </w:r>
    </w:p>
    <w:p w14:paraId="3A58E5FA">
      <w:pPr>
        <w:widowControl w:val="0"/>
        <w:spacing w:before="175" w:after="120" w:line="360" w:lineRule="auto"/>
        <w:ind w:left="339" w:firstLine="250" w:firstLineChars="1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（1）项目验收国家有强制性规定的，按国家规定执行；</w:t>
      </w:r>
    </w:p>
    <w:p w14:paraId="5FE436BD">
      <w:pPr>
        <w:widowControl w:val="0"/>
        <w:spacing w:before="175" w:after="120" w:line="360" w:lineRule="auto"/>
        <w:ind w:firstLine="500" w:firstLineChars="2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2）在验收实施过程中，允许对产品进行使用性测试。测试过程中因产品质量问题造成的损失由中标人承担，并返工直至合格，有关返工、再行验收，以及给采购人造成的损失等费用由中标人承担。连续两次项目验收不合格的，采购人可终止合同，另行按规定选择其他供应商采购，由此带来的一切损失由中标人承担。</w:t>
      </w:r>
    </w:p>
    <w:p w14:paraId="093DB42D">
      <w:pPr>
        <w:widowControl w:val="0"/>
        <w:spacing w:before="175" w:after="120" w:line="360" w:lineRule="auto"/>
        <w:ind w:firstLine="251" w:firstLineChars="100"/>
        <w:jc w:val="both"/>
        <w:rPr>
          <w:rFonts w:hint="eastAsia" w:ascii="宋体" w:hAnsi="宋体" w:eastAsia="宋体" w:cs="宋体"/>
          <w:b/>
          <w:bCs/>
          <w:color w:val="auto"/>
          <w:spacing w:val="5"/>
          <w:kern w:val="2"/>
          <w:sz w:val="24"/>
          <w:szCs w:val="24"/>
          <w:lang w:val="zh-CN" w:eastAsia="zh-CN" w:bidi="ar-SA"/>
        </w:rPr>
      </w:pPr>
      <w:r>
        <w:rPr>
          <w:rFonts w:hint="eastAsia" w:ascii="宋体" w:hAnsi="宋体" w:eastAsia="宋体" w:cs="宋体"/>
          <w:b/>
          <w:bCs/>
          <w:color w:val="auto"/>
          <w:spacing w:val="5"/>
          <w:kern w:val="2"/>
          <w:sz w:val="24"/>
          <w:szCs w:val="24"/>
          <w:lang w:val="zh-CN" w:eastAsia="zh-CN" w:bidi="ar-SA"/>
        </w:rPr>
        <w:t>四、售后服务要求：</w:t>
      </w:r>
    </w:p>
    <w:p w14:paraId="65B90F22">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1、设备安装</w:t>
      </w:r>
    </w:p>
    <w:p w14:paraId="7CA95027">
      <w:pPr>
        <w:widowControl w:val="0"/>
        <w:spacing w:before="175" w:after="120" w:line="360" w:lineRule="auto"/>
        <w:ind w:firstLine="250" w:firstLineChars="1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中标人派专业的安装人员进行安装、调试，且确保最短的时间内将产品安装调试到最佳状态。</w:t>
      </w:r>
    </w:p>
    <w:p w14:paraId="78B46652">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en-US" w:eastAsia="zh-CN" w:bidi="ar-SA"/>
        </w:rPr>
        <w:t>2、</w:t>
      </w:r>
      <w:r>
        <w:rPr>
          <w:rFonts w:hint="eastAsia" w:ascii="宋体" w:hAnsi="宋体" w:eastAsia="宋体" w:cs="宋体"/>
          <w:color w:val="auto"/>
          <w:spacing w:val="5"/>
          <w:kern w:val="2"/>
          <w:sz w:val="24"/>
          <w:szCs w:val="24"/>
          <w:lang w:val="zh-CN" w:eastAsia="zh-CN" w:bidi="ar-SA"/>
        </w:rPr>
        <w:t>培训服务</w:t>
      </w:r>
    </w:p>
    <w:p w14:paraId="3850907C">
      <w:pPr>
        <w:widowControl w:val="0"/>
        <w:spacing w:before="175" w:after="120" w:line="360" w:lineRule="auto"/>
        <w:ind w:firstLine="500" w:firstLineChars="2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中标人组织向有关人员进行培训，讲解产品的功能和使用方法，包括产品的性能特点、调试技巧等有关操作方法，指导解决调试过程中出现的问题等。</w:t>
      </w:r>
    </w:p>
    <w:p w14:paraId="54BC2891">
      <w:pPr>
        <w:widowControl w:val="0"/>
        <w:spacing w:before="175" w:after="120" w:line="360" w:lineRule="auto"/>
        <w:ind w:left="339"/>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3、产品维护</w:t>
      </w:r>
    </w:p>
    <w:p w14:paraId="7539C2A3">
      <w:pPr>
        <w:widowControl w:val="0"/>
        <w:spacing w:before="175" w:after="120" w:line="360" w:lineRule="auto"/>
        <w:ind w:firstLine="500" w:firstLineChars="200"/>
        <w:jc w:val="both"/>
        <w:rPr>
          <w:rFonts w:hint="eastAsia" w:ascii="宋体" w:hAnsi="宋体" w:eastAsia="宋体" w:cs="宋体"/>
          <w:color w:val="auto"/>
          <w:spacing w:val="5"/>
          <w:kern w:val="2"/>
          <w:sz w:val="24"/>
          <w:szCs w:val="24"/>
          <w:lang w:val="zh-CN" w:eastAsia="zh-CN" w:bidi="ar-SA"/>
        </w:rPr>
      </w:pPr>
      <w:r>
        <w:rPr>
          <w:rFonts w:hint="eastAsia" w:ascii="宋体" w:hAnsi="宋体" w:eastAsia="宋体" w:cs="宋体"/>
          <w:color w:val="auto"/>
          <w:spacing w:val="5"/>
          <w:kern w:val="2"/>
          <w:sz w:val="24"/>
          <w:szCs w:val="24"/>
          <w:lang w:val="zh-CN" w:eastAsia="zh-CN" w:bidi="ar-SA"/>
        </w:rPr>
        <w:t>质保期内出现任何质量问题（人为破坏或自然灾害等不可抗力除外），由中标人负责全免费（免全部工时费、材料费、管理费、财务费等）更换或维修。</w:t>
      </w:r>
    </w:p>
    <w:p w14:paraId="3617F37B">
      <w:pPr>
        <w:widowControl w:val="0"/>
        <w:spacing w:afterLines="50" w:line="360" w:lineRule="auto"/>
        <w:ind w:firstLine="250" w:firstLineChars="100"/>
        <w:jc w:val="both"/>
        <w:rPr>
          <w:rFonts w:hint="eastAsia" w:ascii="宋体" w:hAnsi="宋体" w:eastAsia="宋体" w:cs="宋体"/>
          <w:b w:val="0"/>
          <w:color w:val="auto"/>
          <w:spacing w:val="5"/>
          <w:kern w:val="2"/>
          <w:sz w:val="24"/>
          <w:szCs w:val="24"/>
          <w:lang w:val="en-US" w:eastAsia="zh-CN" w:bidi="ar-SA"/>
        </w:rPr>
      </w:pPr>
      <w:r>
        <w:rPr>
          <w:rFonts w:hint="eastAsia" w:ascii="宋体" w:hAnsi="宋体" w:eastAsia="宋体" w:cs="宋体"/>
          <w:b w:val="0"/>
          <w:color w:val="auto"/>
          <w:spacing w:val="5"/>
          <w:kern w:val="2"/>
          <w:sz w:val="24"/>
          <w:szCs w:val="24"/>
          <w:lang w:val="en-US" w:eastAsia="zh-CN" w:bidi="ar-SA"/>
        </w:rPr>
        <w:t xml:space="preserve">4、售后响应 </w:t>
      </w:r>
    </w:p>
    <w:p w14:paraId="0D35D560">
      <w:pPr>
        <w:widowControl w:val="0"/>
        <w:spacing w:afterLines="50" w:line="360" w:lineRule="auto"/>
        <w:ind w:firstLine="250" w:firstLineChars="100"/>
        <w:jc w:val="both"/>
        <w:rPr>
          <w:rFonts w:hint="eastAsia" w:ascii="宋体" w:hAnsi="宋体" w:eastAsia="宋体" w:cs="宋体"/>
          <w:b w:val="0"/>
          <w:color w:val="auto"/>
          <w:spacing w:val="5"/>
          <w:kern w:val="2"/>
          <w:sz w:val="24"/>
          <w:szCs w:val="24"/>
          <w:lang w:val="en-US" w:eastAsia="zh-CN" w:bidi="ar-SA"/>
        </w:rPr>
      </w:pPr>
      <w:r>
        <w:rPr>
          <w:rFonts w:hint="eastAsia" w:ascii="宋体" w:hAnsi="宋体" w:eastAsia="宋体" w:cs="宋体"/>
          <w:b w:val="0"/>
          <w:color w:val="auto"/>
          <w:spacing w:val="5"/>
          <w:kern w:val="2"/>
          <w:sz w:val="24"/>
          <w:szCs w:val="24"/>
          <w:lang w:val="en-US" w:eastAsia="zh-CN" w:bidi="ar-SA"/>
        </w:rPr>
        <w:t>（1）出现问题接到采购人通知后1小时内响应，24小时内到达现场，不更换设备配件的情况下48小时解决问题，排除故障，如需返厂维修，可提供备用设备；</w:t>
      </w:r>
    </w:p>
    <w:p w14:paraId="145B0BEE">
      <w:pPr>
        <w:widowControl w:val="0"/>
        <w:spacing w:afterLines="50" w:line="360" w:lineRule="auto"/>
        <w:ind w:firstLine="250" w:firstLineChars="100"/>
        <w:jc w:val="both"/>
        <w:rPr>
          <w:rFonts w:hint="eastAsia" w:ascii="宋体" w:hAnsi="宋体" w:eastAsia="宋体" w:cs="宋体"/>
          <w:b w:val="0"/>
          <w:color w:val="auto"/>
          <w:spacing w:val="5"/>
          <w:kern w:val="2"/>
          <w:sz w:val="24"/>
          <w:szCs w:val="24"/>
          <w:lang w:val="en-US" w:eastAsia="zh-CN" w:bidi="ar-SA"/>
        </w:rPr>
      </w:pPr>
      <w:r>
        <w:rPr>
          <w:rFonts w:hint="eastAsia" w:ascii="宋体" w:hAnsi="宋体" w:eastAsia="宋体" w:cs="宋体"/>
          <w:b w:val="0"/>
          <w:color w:val="auto"/>
          <w:spacing w:val="5"/>
          <w:kern w:val="2"/>
          <w:sz w:val="24"/>
          <w:szCs w:val="24"/>
          <w:lang w:val="en-US" w:eastAsia="zh-CN" w:bidi="ar-SA"/>
        </w:rPr>
        <w:t>（2）在质保期内中标人对产品质量实行三包，因产品配置或零部件质量问题而引起的故障，中标人应在48小时内维修或更换，保证产品及时恢复正常使用，由此引起的费用由中标人承担；</w:t>
      </w:r>
    </w:p>
    <w:p w14:paraId="3596881E">
      <w:pPr>
        <w:rPr>
          <w:rFonts w:hint="eastAsia" w:ascii="宋体" w:hAnsi="宋体" w:eastAsia="宋体" w:cs="宋体"/>
          <w:b/>
          <w:bCs/>
          <w:color w:val="auto"/>
          <w:spacing w:val="5"/>
          <w:sz w:val="24"/>
          <w:szCs w:val="24"/>
        </w:rPr>
      </w:pPr>
      <w:r>
        <w:rPr>
          <w:rFonts w:hint="eastAsia" w:ascii="宋体" w:hAnsi="宋体" w:eastAsia="宋体" w:cs="宋体"/>
          <w:b/>
          <w:bCs/>
          <w:color w:val="auto"/>
          <w:spacing w:val="5"/>
          <w:sz w:val="24"/>
          <w:szCs w:val="24"/>
        </w:rPr>
        <w:t>五、其他说明</w:t>
      </w:r>
    </w:p>
    <w:p w14:paraId="1A834230">
      <w:pPr>
        <w:spacing w:line="360" w:lineRule="auto"/>
        <w:ind w:firstLine="500" w:firstLineChars="200"/>
        <w:rPr>
          <w:rFonts w:hint="default" w:ascii="宋体" w:hAnsi="宋体" w:eastAsia="宋体" w:cs="宋体"/>
          <w:b w:val="0"/>
          <w:color w:val="auto"/>
          <w:spacing w:val="5"/>
          <w:kern w:val="2"/>
          <w:sz w:val="24"/>
          <w:szCs w:val="24"/>
          <w:lang w:val="en-US" w:eastAsia="zh-CN" w:bidi="ar-SA"/>
        </w:rPr>
      </w:pPr>
      <w:r>
        <w:rPr>
          <w:rFonts w:hint="eastAsia" w:ascii="宋体" w:hAnsi="宋体" w:eastAsia="宋体" w:cs="宋体"/>
          <w:b w:val="0"/>
          <w:color w:val="auto"/>
          <w:spacing w:val="5"/>
          <w:kern w:val="2"/>
          <w:sz w:val="24"/>
          <w:szCs w:val="24"/>
          <w:lang w:val="en-US" w:eastAsia="zh-CN" w:bidi="ar-SA"/>
        </w:rPr>
        <w:t>1、供应商不得提供虚假材料谋取中标、成交，如发现将按照《中华人民共和国政府采购法》第七十七条处理。</w:t>
      </w:r>
    </w:p>
    <w:p w14:paraId="1BDBA1FA">
      <w:pPr>
        <w:spacing w:line="360" w:lineRule="auto"/>
        <w:ind w:firstLine="500" w:firstLineChars="200"/>
        <w:rPr>
          <w:rFonts w:hint="eastAsia" w:ascii="宋体" w:hAnsi="宋体" w:eastAsia="宋体" w:cs="宋体"/>
          <w:b w:val="0"/>
          <w:color w:val="auto"/>
          <w:spacing w:val="5"/>
          <w:kern w:val="2"/>
          <w:sz w:val="24"/>
          <w:szCs w:val="24"/>
          <w:lang w:val="en-US" w:eastAsia="zh-CN" w:bidi="ar-SA"/>
        </w:rPr>
      </w:pPr>
      <w:r>
        <w:rPr>
          <w:rFonts w:hint="eastAsia" w:ascii="宋体" w:hAnsi="宋体" w:eastAsia="宋体" w:cs="宋体"/>
          <w:b w:val="0"/>
          <w:color w:val="auto"/>
          <w:spacing w:val="5"/>
          <w:kern w:val="2"/>
          <w:sz w:val="24"/>
          <w:szCs w:val="24"/>
          <w:lang w:val="en-US" w:eastAsia="zh-CN" w:bidi="ar-SA"/>
        </w:rPr>
        <w:t>2、其他未尽事项双方签订合同时另行协商。</w:t>
      </w:r>
    </w:p>
    <w:p w14:paraId="7FF9A01B">
      <w:pPr>
        <w:keepNext/>
        <w:adjustRightInd w:val="0"/>
        <w:snapToGrid w:val="0"/>
        <w:spacing w:before="156" w:beforeLines="50" w:line="360" w:lineRule="auto"/>
        <w:jc w:val="center"/>
        <w:outlineLvl w:val="0"/>
        <w:rPr>
          <w:rFonts w:ascii="黑体" w:hAnsi="黑体" w:eastAsia="黑体"/>
          <w:b/>
          <w:bCs/>
          <w:color w:val="auto"/>
          <w:sz w:val="32"/>
          <w:szCs w:val="32"/>
          <w:highlight w:val="none"/>
        </w:rPr>
      </w:pPr>
      <w:r>
        <w:rPr>
          <w:rFonts w:hint="eastAsia" w:ascii="黑体" w:hAnsi="黑体" w:eastAsia="黑体"/>
          <w:b/>
          <w:bCs/>
          <w:color w:val="auto"/>
          <w:sz w:val="32"/>
          <w:szCs w:val="32"/>
          <w:highlight w:val="none"/>
        </w:rPr>
        <w:t>第四章 合同草案条款</w:t>
      </w:r>
      <w:bookmarkEnd w:id="134"/>
    </w:p>
    <w:p w14:paraId="4047B959">
      <w:pPr>
        <w:keepNext/>
        <w:keepLines/>
        <w:adjustRightInd w:val="0"/>
        <w:snapToGrid w:val="0"/>
        <w:spacing w:before="156" w:beforeLines="50" w:line="360" w:lineRule="auto"/>
        <w:jc w:val="center"/>
        <w:outlineLvl w:val="1"/>
        <w:rPr>
          <w:rFonts w:ascii="黑体" w:hAnsi="华文中宋" w:eastAsia="黑体"/>
          <w:b/>
          <w:bCs/>
          <w:color w:val="auto"/>
          <w:sz w:val="28"/>
          <w:szCs w:val="28"/>
          <w:highlight w:val="none"/>
        </w:rPr>
      </w:pPr>
      <w:bookmarkStart w:id="135" w:name="_Toc10877"/>
      <w:bookmarkStart w:id="136" w:name="_Toc22201110"/>
      <w:r>
        <w:rPr>
          <w:rFonts w:hint="eastAsia" w:ascii="黑体" w:hAnsi="华文中宋" w:eastAsia="黑体"/>
          <w:b/>
          <w:bCs/>
          <w:color w:val="auto"/>
          <w:sz w:val="28"/>
          <w:szCs w:val="28"/>
          <w:highlight w:val="none"/>
        </w:rPr>
        <w:t>第一节 合同协议书</w:t>
      </w:r>
      <w:bookmarkEnd w:id="135"/>
      <w:bookmarkEnd w:id="136"/>
    </w:p>
    <w:p w14:paraId="42A67B90">
      <w:pPr>
        <w:adjustRightInd w:val="0"/>
        <w:snapToGrid w:val="0"/>
        <w:spacing w:before="156" w:beforeLines="50" w:line="360" w:lineRule="auto"/>
        <w:ind w:firstLine="5460" w:firstLineChars="2600"/>
        <w:rPr>
          <w:rFonts w:ascii="宋体" w:hAnsi="宋体"/>
          <w:b/>
          <w:color w:val="auto"/>
          <w:szCs w:val="21"/>
          <w:highlight w:val="none"/>
        </w:rPr>
      </w:pPr>
      <w:r>
        <w:rPr>
          <w:rFonts w:hint="eastAsia" w:ascii="宋体" w:hAnsi="宋体"/>
          <w:color w:val="auto"/>
          <w:szCs w:val="21"/>
          <w:highlight w:val="none"/>
        </w:rPr>
        <w:t>采购合同编号：</w:t>
      </w:r>
    </w:p>
    <w:p w14:paraId="00CE904E">
      <w:pPr>
        <w:adjustRightInd w:val="0"/>
        <w:snapToGrid w:val="0"/>
        <w:spacing w:before="156" w:beforeLines="50" w:line="360" w:lineRule="auto"/>
        <w:rPr>
          <w:rFonts w:ascii="宋体" w:hAnsi="宋体" w:eastAsia="宋体"/>
          <w:color w:val="auto"/>
          <w:szCs w:val="21"/>
          <w:highlight w:val="none"/>
        </w:rPr>
      </w:pPr>
      <w:r>
        <w:rPr>
          <w:rFonts w:hint="eastAsia" w:ascii="宋体" w:hAnsi="宋体" w:eastAsia="宋体"/>
          <w:color w:val="auto"/>
          <w:szCs w:val="21"/>
          <w:highlight w:val="none"/>
        </w:rPr>
        <w:t>采购人（全称）：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（甲方）</w:t>
      </w:r>
    </w:p>
    <w:p w14:paraId="3EC20D5C">
      <w:pPr>
        <w:adjustRightInd w:val="0"/>
        <w:snapToGrid w:val="0"/>
        <w:spacing w:before="156" w:beforeLines="50" w:line="360" w:lineRule="auto"/>
        <w:rPr>
          <w:rFonts w:ascii="宋体" w:hAnsi="宋体" w:eastAsia="宋体"/>
          <w:color w:val="auto"/>
          <w:szCs w:val="21"/>
          <w:highlight w:val="none"/>
        </w:rPr>
      </w:pPr>
      <w:r>
        <w:rPr>
          <w:rFonts w:hint="eastAsia" w:ascii="宋体" w:hAnsi="宋体" w:eastAsia="宋体"/>
          <w:color w:val="auto"/>
          <w:szCs w:val="21"/>
          <w:highlight w:val="none"/>
        </w:rPr>
        <w:t>供应商（全称）：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（乙方）</w:t>
      </w:r>
    </w:p>
    <w:p w14:paraId="0CEA07F7">
      <w:pPr>
        <w:adjustRightInd w:val="0"/>
        <w:snapToGrid w:val="0"/>
        <w:spacing w:before="156" w:beforeLines="50" w:line="360" w:lineRule="auto"/>
        <w:ind w:left="420" w:leftChars="200"/>
        <w:rPr>
          <w:rFonts w:ascii="宋体" w:hAnsi="宋体" w:eastAsia="宋体"/>
          <w:color w:val="auto"/>
          <w:szCs w:val="21"/>
          <w:highlight w:val="none"/>
        </w:rPr>
      </w:pPr>
    </w:p>
    <w:p w14:paraId="3D95E60C">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为了保护甲、乙双方合法权益，根据《中华人民共和国民法典》、《中华人民共和国政府采购法》及其他有关法律、法规、规章，双方签订本合同协议书。</w:t>
      </w:r>
    </w:p>
    <w:p w14:paraId="1C4A09D8">
      <w:pPr>
        <w:adjustRightInd w:val="0"/>
        <w:snapToGrid w:val="0"/>
        <w:spacing w:before="156" w:beforeLines="50" w:line="360" w:lineRule="auto"/>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1.项目信息</w:t>
      </w:r>
    </w:p>
    <w:p w14:paraId="249586DF">
      <w:pPr>
        <w:adjustRightInd w:val="0"/>
        <w:snapToGrid w:val="0"/>
        <w:spacing w:before="156" w:beforeLines="50" w:line="360" w:lineRule="auto"/>
        <w:ind w:left="420" w:leftChars="200"/>
        <w:rPr>
          <w:rFonts w:ascii="宋体" w:hAnsi="宋体" w:eastAsia="宋体"/>
          <w:color w:val="auto"/>
          <w:szCs w:val="21"/>
          <w:highlight w:val="none"/>
        </w:rPr>
      </w:pPr>
      <w:r>
        <w:rPr>
          <w:rFonts w:hint="eastAsia" w:ascii="宋体" w:hAnsi="宋体" w:eastAsia="宋体"/>
          <w:color w:val="auto"/>
          <w:szCs w:val="21"/>
          <w:highlight w:val="none"/>
        </w:rPr>
        <w:t>（1）采购项目名称：</w:t>
      </w:r>
      <w:r>
        <w:rPr>
          <w:rFonts w:ascii="宋体" w:hAnsi="宋体" w:eastAsia="宋体"/>
          <w:color w:val="auto"/>
          <w:szCs w:val="21"/>
          <w:highlight w:val="none"/>
          <w:u w:val="single"/>
        </w:rPr>
        <w:t xml:space="preserve">                                          </w:t>
      </w:r>
    </w:p>
    <w:p w14:paraId="11E91AEC">
      <w:pPr>
        <w:adjustRightInd w:val="0"/>
        <w:snapToGrid w:val="0"/>
        <w:spacing w:before="156" w:beforeLines="50" w:line="360" w:lineRule="auto"/>
        <w:ind w:left="420" w:leftChars="200"/>
        <w:rPr>
          <w:rFonts w:ascii="宋体" w:hAnsi="宋体" w:eastAsia="宋体"/>
          <w:color w:val="auto"/>
          <w:szCs w:val="21"/>
          <w:highlight w:val="none"/>
        </w:rPr>
      </w:pPr>
      <w:r>
        <w:rPr>
          <w:rFonts w:hint="eastAsia" w:ascii="宋体" w:hAnsi="宋体" w:eastAsia="宋体"/>
          <w:color w:val="auto"/>
          <w:szCs w:val="21"/>
          <w:highlight w:val="none"/>
        </w:rPr>
        <w:t>（2）政府采购计划编号：</w:t>
      </w:r>
      <w:r>
        <w:rPr>
          <w:rFonts w:ascii="宋体" w:hAnsi="宋体" w:eastAsia="宋体"/>
          <w:color w:val="auto"/>
          <w:szCs w:val="21"/>
          <w:highlight w:val="none"/>
          <w:u w:val="single"/>
        </w:rPr>
        <w:t xml:space="preserve">                          </w:t>
      </w:r>
      <w:r>
        <w:rPr>
          <w:rFonts w:ascii="宋体" w:hAnsi="宋体" w:eastAsia="宋体"/>
          <w:color w:val="auto"/>
          <w:szCs w:val="21"/>
          <w:highlight w:val="none"/>
        </w:rPr>
        <w:t xml:space="preserve"> </w:t>
      </w:r>
    </w:p>
    <w:p w14:paraId="7D132CF8">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（3）项目内容：</w:t>
      </w:r>
      <w:r>
        <w:rPr>
          <w:rFonts w:hint="eastAsia" w:ascii="宋体" w:hAnsi="宋体" w:eastAsia="宋体"/>
          <w:color w:val="auto"/>
          <w:szCs w:val="21"/>
          <w:highlight w:val="none"/>
          <w:u w:val="single"/>
        </w:rPr>
        <w:t xml:space="preserve">                             </w:t>
      </w:r>
    </w:p>
    <w:p w14:paraId="6F93BDC5">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（4）是否分包：</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w:t>
      </w:r>
    </w:p>
    <w:p w14:paraId="4032F1AA">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（5）项目负责人：</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w:t>
      </w:r>
    </w:p>
    <w:p w14:paraId="633236EE">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（6）联系电话：</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w:t>
      </w:r>
    </w:p>
    <w:p w14:paraId="50045CD6">
      <w:pPr>
        <w:adjustRightInd w:val="0"/>
        <w:snapToGrid w:val="0"/>
        <w:spacing w:before="156" w:beforeLines="50" w:line="360" w:lineRule="auto"/>
        <w:ind w:firstLine="413" w:firstLineChars="196"/>
        <w:rPr>
          <w:rFonts w:ascii="宋体" w:hAnsi="宋体" w:eastAsia="宋体"/>
          <w:b/>
          <w:color w:val="auto"/>
          <w:szCs w:val="21"/>
          <w:highlight w:val="none"/>
        </w:rPr>
      </w:pPr>
      <w:r>
        <w:rPr>
          <w:rFonts w:hint="eastAsia" w:ascii="宋体" w:hAnsi="宋体" w:eastAsia="宋体"/>
          <w:b/>
          <w:color w:val="auto"/>
          <w:szCs w:val="21"/>
          <w:highlight w:val="none"/>
        </w:rPr>
        <w:t>2.合同金额</w:t>
      </w:r>
    </w:p>
    <w:p w14:paraId="74B2121D">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（1）合同金额小写：</w:t>
      </w:r>
      <w:r>
        <w:rPr>
          <w:rFonts w:hint="eastAsia" w:ascii="宋体" w:hAnsi="宋体" w:eastAsia="宋体"/>
          <w:color w:val="auto"/>
          <w:szCs w:val="21"/>
          <w:highlight w:val="none"/>
          <w:u w:val="single"/>
        </w:rPr>
        <w:t xml:space="preserve">                      </w:t>
      </w:r>
    </w:p>
    <w:p w14:paraId="1425DC9D">
      <w:pPr>
        <w:adjustRightInd w:val="0"/>
        <w:snapToGrid w:val="0"/>
        <w:spacing w:before="156" w:beforeLines="50" w:line="360" w:lineRule="auto"/>
        <w:ind w:firstLine="1260" w:firstLineChars="600"/>
        <w:rPr>
          <w:rFonts w:ascii="宋体" w:hAnsi="宋体" w:eastAsia="宋体"/>
          <w:b/>
          <w:color w:val="auto"/>
          <w:szCs w:val="21"/>
          <w:highlight w:val="none"/>
        </w:rPr>
      </w:pPr>
      <w:r>
        <w:rPr>
          <w:rFonts w:hint="eastAsia" w:ascii="宋体" w:hAnsi="宋体" w:eastAsia="宋体"/>
          <w:color w:val="auto"/>
          <w:szCs w:val="21"/>
          <w:highlight w:val="none"/>
        </w:rPr>
        <w:t>大写：</w:t>
      </w:r>
      <w:r>
        <w:rPr>
          <w:rFonts w:hint="eastAsia" w:ascii="宋体" w:hAnsi="宋体" w:eastAsia="宋体"/>
          <w:color w:val="auto"/>
          <w:szCs w:val="21"/>
          <w:highlight w:val="none"/>
          <w:u w:val="single"/>
        </w:rPr>
        <w:t xml:space="preserve">                      </w:t>
      </w:r>
    </w:p>
    <w:p w14:paraId="77DCEB3C">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（2）具体标的见附件。</w:t>
      </w:r>
    </w:p>
    <w:p w14:paraId="171BFA3E">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（3）合同定价方式：</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p>
    <w:p w14:paraId="2A3DCF7A">
      <w:pPr>
        <w:spacing w:line="360" w:lineRule="auto"/>
        <w:ind w:firstLine="420" w:firstLineChars="200"/>
        <w:rPr>
          <w:rFonts w:eastAsia="宋体"/>
          <w:color w:val="auto"/>
          <w:szCs w:val="21"/>
          <w:highlight w:val="none"/>
        </w:rPr>
      </w:pPr>
      <w:r>
        <w:rPr>
          <w:rFonts w:hint="eastAsia" w:ascii="宋体" w:hAnsi="宋体" w:eastAsia="宋体"/>
          <w:color w:val="auto"/>
          <w:szCs w:val="21"/>
          <w:highlight w:val="none"/>
        </w:rPr>
        <w:t>（4）付款方式（按项目实际勾选填写）：</w:t>
      </w:r>
    </w:p>
    <w:p w14:paraId="0433CBF7">
      <w:pPr>
        <w:adjustRightInd w:val="0"/>
        <w:snapToGrid w:val="0"/>
        <w:spacing w:before="156" w:beforeLines="50" w:line="360" w:lineRule="auto"/>
        <w:ind w:firstLine="630" w:firstLineChars="300"/>
        <w:rPr>
          <w:rFonts w:ascii="宋体" w:hAnsi="宋体" w:eastAsia="宋体"/>
          <w:color w:val="auto"/>
          <w:szCs w:val="21"/>
          <w:highlight w:val="none"/>
          <w:u w:val="single"/>
        </w:rPr>
      </w:pPr>
      <w:r>
        <w:rPr>
          <w:rFonts w:hint="eastAsia" w:ascii="宋体" w:hAnsi="宋体" w:eastAsia="宋体"/>
          <w:color w:val="auto"/>
          <w:szCs w:val="21"/>
          <w:highlight w:val="none"/>
        </w:rPr>
        <w:sym w:font="Wingdings" w:char="00A8"/>
      </w:r>
      <w:r>
        <w:rPr>
          <w:rFonts w:hint="eastAsia" w:ascii="宋体" w:hAnsi="宋体" w:eastAsia="宋体"/>
          <w:color w:val="auto"/>
          <w:szCs w:val="21"/>
          <w:highlight w:val="none"/>
        </w:rPr>
        <w:t>全额付款：</w:t>
      </w:r>
      <w:r>
        <w:rPr>
          <w:rFonts w:hint="eastAsia" w:ascii="宋体" w:hAnsi="宋体" w:eastAsia="宋体"/>
          <w:color w:val="auto"/>
          <w:szCs w:val="21"/>
          <w:highlight w:val="none"/>
          <w:u w:val="single"/>
        </w:rPr>
        <w:t xml:space="preserve">     （应一次性支付全部合同款项）                    </w:t>
      </w:r>
    </w:p>
    <w:p w14:paraId="7D323672">
      <w:pPr>
        <w:adjustRightInd w:val="0"/>
        <w:snapToGrid w:val="0"/>
        <w:spacing w:before="156" w:beforeLines="50" w:line="360" w:lineRule="auto"/>
        <w:ind w:firstLine="630" w:firstLineChars="300"/>
        <w:rPr>
          <w:rFonts w:ascii="宋体" w:hAnsi="宋体" w:eastAsia="宋体"/>
          <w:color w:val="auto"/>
          <w:szCs w:val="21"/>
          <w:highlight w:val="none"/>
          <w:u w:val="single"/>
        </w:rPr>
      </w:pPr>
      <w:r>
        <w:rPr>
          <w:rFonts w:hint="eastAsia" w:ascii="宋体" w:hAnsi="宋体" w:eastAsia="宋体"/>
          <w:color w:val="auto"/>
          <w:szCs w:val="21"/>
          <w:highlight w:val="none"/>
        </w:rPr>
        <w:sym w:font="Wingdings" w:char="00A8"/>
      </w:r>
      <w:r>
        <w:rPr>
          <w:rFonts w:hint="eastAsia" w:ascii="宋体" w:hAnsi="宋体" w:eastAsia="宋体"/>
          <w:color w:val="auto"/>
          <w:szCs w:val="21"/>
          <w:highlight w:val="none"/>
        </w:rPr>
        <w:t>预付款：</w:t>
      </w:r>
      <w:r>
        <w:rPr>
          <w:rFonts w:hint="eastAsia" w:ascii="宋体" w:hAnsi="宋体" w:eastAsia="宋体"/>
          <w:color w:val="auto"/>
          <w:szCs w:val="21"/>
          <w:highlight w:val="none"/>
          <w:u w:val="single"/>
        </w:rPr>
        <w:t xml:space="preserve">    （应明确预付款的支付比例和支付条件）               </w:t>
      </w:r>
    </w:p>
    <w:p w14:paraId="0CF29E83">
      <w:pPr>
        <w:adjustRightInd w:val="0"/>
        <w:snapToGrid w:val="0"/>
        <w:spacing w:before="156" w:beforeLines="50" w:line="360" w:lineRule="auto"/>
        <w:ind w:firstLine="630" w:firstLineChars="300"/>
        <w:rPr>
          <w:rFonts w:ascii="宋体" w:hAnsi="宋体" w:eastAsia="宋体"/>
          <w:color w:val="auto"/>
          <w:szCs w:val="21"/>
          <w:highlight w:val="none"/>
        </w:rPr>
      </w:pPr>
      <w:r>
        <w:rPr>
          <w:rFonts w:hint="eastAsia" w:ascii="宋体" w:hAnsi="宋体" w:eastAsia="宋体"/>
          <w:color w:val="auto"/>
          <w:szCs w:val="21"/>
          <w:highlight w:val="none"/>
        </w:rPr>
        <w:sym w:font="Wingdings" w:char="00A8"/>
      </w:r>
      <w:r>
        <w:rPr>
          <w:rFonts w:hint="eastAsia" w:ascii="宋体" w:hAnsi="宋体" w:eastAsia="宋体"/>
          <w:color w:val="auto"/>
          <w:szCs w:val="21"/>
          <w:highlight w:val="none"/>
        </w:rPr>
        <w:t>分期付款：</w:t>
      </w:r>
      <w:r>
        <w:rPr>
          <w:rFonts w:hint="eastAsia" w:ascii="宋体" w:hAnsi="宋体" w:eastAsia="宋体"/>
          <w:color w:val="auto"/>
          <w:szCs w:val="21"/>
          <w:highlight w:val="none"/>
          <w:u w:val="single"/>
        </w:rPr>
        <w:t xml:space="preserve">     （应按照季度分期支付合同款项）                   </w:t>
      </w:r>
    </w:p>
    <w:p w14:paraId="68A056EA">
      <w:pPr>
        <w:adjustRightInd w:val="0"/>
        <w:snapToGrid w:val="0"/>
        <w:spacing w:before="156" w:beforeLines="50" w:line="360" w:lineRule="auto"/>
        <w:ind w:firstLine="630" w:firstLineChars="300"/>
        <w:rPr>
          <w:rFonts w:ascii="宋体" w:hAnsi="宋体" w:eastAsia="宋体"/>
          <w:color w:val="auto"/>
          <w:szCs w:val="21"/>
          <w:highlight w:val="none"/>
        </w:rPr>
      </w:pPr>
      <w:r>
        <w:rPr>
          <w:rFonts w:hint="eastAsia" w:ascii="宋体" w:hAnsi="宋体" w:eastAsia="宋体"/>
          <w:color w:val="auto"/>
          <w:szCs w:val="21"/>
          <w:highlight w:val="none"/>
        </w:rPr>
        <w:sym w:font="Wingdings" w:char="00A8"/>
      </w:r>
      <w:r>
        <w:rPr>
          <w:rFonts w:hint="eastAsia" w:ascii="宋体" w:hAnsi="宋体" w:eastAsia="宋体"/>
          <w:color w:val="auto"/>
          <w:szCs w:val="21"/>
          <w:highlight w:val="none"/>
        </w:rPr>
        <w:t>成本补偿：</w:t>
      </w:r>
      <w:r>
        <w:rPr>
          <w:rFonts w:hint="eastAsia" w:ascii="宋体" w:hAnsi="宋体" w:eastAsia="宋体"/>
          <w:color w:val="auto"/>
          <w:szCs w:val="21"/>
          <w:highlight w:val="none"/>
          <w:u w:val="single"/>
        </w:rPr>
        <w:t xml:space="preserve">      （应明确按照成本补偿方式的支付方式和支付条件）   </w:t>
      </w:r>
    </w:p>
    <w:p w14:paraId="79DF5FC3">
      <w:pPr>
        <w:adjustRightInd w:val="0"/>
        <w:snapToGrid w:val="0"/>
        <w:spacing w:before="156" w:beforeLines="50" w:line="360" w:lineRule="auto"/>
        <w:ind w:firstLine="630" w:firstLineChars="300"/>
        <w:rPr>
          <w:rFonts w:ascii="宋体" w:hAnsi="宋体" w:eastAsia="宋体"/>
          <w:color w:val="auto"/>
          <w:szCs w:val="21"/>
          <w:highlight w:val="none"/>
        </w:rPr>
      </w:pPr>
      <w:r>
        <w:rPr>
          <w:rFonts w:hint="eastAsia" w:ascii="宋体" w:hAnsi="宋体" w:eastAsia="宋体"/>
          <w:color w:val="auto"/>
          <w:szCs w:val="21"/>
          <w:highlight w:val="none"/>
        </w:rPr>
        <w:sym w:font="Wingdings" w:char="00A8"/>
      </w:r>
      <w:r>
        <w:rPr>
          <w:rFonts w:hint="eastAsia" w:ascii="宋体" w:hAnsi="宋体" w:eastAsia="宋体"/>
          <w:color w:val="auto"/>
          <w:szCs w:val="21"/>
          <w:highlight w:val="none"/>
        </w:rPr>
        <w:t>绩效激励：</w:t>
      </w:r>
      <w:r>
        <w:rPr>
          <w:rFonts w:hint="eastAsia" w:ascii="宋体" w:hAnsi="宋体" w:eastAsia="宋体"/>
          <w:color w:val="auto"/>
          <w:szCs w:val="21"/>
          <w:highlight w:val="none"/>
          <w:u w:val="single"/>
        </w:rPr>
        <w:t xml:space="preserve">      （应明确按照绩效激励方式的支付方式和支付条件）   </w:t>
      </w:r>
    </w:p>
    <w:p w14:paraId="4261CF9C">
      <w:pPr>
        <w:adjustRightInd w:val="0"/>
        <w:snapToGrid w:val="0"/>
        <w:spacing w:before="156" w:beforeLines="50" w:line="360" w:lineRule="auto"/>
        <w:ind w:firstLine="422" w:firstLineChars="200"/>
        <w:rPr>
          <w:rFonts w:ascii="宋体" w:hAnsi="宋体" w:eastAsia="宋体"/>
          <w:color w:val="auto"/>
          <w:szCs w:val="21"/>
          <w:highlight w:val="none"/>
          <w:u w:val="single"/>
        </w:rPr>
      </w:pPr>
      <w:r>
        <w:rPr>
          <w:rFonts w:hint="eastAsia" w:ascii="宋体" w:hAnsi="宋体" w:eastAsia="宋体"/>
          <w:b/>
          <w:color w:val="auto"/>
          <w:szCs w:val="21"/>
          <w:highlight w:val="none"/>
        </w:rPr>
        <w:t>3.合同履行</w:t>
      </w:r>
    </w:p>
    <w:p w14:paraId="3027DE09">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（1）起始日期：</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年</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月</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日，完成日期：</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年</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月</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日。总日历天数：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天。</w:t>
      </w:r>
    </w:p>
    <w:p w14:paraId="144A92D1">
      <w:pPr>
        <w:adjustRightInd w:val="0"/>
        <w:snapToGrid w:val="0"/>
        <w:spacing w:before="156" w:beforeLines="50" w:line="360" w:lineRule="auto"/>
        <w:ind w:firstLine="420" w:firstLineChars="200"/>
        <w:rPr>
          <w:rFonts w:ascii="宋体" w:hAnsi="宋体" w:eastAsia="宋体"/>
          <w:color w:val="auto"/>
          <w:szCs w:val="21"/>
          <w:highlight w:val="none"/>
          <w:u w:val="single"/>
        </w:rPr>
      </w:pPr>
      <w:r>
        <w:rPr>
          <w:rFonts w:hint="eastAsia" w:ascii="宋体" w:hAnsi="宋体" w:eastAsia="宋体"/>
          <w:color w:val="auto"/>
          <w:szCs w:val="21"/>
          <w:highlight w:val="none"/>
        </w:rPr>
        <w:t>（2）地点</w:t>
      </w:r>
      <w:r>
        <w:rPr>
          <w:rFonts w:hint="eastAsia" w:ascii="宋体" w:hAnsi="宋体" w:eastAsia="宋体"/>
          <w:b/>
          <w:color w:val="auto"/>
          <w:szCs w:val="21"/>
          <w:highlight w:val="none"/>
        </w:rPr>
        <w:t>：</w:t>
      </w:r>
      <w:r>
        <w:rPr>
          <w:rFonts w:hint="eastAsia" w:ascii="宋体" w:hAnsi="宋体" w:eastAsia="宋体"/>
          <w:color w:val="auto"/>
          <w:szCs w:val="21"/>
          <w:highlight w:val="none"/>
          <w:u w:val="single"/>
        </w:rPr>
        <w:t xml:space="preserve">                             </w:t>
      </w:r>
    </w:p>
    <w:p w14:paraId="08657686">
      <w:pPr>
        <w:adjustRightInd w:val="0"/>
        <w:snapToGrid w:val="0"/>
        <w:spacing w:before="156" w:beforeLines="50" w:line="360" w:lineRule="auto"/>
        <w:ind w:firstLine="420" w:firstLineChars="200"/>
        <w:rPr>
          <w:rFonts w:ascii="宋体" w:hAnsi="宋体" w:eastAsia="宋体"/>
          <w:color w:val="auto"/>
          <w:szCs w:val="21"/>
          <w:highlight w:val="none"/>
          <w:u w:val="single"/>
        </w:rPr>
      </w:pPr>
      <w:r>
        <w:rPr>
          <w:rFonts w:hint="eastAsia" w:ascii="宋体" w:hAnsi="宋体" w:eastAsia="宋体"/>
          <w:color w:val="auto"/>
          <w:szCs w:val="21"/>
          <w:highlight w:val="none"/>
        </w:rPr>
        <w:t>（3）方式：</w:t>
      </w:r>
      <w:r>
        <w:rPr>
          <w:rFonts w:hint="eastAsia" w:ascii="宋体" w:hAnsi="宋体" w:eastAsia="宋体"/>
          <w:color w:val="auto"/>
          <w:szCs w:val="21"/>
          <w:highlight w:val="none"/>
          <w:u w:val="single"/>
        </w:rPr>
        <w:t xml:space="preserve">                             </w:t>
      </w:r>
    </w:p>
    <w:p w14:paraId="1AEF6557">
      <w:pPr>
        <w:adjustRightInd w:val="0"/>
        <w:snapToGrid w:val="0"/>
        <w:spacing w:before="156" w:beforeLines="50" w:line="360" w:lineRule="auto"/>
        <w:ind w:firstLine="420" w:firstLineChars="200"/>
        <w:rPr>
          <w:rFonts w:ascii="宋体" w:hAnsi="宋体" w:eastAsia="宋体"/>
          <w:bCs/>
          <w:color w:val="auto"/>
          <w:szCs w:val="21"/>
          <w:highlight w:val="none"/>
        </w:rPr>
      </w:pPr>
      <w:r>
        <w:rPr>
          <w:rFonts w:hint="eastAsia" w:ascii="宋体" w:hAnsi="宋体" w:eastAsia="宋体"/>
          <w:bCs/>
          <w:color w:val="auto"/>
          <w:szCs w:val="21"/>
          <w:highlight w:val="none"/>
        </w:rPr>
        <w:t>（4）履约担保：</w:t>
      </w:r>
      <w:r>
        <w:rPr>
          <w:rFonts w:hint="eastAsia" w:ascii="宋体" w:hAnsi="宋体" w:eastAsia="宋体"/>
          <w:bCs/>
          <w:color w:val="auto"/>
          <w:szCs w:val="21"/>
          <w:highlight w:val="none"/>
          <w:u w:val="single"/>
        </w:rPr>
        <w:t>履约担保的金额、形式和期限要求</w:t>
      </w:r>
      <w:r>
        <w:rPr>
          <w:rFonts w:hint="eastAsia" w:ascii="宋体" w:hAnsi="宋体" w:eastAsia="宋体"/>
          <w:bCs/>
          <w:color w:val="auto"/>
          <w:szCs w:val="21"/>
          <w:highlight w:val="none"/>
        </w:rPr>
        <w:t>。</w:t>
      </w:r>
    </w:p>
    <w:p w14:paraId="1A433064">
      <w:pPr>
        <w:adjustRightInd w:val="0"/>
        <w:snapToGrid w:val="0"/>
        <w:spacing w:before="156" w:beforeLines="50" w:line="360" w:lineRule="auto"/>
        <w:ind w:firstLine="420" w:firstLineChars="200"/>
        <w:rPr>
          <w:rFonts w:ascii="宋体" w:hAnsi="宋体" w:eastAsia="宋体"/>
          <w:bCs/>
          <w:color w:val="auto"/>
          <w:szCs w:val="21"/>
          <w:highlight w:val="none"/>
        </w:rPr>
      </w:pPr>
      <w:r>
        <w:rPr>
          <w:rFonts w:hint="eastAsia" w:ascii="宋体" w:hAnsi="宋体" w:eastAsia="宋体"/>
          <w:bCs/>
          <w:color w:val="auto"/>
          <w:szCs w:val="21"/>
          <w:highlight w:val="none"/>
        </w:rPr>
        <w:t>（5）质量保证金：</w:t>
      </w:r>
      <w:r>
        <w:rPr>
          <w:rFonts w:hint="eastAsia" w:ascii="宋体" w:hAnsi="宋体" w:eastAsia="宋体"/>
          <w:bCs/>
          <w:color w:val="auto"/>
          <w:szCs w:val="21"/>
          <w:highlight w:val="none"/>
          <w:u w:val="single"/>
        </w:rPr>
        <w:t>质量保证金的金额、形式和期限要求</w:t>
      </w:r>
      <w:r>
        <w:rPr>
          <w:rFonts w:hint="eastAsia" w:ascii="宋体" w:hAnsi="宋体" w:eastAsia="宋体"/>
          <w:bCs/>
          <w:color w:val="auto"/>
          <w:szCs w:val="21"/>
          <w:highlight w:val="none"/>
        </w:rPr>
        <w:t>。</w:t>
      </w:r>
    </w:p>
    <w:p w14:paraId="7F012DEC">
      <w:pPr>
        <w:adjustRightInd w:val="0"/>
        <w:snapToGrid w:val="0"/>
        <w:spacing w:before="156" w:beforeLines="50" w:line="360" w:lineRule="auto"/>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4.合同验收</w:t>
      </w:r>
    </w:p>
    <w:p w14:paraId="69B12FF2">
      <w:pPr>
        <w:adjustRightInd w:val="0"/>
        <w:snapToGrid w:val="0"/>
        <w:spacing w:before="156" w:beforeLines="50" w:line="360" w:lineRule="auto"/>
        <w:ind w:firstLine="420" w:firstLineChars="200"/>
        <w:rPr>
          <w:rFonts w:ascii="宋体" w:hAnsi="宋体" w:eastAsia="宋体"/>
          <w:bCs/>
          <w:color w:val="auto"/>
          <w:szCs w:val="21"/>
          <w:highlight w:val="none"/>
        </w:rPr>
      </w:pPr>
      <w:r>
        <w:rPr>
          <w:rFonts w:hint="eastAsia" w:ascii="宋体" w:hAnsi="宋体" w:eastAsia="宋体"/>
          <w:bCs/>
          <w:color w:val="auto"/>
          <w:szCs w:val="21"/>
          <w:highlight w:val="none"/>
        </w:rPr>
        <w:t>（1）验收主体：</w:t>
      </w:r>
      <w:r>
        <w:rPr>
          <w:rFonts w:hint="eastAsia" w:ascii="宋体" w:hAnsi="宋体" w:eastAsia="宋体"/>
          <w:bCs/>
          <w:color w:val="auto"/>
          <w:szCs w:val="21"/>
          <w:highlight w:val="none"/>
          <w:u w:val="single"/>
        </w:rPr>
        <w:t xml:space="preserve">                             </w:t>
      </w:r>
      <w:r>
        <w:rPr>
          <w:rFonts w:hint="eastAsia" w:ascii="宋体" w:hAnsi="宋体" w:eastAsia="宋体"/>
          <w:bCs/>
          <w:color w:val="auto"/>
          <w:szCs w:val="21"/>
          <w:highlight w:val="none"/>
        </w:rPr>
        <w:t>。</w:t>
      </w:r>
    </w:p>
    <w:p w14:paraId="0766A2DA">
      <w:pPr>
        <w:adjustRightInd w:val="0"/>
        <w:snapToGrid w:val="0"/>
        <w:spacing w:before="156" w:beforeLines="50" w:line="360" w:lineRule="auto"/>
        <w:ind w:firstLine="420" w:firstLineChars="200"/>
        <w:rPr>
          <w:rFonts w:ascii="宋体" w:hAnsi="宋体" w:eastAsia="宋体"/>
          <w:bCs/>
          <w:color w:val="auto"/>
          <w:szCs w:val="21"/>
          <w:highlight w:val="none"/>
        </w:rPr>
      </w:pPr>
      <w:r>
        <w:rPr>
          <w:rFonts w:hint="eastAsia" w:ascii="宋体" w:hAnsi="宋体" w:eastAsia="宋体"/>
          <w:bCs/>
          <w:color w:val="auto"/>
          <w:szCs w:val="21"/>
          <w:highlight w:val="none"/>
        </w:rPr>
        <w:t>（2）验收方式：</w:t>
      </w:r>
      <w:r>
        <w:rPr>
          <w:rFonts w:hint="eastAsia" w:ascii="宋体" w:hAnsi="宋体" w:eastAsia="宋体"/>
          <w:bCs/>
          <w:color w:val="auto"/>
          <w:szCs w:val="21"/>
          <w:highlight w:val="none"/>
          <w:u w:val="single"/>
        </w:rPr>
        <w:t xml:space="preserve">                             </w:t>
      </w:r>
      <w:r>
        <w:rPr>
          <w:rFonts w:hint="eastAsia" w:ascii="宋体" w:hAnsi="宋体" w:eastAsia="宋体"/>
          <w:bCs/>
          <w:color w:val="auto"/>
          <w:szCs w:val="21"/>
          <w:highlight w:val="none"/>
        </w:rPr>
        <w:t>。</w:t>
      </w:r>
    </w:p>
    <w:p w14:paraId="0C7DC5DB">
      <w:pPr>
        <w:adjustRightInd w:val="0"/>
        <w:snapToGrid w:val="0"/>
        <w:spacing w:before="156" w:beforeLines="50" w:line="360" w:lineRule="auto"/>
        <w:ind w:firstLine="420" w:firstLineChars="200"/>
        <w:rPr>
          <w:rFonts w:ascii="宋体" w:hAnsi="宋体" w:eastAsia="宋体"/>
          <w:bCs/>
          <w:color w:val="auto"/>
          <w:szCs w:val="21"/>
          <w:highlight w:val="none"/>
        </w:rPr>
      </w:pPr>
      <w:r>
        <w:rPr>
          <w:rFonts w:hint="eastAsia" w:ascii="宋体" w:hAnsi="宋体" w:eastAsia="宋体"/>
          <w:bCs/>
          <w:color w:val="auto"/>
          <w:szCs w:val="21"/>
          <w:highlight w:val="none"/>
        </w:rPr>
        <w:t>（3）验收标准：</w:t>
      </w:r>
      <w:r>
        <w:rPr>
          <w:rFonts w:hint="eastAsia" w:ascii="宋体" w:hAnsi="宋体" w:eastAsia="宋体"/>
          <w:bCs/>
          <w:color w:val="auto"/>
          <w:szCs w:val="21"/>
          <w:highlight w:val="none"/>
          <w:u w:val="single"/>
        </w:rPr>
        <w:t xml:space="preserve">                             </w:t>
      </w:r>
      <w:r>
        <w:rPr>
          <w:rFonts w:hint="eastAsia" w:ascii="宋体" w:hAnsi="宋体" w:eastAsia="宋体"/>
          <w:bCs/>
          <w:color w:val="auto"/>
          <w:szCs w:val="21"/>
          <w:highlight w:val="none"/>
        </w:rPr>
        <w:t>。</w:t>
      </w:r>
    </w:p>
    <w:p w14:paraId="26C5466C">
      <w:pPr>
        <w:adjustRightInd w:val="0"/>
        <w:snapToGrid w:val="0"/>
        <w:spacing w:before="156" w:beforeLines="50" w:line="360" w:lineRule="auto"/>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5.组成合同的文件</w:t>
      </w:r>
    </w:p>
    <w:p w14:paraId="1E1704C2">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本协议书与下列文件一起构成合同文件，如下述文件之间有任何抵触、矛盾或歧义，应按以下顺序解释：</w:t>
      </w:r>
    </w:p>
    <w:p w14:paraId="74F198E9">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（1）在采购或合同履行过程中乙方作出的承诺以及双方协商达成的变更或补充协议</w:t>
      </w:r>
    </w:p>
    <w:p w14:paraId="7B802FCA">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（2）本合同协议书</w:t>
      </w:r>
    </w:p>
    <w:p w14:paraId="42DD3677">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（3）成交通知书</w:t>
      </w:r>
    </w:p>
    <w:p w14:paraId="2F203004">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（4）响应文件</w:t>
      </w:r>
    </w:p>
    <w:p w14:paraId="1DBA173D">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（5）政府采购合同专用条款</w:t>
      </w:r>
    </w:p>
    <w:p w14:paraId="51597A88">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（6）政府采购合同通用条款</w:t>
      </w:r>
    </w:p>
    <w:p w14:paraId="0863419B">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（7）标准、规范及有关技术文件，图纸。</w:t>
      </w:r>
    </w:p>
    <w:p w14:paraId="3D1F0F31">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（8）其他合同文件。</w:t>
      </w:r>
    </w:p>
    <w:p w14:paraId="1C93D479">
      <w:pPr>
        <w:adjustRightInd w:val="0"/>
        <w:snapToGrid w:val="0"/>
        <w:spacing w:before="156" w:beforeLines="50" w:line="360" w:lineRule="auto"/>
        <w:ind w:firstLine="310" w:firstLineChars="147"/>
        <w:rPr>
          <w:rFonts w:ascii="宋体" w:hAnsi="宋体" w:eastAsia="宋体"/>
          <w:b/>
          <w:color w:val="auto"/>
          <w:szCs w:val="21"/>
          <w:highlight w:val="none"/>
        </w:rPr>
      </w:pPr>
      <w:r>
        <w:rPr>
          <w:rFonts w:hint="eastAsia" w:ascii="宋体" w:hAnsi="宋体" w:eastAsia="宋体"/>
          <w:b/>
          <w:color w:val="auto"/>
          <w:szCs w:val="21"/>
          <w:highlight w:val="none"/>
        </w:rPr>
        <w:t>6.合同生效</w:t>
      </w:r>
    </w:p>
    <w:p w14:paraId="4E18415D">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本合同自</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生效。</w:t>
      </w:r>
    </w:p>
    <w:p w14:paraId="70B780A9">
      <w:pPr>
        <w:adjustRightInd w:val="0"/>
        <w:snapToGrid w:val="0"/>
        <w:spacing w:before="156" w:beforeLines="50" w:line="360" w:lineRule="auto"/>
        <w:ind w:firstLine="310" w:firstLineChars="147"/>
        <w:rPr>
          <w:rFonts w:ascii="宋体" w:hAnsi="宋体" w:eastAsia="宋体"/>
          <w:b/>
          <w:color w:val="auto"/>
          <w:szCs w:val="21"/>
          <w:highlight w:val="none"/>
        </w:rPr>
      </w:pPr>
      <w:r>
        <w:rPr>
          <w:rFonts w:hint="eastAsia" w:ascii="宋体" w:hAnsi="宋体" w:eastAsia="宋体"/>
          <w:b/>
          <w:color w:val="auto"/>
          <w:szCs w:val="21"/>
          <w:highlight w:val="none"/>
        </w:rPr>
        <w:t>7.合同份数</w:t>
      </w:r>
    </w:p>
    <w:p w14:paraId="6CE6EDFD">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本合同一式</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份，采购人执</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份，供应商执</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份，均具有同等法律效力。</w:t>
      </w:r>
    </w:p>
    <w:p w14:paraId="59BAB859">
      <w:pPr>
        <w:adjustRightInd w:val="0"/>
        <w:snapToGrid w:val="0"/>
        <w:spacing w:before="156" w:beforeLines="50" w:line="360" w:lineRule="auto"/>
        <w:rPr>
          <w:rFonts w:ascii="宋体" w:hAnsi="宋体" w:eastAsia="宋体"/>
          <w:color w:val="auto"/>
          <w:szCs w:val="21"/>
          <w:highlight w:val="none"/>
        </w:rPr>
      </w:pPr>
    </w:p>
    <w:p w14:paraId="381DDB7F">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合同订立时间：</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年</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月</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日</w:t>
      </w:r>
    </w:p>
    <w:p w14:paraId="0FC42919">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合同订立地点：</w:t>
      </w:r>
      <w:r>
        <w:rPr>
          <w:rFonts w:hint="eastAsia" w:ascii="宋体" w:hAnsi="宋体" w:eastAsia="宋体"/>
          <w:color w:val="auto"/>
          <w:szCs w:val="21"/>
          <w:highlight w:val="none"/>
          <w:u w:val="single"/>
        </w:rPr>
        <w:t xml:space="preserve">                           </w:t>
      </w:r>
    </w:p>
    <w:p w14:paraId="73725496">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附件：</w:t>
      </w:r>
      <w:r>
        <w:rPr>
          <w:rFonts w:hint="eastAsia" w:ascii="宋体" w:hAnsi="宋体"/>
          <w:color w:val="auto"/>
          <w:szCs w:val="21"/>
          <w:highlight w:val="none"/>
          <w:lang w:val="en-US" w:eastAsia="zh-CN"/>
        </w:rPr>
        <w:t>具体标的明细、分包合同等。</w:t>
      </w:r>
      <w:r>
        <w:rPr>
          <w:rFonts w:hint="eastAsia" w:ascii="宋体" w:hAnsi="宋体" w:eastAsia="宋体"/>
          <w:color w:val="auto"/>
          <w:szCs w:val="21"/>
          <w:highlight w:val="none"/>
        </w:rPr>
        <w:t xml:space="preserve">    </w:t>
      </w:r>
    </w:p>
    <w:p w14:paraId="717B2C46">
      <w:pPr>
        <w:ind w:firstLine="420" w:firstLineChars="200"/>
        <w:rPr>
          <w:rFonts w:ascii="宋体" w:hAnsi="宋体" w:eastAsia="宋体"/>
          <w:color w:val="auto"/>
          <w:szCs w:val="21"/>
          <w:highlight w:val="none"/>
        </w:rPr>
      </w:pPr>
    </w:p>
    <w:p w14:paraId="1AEBA875">
      <w:pPr>
        <w:ind w:firstLine="420" w:firstLineChars="200"/>
        <w:rPr>
          <w:rFonts w:ascii="宋体" w:hAnsi="宋体" w:eastAsia="宋体"/>
          <w:color w:val="auto"/>
          <w:szCs w:val="21"/>
          <w:highlight w:val="none"/>
        </w:rPr>
      </w:pPr>
    </w:p>
    <w:p w14:paraId="43DEA2B9">
      <w:pPr>
        <w:adjustRightInd w:val="0"/>
        <w:snapToGrid w:val="0"/>
        <w:spacing w:before="156" w:beforeLines="50" w:line="360" w:lineRule="auto"/>
        <w:rPr>
          <w:rFonts w:ascii="宋体" w:hAnsi="宋体" w:eastAsia="宋体"/>
          <w:color w:val="auto"/>
          <w:szCs w:val="21"/>
          <w:highlight w:val="none"/>
        </w:rPr>
      </w:pPr>
      <w:r>
        <w:rPr>
          <w:rFonts w:hint="eastAsia" w:ascii="宋体" w:hAnsi="宋体" w:eastAsia="宋体"/>
          <w:color w:val="auto"/>
          <w:szCs w:val="21"/>
          <w:highlight w:val="none"/>
        </w:rPr>
        <w:t>甲      方：（公章）                     乙      方：（公章）</w:t>
      </w:r>
    </w:p>
    <w:p w14:paraId="33C40DCE">
      <w:pPr>
        <w:adjustRightInd w:val="0"/>
        <w:snapToGrid w:val="0"/>
        <w:spacing w:before="156" w:beforeLines="50" w:line="360" w:lineRule="auto"/>
        <w:rPr>
          <w:rFonts w:ascii="宋体" w:hAnsi="宋体" w:eastAsia="宋体"/>
          <w:color w:val="auto"/>
          <w:szCs w:val="21"/>
          <w:highlight w:val="none"/>
        </w:rPr>
      </w:pPr>
      <w:r>
        <w:rPr>
          <w:rFonts w:hint="eastAsia" w:ascii="宋体" w:hAnsi="宋体" w:eastAsia="宋体"/>
          <w:color w:val="auto"/>
          <w:szCs w:val="21"/>
          <w:highlight w:val="none"/>
        </w:rPr>
        <w:t>法定代表人：</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法定代表人：</w:t>
      </w:r>
      <w:r>
        <w:rPr>
          <w:rFonts w:hint="eastAsia" w:ascii="宋体" w:hAnsi="宋体" w:eastAsia="宋体"/>
          <w:color w:val="auto"/>
          <w:szCs w:val="21"/>
          <w:highlight w:val="none"/>
          <w:u w:val="single"/>
        </w:rPr>
        <w:t xml:space="preserve">              </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u w:val="single"/>
        </w:rPr>
        <w:t xml:space="preserve">     </w:t>
      </w:r>
    </w:p>
    <w:p w14:paraId="5029F89D">
      <w:pPr>
        <w:adjustRightInd w:val="0"/>
        <w:snapToGrid w:val="0"/>
        <w:spacing w:before="156" w:beforeLines="50" w:line="360" w:lineRule="auto"/>
        <w:rPr>
          <w:rFonts w:ascii="宋体" w:hAnsi="宋体" w:eastAsia="宋体"/>
          <w:color w:val="auto"/>
          <w:szCs w:val="21"/>
          <w:highlight w:val="none"/>
        </w:rPr>
      </w:pPr>
      <w:r>
        <w:rPr>
          <w:rFonts w:hint="eastAsia" w:ascii="宋体" w:hAnsi="宋体" w:eastAsia="宋体"/>
          <w:color w:val="auto"/>
          <w:szCs w:val="21"/>
          <w:highlight w:val="none"/>
        </w:rPr>
        <w:t>委托代理人：</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委托代理人：</w:t>
      </w:r>
      <w:r>
        <w:rPr>
          <w:rFonts w:hint="eastAsia" w:ascii="宋体" w:hAnsi="宋体" w:eastAsia="宋体"/>
          <w:color w:val="auto"/>
          <w:szCs w:val="21"/>
          <w:highlight w:val="none"/>
          <w:u w:val="single"/>
        </w:rPr>
        <w:t xml:space="preserve">              </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u w:val="single"/>
        </w:rPr>
        <w:t xml:space="preserve">     </w:t>
      </w:r>
    </w:p>
    <w:p w14:paraId="2EADA4BF">
      <w:pPr>
        <w:adjustRightInd w:val="0"/>
        <w:snapToGrid w:val="0"/>
        <w:spacing w:before="156" w:beforeLines="50" w:line="360" w:lineRule="auto"/>
        <w:rPr>
          <w:rFonts w:ascii="宋体" w:hAnsi="宋体" w:eastAsia="宋体"/>
          <w:color w:val="auto"/>
          <w:szCs w:val="21"/>
          <w:highlight w:val="none"/>
        </w:rPr>
      </w:pPr>
      <w:r>
        <w:rPr>
          <w:rFonts w:hint="eastAsia" w:ascii="宋体" w:hAnsi="宋体" w:eastAsia="宋体"/>
          <w:color w:val="auto"/>
          <w:szCs w:val="21"/>
          <w:highlight w:val="none"/>
        </w:rPr>
        <w:t>电      话：</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电      话：</w:t>
      </w:r>
      <w:r>
        <w:rPr>
          <w:rFonts w:hint="eastAsia" w:ascii="宋体" w:hAnsi="宋体" w:eastAsia="宋体"/>
          <w:color w:val="auto"/>
          <w:szCs w:val="21"/>
          <w:highlight w:val="none"/>
          <w:u w:val="single"/>
        </w:rPr>
        <w:t xml:space="preserve">                </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u w:val="single"/>
        </w:rPr>
        <w:t xml:space="preserve">   </w:t>
      </w:r>
    </w:p>
    <w:p w14:paraId="5C43AD7B">
      <w:pPr>
        <w:adjustRightInd w:val="0"/>
        <w:snapToGrid w:val="0"/>
        <w:spacing w:before="156" w:beforeLines="50" w:line="360" w:lineRule="auto"/>
        <w:rPr>
          <w:rFonts w:ascii="宋体" w:hAnsi="宋体" w:eastAsia="宋体"/>
          <w:color w:val="auto"/>
          <w:szCs w:val="21"/>
          <w:highlight w:val="none"/>
        </w:rPr>
      </w:pPr>
      <w:r>
        <w:rPr>
          <w:rFonts w:hint="eastAsia" w:ascii="宋体" w:hAnsi="宋体" w:eastAsia="宋体"/>
          <w:color w:val="auto"/>
          <w:szCs w:val="21"/>
          <w:highlight w:val="none"/>
        </w:rPr>
        <w:t>传      真：</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传      真：</w:t>
      </w:r>
      <w:r>
        <w:rPr>
          <w:rFonts w:hint="eastAsia" w:ascii="宋体" w:hAnsi="宋体" w:eastAsia="宋体"/>
          <w:color w:val="auto"/>
          <w:szCs w:val="21"/>
          <w:highlight w:val="none"/>
          <w:u w:val="single"/>
        </w:rPr>
        <w:t xml:space="preserve">                  </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u w:val="single"/>
        </w:rPr>
        <w:t xml:space="preserve"> </w:t>
      </w:r>
    </w:p>
    <w:p w14:paraId="68357C07">
      <w:pPr>
        <w:adjustRightInd w:val="0"/>
        <w:snapToGrid w:val="0"/>
        <w:spacing w:before="156" w:beforeLines="50"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 xml:space="preserve">                                    开 户 银 行：</w:t>
      </w:r>
      <w:r>
        <w:rPr>
          <w:rFonts w:hint="eastAsia" w:ascii="宋体" w:hAnsi="宋体" w:eastAsia="宋体"/>
          <w:color w:val="auto"/>
          <w:szCs w:val="21"/>
          <w:highlight w:val="none"/>
          <w:u w:val="single"/>
        </w:rPr>
        <w:t xml:space="preserve">                   </w:t>
      </w:r>
    </w:p>
    <w:p w14:paraId="1C84A2BD">
      <w:pPr>
        <w:adjustRightInd w:val="0"/>
        <w:snapToGrid w:val="0"/>
        <w:spacing w:before="156" w:beforeLines="50" w:line="360" w:lineRule="auto"/>
        <w:jc w:val="center"/>
        <w:rPr>
          <w:rFonts w:ascii="宋体" w:hAnsi="宋体" w:eastAsia="宋体"/>
          <w:b/>
          <w:color w:val="auto"/>
          <w:szCs w:val="21"/>
          <w:highlight w:val="none"/>
        </w:rPr>
      </w:pPr>
      <w:r>
        <w:rPr>
          <w:rFonts w:hint="eastAsia" w:ascii="宋体" w:hAnsi="宋体" w:eastAsia="宋体"/>
          <w:color w:val="auto"/>
          <w:szCs w:val="21"/>
          <w:highlight w:val="none"/>
        </w:rPr>
        <w:t xml:space="preserve">      账      号：</w:t>
      </w:r>
      <w:r>
        <w:rPr>
          <w:rFonts w:hint="eastAsia" w:ascii="宋体" w:hAnsi="宋体" w:eastAsia="宋体"/>
          <w:color w:val="auto"/>
          <w:szCs w:val="21"/>
          <w:highlight w:val="none"/>
          <w:u w:val="single"/>
        </w:rPr>
        <w:t xml:space="preserve">             </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u w:val="single"/>
        </w:rPr>
        <w:t xml:space="preserve">      </w:t>
      </w:r>
    </w:p>
    <w:p w14:paraId="3819FE9F">
      <w:pPr>
        <w:rPr>
          <w:rFonts w:hint="eastAsia" w:ascii="黑体" w:hAnsi="黑体" w:eastAsia="黑体"/>
          <w:b/>
          <w:bCs/>
          <w:color w:val="auto"/>
          <w:sz w:val="32"/>
          <w:szCs w:val="32"/>
          <w:highlight w:val="none"/>
        </w:rPr>
      </w:pPr>
      <w:bookmarkStart w:id="137" w:name="_Toc19628646"/>
      <w:bookmarkStart w:id="138" w:name="_Toc24739"/>
      <w:r>
        <w:rPr>
          <w:rFonts w:hint="eastAsia" w:ascii="黑体" w:hAnsi="黑体" w:eastAsia="黑体"/>
          <w:b/>
          <w:bCs/>
          <w:color w:val="auto"/>
          <w:sz w:val="32"/>
          <w:szCs w:val="32"/>
          <w:highlight w:val="none"/>
        </w:rPr>
        <w:br w:type="page"/>
      </w:r>
    </w:p>
    <w:p w14:paraId="0D178BE6">
      <w:pPr>
        <w:jc w:val="center"/>
        <w:rPr>
          <w:rFonts w:ascii="黑体" w:hAnsi="黑体" w:eastAsia="黑体"/>
          <w:b/>
          <w:bCs/>
          <w:color w:val="auto"/>
          <w:sz w:val="32"/>
          <w:szCs w:val="32"/>
          <w:highlight w:val="none"/>
        </w:rPr>
      </w:pPr>
      <w:r>
        <w:rPr>
          <w:rFonts w:hint="eastAsia" w:ascii="黑体" w:hAnsi="黑体" w:eastAsia="黑体"/>
          <w:b/>
          <w:bCs/>
          <w:color w:val="auto"/>
          <w:sz w:val="32"/>
          <w:szCs w:val="32"/>
          <w:highlight w:val="none"/>
        </w:rPr>
        <w:t>第五章 响应文件组成</w:t>
      </w:r>
      <w:bookmarkEnd w:id="137"/>
      <w:bookmarkEnd w:id="138"/>
    </w:p>
    <w:p w14:paraId="1221442E">
      <w:pPr>
        <w:widowControl/>
        <w:tabs>
          <w:tab w:val="left" w:pos="753"/>
        </w:tabs>
        <w:adjustRightInd w:val="0"/>
        <w:snapToGrid w:val="0"/>
        <w:spacing w:before="156" w:beforeLines="50" w:line="360" w:lineRule="auto"/>
        <w:ind w:firstLine="480" w:firstLineChars="200"/>
        <w:jc w:val="center"/>
        <w:rPr>
          <w:rFonts w:ascii="宋体" w:hAnsi="宋体"/>
          <w:color w:val="auto"/>
          <w:sz w:val="24"/>
          <w:highlight w:val="none"/>
        </w:rPr>
      </w:pPr>
      <w:r>
        <w:rPr>
          <w:rFonts w:hint="eastAsia" w:ascii="宋体" w:hAnsi="宋体"/>
          <w:color w:val="auto"/>
          <w:sz w:val="24"/>
          <w:highlight w:val="none"/>
        </w:rPr>
        <w:t>目录</w:t>
      </w:r>
    </w:p>
    <w:p w14:paraId="32DDA5BE">
      <w:pPr>
        <w:adjustRightInd w:val="0"/>
        <w:snapToGrid w:val="0"/>
        <w:spacing w:before="156" w:beforeLines="50" w:line="360" w:lineRule="auto"/>
        <w:rPr>
          <w:rFonts w:ascii="宋体"/>
          <w:color w:val="auto"/>
          <w:highlight w:val="none"/>
        </w:rPr>
      </w:pPr>
      <w:r>
        <w:rPr>
          <w:rFonts w:hint="eastAsia" w:ascii="宋体"/>
          <w:color w:val="auto"/>
          <w:highlight w:val="none"/>
        </w:rPr>
        <w:t>供应商的响应文件应包含以下部分：</w:t>
      </w:r>
    </w:p>
    <w:p w14:paraId="0151A70E">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ascii="宋体" w:hAnsi="宋体"/>
          <w:color w:val="auto"/>
          <w:szCs w:val="21"/>
          <w:highlight w:val="none"/>
        </w:rPr>
        <w:t>一</w:t>
      </w:r>
      <w:r>
        <w:rPr>
          <w:rFonts w:hint="eastAsia" w:ascii="宋体" w:hAnsi="宋体"/>
          <w:color w:val="auto"/>
          <w:szCs w:val="21"/>
          <w:highlight w:val="none"/>
        </w:rPr>
        <w:t>、报价表及报价文件(格式)</w:t>
      </w:r>
    </w:p>
    <w:p w14:paraId="069AB069">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二、谈判响应声明(格式)</w:t>
      </w:r>
    </w:p>
    <w:p w14:paraId="00F9C27C">
      <w:pPr>
        <w:widowControl/>
        <w:tabs>
          <w:tab w:val="left" w:pos="753"/>
        </w:tabs>
        <w:adjustRightInd w:val="0"/>
        <w:snapToGrid w:val="0"/>
        <w:spacing w:before="156" w:beforeLines="50" w:line="360" w:lineRule="auto"/>
        <w:ind w:firstLine="420" w:firstLineChars="200"/>
        <w:rPr>
          <w:rFonts w:ascii="宋体"/>
          <w:color w:val="auto"/>
          <w:szCs w:val="21"/>
          <w:highlight w:val="none"/>
        </w:rPr>
      </w:pPr>
      <w:r>
        <w:rPr>
          <w:rFonts w:hint="eastAsia" w:ascii="宋体" w:hAnsi="宋体"/>
          <w:color w:val="auto"/>
          <w:szCs w:val="21"/>
          <w:highlight w:val="none"/>
        </w:rPr>
        <w:t>三、保证金</w:t>
      </w:r>
    </w:p>
    <w:p w14:paraId="55FC8693">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四、授权委托书(格式)</w:t>
      </w:r>
    </w:p>
    <w:p w14:paraId="700981EF">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五、</w:t>
      </w:r>
      <w:r>
        <w:rPr>
          <w:rFonts w:hint="eastAsia" w:ascii="宋体" w:hAnsi="宋体"/>
          <w:color w:val="auto"/>
          <w:kern w:val="32"/>
          <w:szCs w:val="21"/>
          <w:highlight w:val="none"/>
        </w:rPr>
        <w:t>供应商资格审查材料</w:t>
      </w:r>
    </w:p>
    <w:p w14:paraId="6FF2BF79">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六、采购需求响应</w:t>
      </w:r>
    </w:p>
    <w:p w14:paraId="41F28499">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七、合同条款偏离表</w:t>
      </w:r>
    </w:p>
    <w:p w14:paraId="5E031D9D">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八、采购需求偏离表</w:t>
      </w:r>
    </w:p>
    <w:p w14:paraId="007E30E3">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九、享受政府采购政策的证明资料</w:t>
      </w:r>
    </w:p>
    <w:p w14:paraId="1119394E">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kern w:val="32"/>
          <w:szCs w:val="21"/>
          <w:highlight w:val="none"/>
        </w:rPr>
        <w:t>十、</w:t>
      </w:r>
      <w:r>
        <w:rPr>
          <w:rFonts w:hint="eastAsia" w:ascii="宋体" w:hAnsi="宋体"/>
          <w:color w:val="auto"/>
          <w:szCs w:val="21"/>
          <w:highlight w:val="none"/>
        </w:rPr>
        <w:t>响应标的符合谈判文件规定的证明文件</w:t>
      </w:r>
    </w:p>
    <w:p w14:paraId="6CE2D46E">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十一、供应商认为需提供的其他资料（如有）</w:t>
      </w:r>
    </w:p>
    <w:p w14:paraId="587C7C3C">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十二、最后报价</w:t>
      </w:r>
    </w:p>
    <w:p w14:paraId="091B054B">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p>
    <w:p w14:paraId="67B8DBC0">
      <w:pPr>
        <w:adjustRightInd w:val="0"/>
        <w:snapToGrid w:val="0"/>
        <w:spacing w:before="156" w:beforeLines="50" w:line="360" w:lineRule="auto"/>
        <w:rPr>
          <w:rFonts w:ascii="宋体"/>
          <w:color w:val="auto"/>
          <w:highlight w:val="none"/>
        </w:rPr>
      </w:pPr>
    </w:p>
    <w:p w14:paraId="11E6D7E1">
      <w:pPr>
        <w:spacing w:line="360" w:lineRule="exact"/>
        <w:jc w:val="center"/>
        <w:rPr>
          <w:rFonts w:ascii="黑体" w:eastAsia="黑体"/>
          <w:b/>
          <w:color w:val="auto"/>
          <w:sz w:val="32"/>
          <w:szCs w:val="32"/>
          <w:highlight w:val="none"/>
        </w:rPr>
      </w:pPr>
    </w:p>
    <w:p w14:paraId="1EDB1B92">
      <w:pPr>
        <w:spacing w:line="360" w:lineRule="exact"/>
        <w:jc w:val="center"/>
        <w:rPr>
          <w:rFonts w:ascii="黑体" w:eastAsia="黑体"/>
          <w:b/>
          <w:color w:val="auto"/>
          <w:sz w:val="32"/>
          <w:szCs w:val="32"/>
          <w:highlight w:val="none"/>
        </w:rPr>
      </w:pPr>
    </w:p>
    <w:p w14:paraId="6ACE7716">
      <w:pPr>
        <w:spacing w:line="360" w:lineRule="exact"/>
        <w:jc w:val="center"/>
        <w:rPr>
          <w:rFonts w:ascii="黑体" w:eastAsia="黑体"/>
          <w:b/>
          <w:color w:val="auto"/>
          <w:sz w:val="32"/>
          <w:szCs w:val="32"/>
          <w:highlight w:val="none"/>
        </w:rPr>
      </w:pPr>
    </w:p>
    <w:p w14:paraId="51D8BAC8">
      <w:pPr>
        <w:spacing w:line="360" w:lineRule="exact"/>
        <w:jc w:val="center"/>
        <w:rPr>
          <w:rFonts w:ascii="黑体" w:eastAsia="黑体"/>
          <w:b/>
          <w:color w:val="auto"/>
          <w:sz w:val="32"/>
          <w:szCs w:val="32"/>
          <w:highlight w:val="none"/>
        </w:rPr>
      </w:pPr>
    </w:p>
    <w:p w14:paraId="5DE4E3B7">
      <w:pPr>
        <w:spacing w:line="360" w:lineRule="exact"/>
        <w:jc w:val="center"/>
        <w:rPr>
          <w:rFonts w:ascii="黑体" w:eastAsia="黑体"/>
          <w:b/>
          <w:color w:val="auto"/>
          <w:sz w:val="32"/>
          <w:szCs w:val="32"/>
          <w:highlight w:val="none"/>
        </w:rPr>
      </w:pPr>
    </w:p>
    <w:p w14:paraId="09C2E383">
      <w:pPr>
        <w:spacing w:line="360" w:lineRule="exact"/>
        <w:jc w:val="center"/>
        <w:rPr>
          <w:rFonts w:ascii="黑体" w:eastAsia="黑体"/>
          <w:b/>
          <w:color w:val="auto"/>
          <w:sz w:val="32"/>
          <w:szCs w:val="32"/>
          <w:highlight w:val="none"/>
        </w:rPr>
      </w:pPr>
    </w:p>
    <w:p w14:paraId="5BC810EE">
      <w:pPr>
        <w:spacing w:line="360" w:lineRule="exact"/>
        <w:jc w:val="center"/>
        <w:rPr>
          <w:rFonts w:ascii="黑体" w:eastAsia="黑体"/>
          <w:b/>
          <w:color w:val="auto"/>
          <w:sz w:val="32"/>
          <w:szCs w:val="32"/>
          <w:highlight w:val="none"/>
        </w:rPr>
      </w:pPr>
    </w:p>
    <w:p w14:paraId="2864D49B">
      <w:pPr>
        <w:spacing w:line="360" w:lineRule="exact"/>
        <w:jc w:val="center"/>
        <w:rPr>
          <w:rFonts w:ascii="黑体" w:eastAsia="黑体"/>
          <w:b/>
          <w:color w:val="auto"/>
          <w:sz w:val="32"/>
          <w:szCs w:val="32"/>
          <w:highlight w:val="none"/>
        </w:rPr>
      </w:pPr>
    </w:p>
    <w:p w14:paraId="43A2C52C">
      <w:pPr>
        <w:adjustRightInd w:val="0"/>
        <w:snapToGrid w:val="0"/>
        <w:spacing w:line="360" w:lineRule="auto"/>
        <w:jc w:val="center"/>
        <w:rPr>
          <w:rFonts w:ascii="黑体" w:eastAsia="黑体"/>
          <w:color w:val="auto"/>
          <w:sz w:val="32"/>
          <w:szCs w:val="32"/>
          <w:highlight w:val="none"/>
        </w:rPr>
      </w:pPr>
      <w:r>
        <w:rPr>
          <w:color w:val="auto"/>
          <w:highlight w:val="none"/>
        </w:rPr>
        <w:br w:type="page"/>
      </w:r>
    </w:p>
    <w:p w14:paraId="231F302B">
      <w:pPr>
        <w:adjustRightInd w:val="0"/>
        <w:snapToGrid w:val="0"/>
        <w:spacing w:line="360" w:lineRule="auto"/>
        <w:jc w:val="center"/>
        <w:rPr>
          <w:rFonts w:ascii="黑体" w:eastAsia="黑体"/>
          <w:color w:val="auto"/>
          <w:sz w:val="32"/>
          <w:szCs w:val="32"/>
          <w:highlight w:val="none"/>
        </w:rPr>
      </w:pPr>
    </w:p>
    <w:p w14:paraId="3B2A8A35">
      <w:pPr>
        <w:adjustRightInd w:val="0"/>
        <w:snapToGrid w:val="0"/>
        <w:spacing w:line="360" w:lineRule="auto"/>
        <w:jc w:val="center"/>
        <w:rPr>
          <w:rFonts w:ascii="宋体" w:hAnsi="宋体" w:cs="Courier New"/>
          <w:b/>
          <w:bCs/>
          <w:color w:val="auto"/>
          <w:sz w:val="72"/>
          <w:szCs w:val="72"/>
          <w:highlight w:val="none"/>
        </w:rPr>
      </w:pPr>
      <w:r>
        <w:rPr>
          <w:rFonts w:hint="eastAsia" w:ascii="宋体" w:hAnsi="宋体" w:cs="Courier New"/>
          <w:b/>
          <w:bCs/>
          <w:color w:val="auto"/>
          <w:sz w:val="72"/>
          <w:szCs w:val="72"/>
          <w:highlight w:val="none"/>
        </w:rPr>
        <w:t>政府采购</w:t>
      </w:r>
    </w:p>
    <w:p w14:paraId="029C6075">
      <w:pPr>
        <w:adjustRightInd w:val="0"/>
        <w:snapToGrid w:val="0"/>
        <w:spacing w:line="360" w:lineRule="auto"/>
        <w:jc w:val="center"/>
        <w:rPr>
          <w:rFonts w:ascii="宋体" w:hAnsi="宋体"/>
          <w:b/>
          <w:bCs/>
          <w:color w:val="auto"/>
          <w:sz w:val="84"/>
          <w:szCs w:val="84"/>
          <w:highlight w:val="none"/>
        </w:rPr>
      </w:pPr>
      <w:r>
        <w:rPr>
          <w:rFonts w:hint="eastAsia" w:ascii="宋体" w:hAnsi="宋体"/>
          <w:b/>
          <w:bCs/>
          <w:color w:val="auto"/>
          <w:sz w:val="84"/>
          <w:szCs w:val="84"/>
          <w:highlight w:val="none"/>
        </w:rPr>
        <w:t>响 应 文 件</w:t>
      </w:r>
    </w:p>
    <w:p w14:paraId="6A0F9B82">
      <w:pPr>
        <w:adjustRightInd w:val="0"/>
        <w:snapToGrid w:val="0"/>
        <w:spacing w:line="360" w:lineRule="auto"/>
        <w:rPr>
          <w:rFonts w:ascii="黑体" w:hAnsi="黑体" w:eastAsia="黑体"/>
          <w:b/>
          <w:color w:val="auto"/>
          <w:sz w:val="32"/>
          <w:szCs w:val="32"/>
          <w:highlight w:val="none"/>
        </w:rPr>
      </w:pPr>
    </w:p>
    <w:p w14:paraId="2B1E5604">
      <w:pPr>
        <w:adjustRightInd w:val="0"/>
        <w:snapToGrid w:val="0"/>
        <w:spacing w:line="360" w:lineRule="auto"/>
        <w:rPr>
          <w:rFonts w:ascii="宋体" w:hAnsi="宋体"/>
          <w:b/>
          <w:color w:val="auto"/>
          <w:sz w:val="30"/>
          <w:szCs w:val="30"/>
          <w:highlight w:val="none"/>
        </w:rPr>
      </w:pPr>
      <w:r>
        <w:rPr>
          <w:rFonts w:hint="eastAsia" w:ascii="宋体" w:hAnsi="宋体"/>
          <w:b/>
          <w:color w:val="auto"/>
          <w:sz w:val="32"/>
          <w:szCs w:val="32"/>
          <w:highlight w:val="none"/>
        </w:rPr>
        <w:t xml:space="preserve">                     </w:t>
      </w:r>
    </w:p>
    <w:p w14:paraId="026577E4">
      <w:pPr>
        <w:adjustRightInd w:val="0"/>
        <w:snapToGrid w:val="0"/>
        <w:spacing w:line="360" w:lineRule="auto"/>
        <w:ind w:firstLine="1988" w:firstLineChars="660"/>
        <w:rPr>
          <w:rFonts w:ascii="宋体" w:hAnsi="宋体" w:cs="Courier New"/>
          <w:b/>
          <w:bCs/>
          <w:color w:val="auto"/>
          <w:sz w:val="30"/>
          <w:szCs w:val="30"/>
          <w:highlight w:val="none"/>
          <w:u w:val="single"/>
        </w:rPr>
      </w:pPr>
      <w:r>
        <w:rPr>
          <w:rFonts w:hint="eastAsia" w:ascii="宋体" w:hAnsi="宋体" w:cs="Courier New"/>
          <w:b/>
          <w:bCs/>
          <w:color w:val="auto"/>
          <w:sz w:val="30"/>
          <w:szCs w:val="30"/>
          <w:highlight w:val="none"/>
        </w:rPr>
        <w:t>采购项目名称:</w:t>
      </w:r>
      <w:r>
        <w:rPr>
          <w:rFonts w:hint="eastAsia" w:ascii="宋体" w:hAnsi="宋体" w:cs="Courier New"/>
          <w:b/>
          <w:bCs/>
          <w:color w:val="auto"/>
          <w:sz w:val="30"/>
          <w:szCs w:val="30"/>
          <w:highlight w:val="none"/>
          <w:u w:val="single"/>
        </w:rPr>
        <w:t xml:space="preserve">                       </w:t>
      </w:r>
    </w:p>
    <w:p w14:paraId="5B711850">
      <w:pPr>
        <w:adjustRightInd w:val="0"/>
        <w:snapToGrid w:val="0"/>
        <w:spacing w:line="360" w:lineRule="auto"/>
        <w:ind w:firstLine="1988" w:firstLineChars="660"/>
        <w:rPr>
          <w:rFonts w:ascii="宋体" w:hAnsi="宋体" w:cs="Courier New"/>
          <w:b/>
          <w:bCs/>
          <w:color w:val="auto"/>
          <w:sz w:val="30"/>
          <w:szCs w:val="30"/>
          <w:highlight w:val="none"/>
        </w:rPr>
      </w:pPr>
      <w:r>
        <w:rPr>
          <w:rFonts w:hint="eastAsia" w:ascii="宋体" w:hAnsi="宋体" w:cs="Courier New"/>
          <w:b/>
          <w:bCs/>
          <w:color w:val="auto"/>
          <w:sz w:val="30"/>
          <w:szCs w:val="30"/>
          <w:highlight w:val="none"/>
        </w:rPr>
        <w:t>采   购   人：</w:t>
      </w:r>
      <w:r>
        <w:rPr>
          <w:rFonts w:hint="eastAsia" w:ascii="宋体" w:hAnsi="宋体" w:cs="Courier New"/>
          <w:b/>
          <w:bCs/>
          <w:color w:val="auto"/>
          <w:sz w:val="30"/>
          <w:szCs w:val="30"/>
          <w:highlight w:val="none"/>
          <w:u w:val="single"/>
        </w:rPr>
        <w:t xml:space="preserve">                      </w:t>
      </w:r>
    </w:p>
    <w:p w14:paraId="4044F5C7">
      <w:pPr>
        <w:adjustRightInd w:val="0"/>
        <w:snapToGrid w:val="0"/>
        <w:spacing w:line="360" w:lineRule="auto"/>
        <w:ind w:firstLine="1988" w:firstLineChars="660"/>
        <w:rPr>
          <w:rFonts w:ascii="宋体" w:hAnsi="宋体" w:cs="Courier New"/>
          <w:b/>
          <w:bCs/>
          <w:color w:val="auto"/>
          <w:sz w:val="30"/>
          <w:szCs w:val="30"/>
          <w:highlight w:val="none"/>
          <w:u w:val="single"/>
        </w:rPr>
      </w:pPr>
      <w:r>
        <w:rPr>
          <w:rFonts w:hint="eastAsia" w:ascii="宋体" w:hAnsi="宋体" w:cs="Courier New"/>
          <w:b/>
          <w:bCs/>
          <w:color w:val="auto"/>
          <w:sz w:val="30"/>
          <w:szCs w:val="30"/>
          <w:highlight w:val="none"/>
        </w:rPr>
        <w:t>政府采购计划编号:</w:t>
      </w:r>
      <w:r>
        <w:rPr>
          <w:rFonts w:hint="eastAsia" w:ascii="宋体" w:hAnsi="宋体" w:cs="Courier New"/>
          <w:b/>
          <w:bCs/>
          <w:color w:val="auto"/>
          <w:sz w:val="30"/>
          <w:szCs w:val="30"/>
          <w:highlight w:val="none"/>
          <w:u w:val="single"/>
        </w:rPr>
        <w:t xml:space="preserve">                   </w:t>
      </w:r>
    </w:p>
    <w:p w14:paraId="5E1AA210">
      <w:pPr>
        <w:adjustRightInd w:val="0"/>
        <w:snapToGrid w:val="0"/>
        <w:spacing w:line="360" w:lineRule="auto"/>
        <w:ind w:firstLine="1988" w:firstLineChars="660"/>
        <w:rPr>
          <w:rFonts w:ascii="宋体" w:hAnsi="宋体" w:cs="Courier New"/>
          <w:b/>
          <w:bCs/>
          <w:color w:val="auto"/>
          <w:sz w:val="30"/>
          <w:szCs w:val="30"/>
          <w:highlight w:val="none"/>
          <w:u w:val="single"/>
        </w:rPr>
      </w:pPr>
      <w:r>
        <w:rPr>
          <w:rFonts w:hint="eastAsia" w:ascii="宋体" w:hAnsi="宋体" w:cs="Courier New"/>
          <w:b/>
          <w:bCs/>
          <w:color w:val="auto"/>
          <w:sz w:val="30"/>
          <w:szCs w:val="30"/>
          <w:highlight w:val="none"/>
        </w:rPr>
        <w:t>委托代理编号:</w:t>
      </w:r>
      <w:r>
        <w:rPr>
          <w:rFonts w:hint="eastAsia" w:ascii="宋体" w:hAnsi="宋体" w:cs="Courier New"/>
          <w:b/>
          <w:bCs/>
          <w:color w:val="auto"/>
          <w:sz w:val="30"/>
          <w:szCs w:val="30"/>
          <w:highlight w:val="none"/>
          <w:u w:val="single"/>
        </w:rPr>
        <w:t xml:space="preserve">                       </w:t>
      </w:r>
    </w:p>
    <w:p w14:paraId="6C3CA58A">
      <w:pPr>
        <w:adjustRightInd w:val="0"/>
        <w:snapToGrid w:val="0"/>
        <w:spacing w:line="360" w:lineRule="auto"/>
        <w:ind w:firstLine="1988" w:firstLineChars="660"/>
        <w:rPr>
          <w:rFonts w:ascii="宋体" w:hAnsi="宋体" w:cs="Courier New"/>
          <w:b/>
          <w:bCs/>
          <w:color w:val="auto"/>
          <w:sz w:val="30"/>
          <w:szCs w:val="30"/>
          <w:highlight w:val="none"/>
          <w:u w:val="single"/>
        </w:rPr>
      </w:pPr>
      <w:r>
        <w:rPr>
          <w:rFonts w:hint="eastAsia" w:ascii="宋体" w:hAnsi="宋体" w:cs="Courier New"/>
          <w:b/>
          <w:bCs/>
          <w:color w:val="auto"/>
          <w:sz w:val="30"/>
          <w:szCs w:val="30"/>
          <w:highlight w:val="none"/>
        </w:rPr>
        <w:t>采购代理机构：</w:t>
      </w:r>
      <w:r>
        <w:rPr>
          <w:rFonts w:hint="eastAsia" w:ascii="宋体" w:hAnsi="宋体" w:cs="Courier New"/>
          <w:b/>
          <w:bCs/>
          <w:color w:val="auto"/>
          <w:sz w:val="30"/>
          <w:szCs w:val="30"/>
          <w:highlight w:val="none"/>
          <w:u w:val="single"/>
        </w:rPr>
        <w:t xml:space="preserve">                      </w:t>
      </w:r>
    </w:p>
    <w:p w14:paraId="16AEAD25">
      <w:pPr>
        <w:adjustRightInd w:val="0"/>
        <w:snapToGrid w:val="0"/>
        <w:spacing w:line="360" w:lineRule="auto"/>
        <w:rPr>
          <w:rFonts w:ascii="黑体" w:hAnsi="黑体" w:eastAsia="黑体"/>
          <w:color w:val="auto"/>
          <w:sz w:val="30"/>
          <w:szCs w:val="30"/>
          <w:highlight w:val="none"/>
        </w:rPr>
      </w:pPr>
    </w:p>
    <w:p w14:paraId="73B34781">
      <w:pPr>
        <w:adjustRightInd w:val="0"/>
        <w:snapToGrid w:val="0"/>
        <w:rPr>
          <w:rFonts w:ascii="黑体" w:hAnsi="宋体" w:eastAsia="黑体"/>
          <w:color w:val="auto"/>
          <w:sz w:val="30"/>
          <w:szCs w:val="30"/>
          <w:highlight w:val="none"/>
        </w:rPr>
      </w:pPr>
    </w:p>
    <w:p w14:paraId="164222EB">
      <w:pPr>
        <w:adjustRightInd w:val="0"/>
        <w:snapToGrid w:val="0"/>
        <w:spacing w:line="360" w:lineRule="auto"/>
        <w:rPr>
          <w:rFonts w:ascii="黑体" w:hAnsi="宋体" w:eastAsia="黑体"/>
          <w:color w:val="auto"/>
          <w:sz w:val="30"/>
          <w:szCs w:val="30"/>
          <w:highlight w:val="none"/>
        </w:rPr>
      </w:pPr>
    </w:p>
    <w:p w14:paraId="0A7C10D0">
      <w:pPr>
        <w:adjustRightInd w:val="0"/>
        <w:snapToGrid w:val="0"/>
        <w:spacing w:line="360" w:lineRule="auto"/>
        <w:rPr>
          <w:rFonts w:ascii="黑体" w:hAnsi="宋体" w:eastAsia="黑体"/>
          <w:color w:val="auto"/>
          <w:sz w:val="30"/>
          <w:szCs w:val="30"/>
          <w:highlight w:val="none"/>
        </w:rPr>
      </w:pPr>
    </w:p>
    <w:p w14:paraId="4B087F18">
      <w:pPr>
        <w:adjustRightInd w:val="0"/>
        <w:snapToGrid w:val="0"/>
        <w:spacing w:line="360" w:lineRule="auto"/>
        <w:rPr>
          <w:rFonts w:ascii="黑体" w:hAnsi="宋体" w:eastAsia="黑体"/>
          <w:color w:val="auto"/>
          <w:sz w:val="30"/>
          <w:szCs w:val="30"/>
          <w:highlight w:val="none"/>
        </w:rPr>
      </w:pPr>
    </w:p>
    <w:p w14:paraId="31BB7868">
      <w:pPr>
        <w:adjustRightInd w:val="0"/>
        <w:snapToGrid w:val="0"/>
        <w:spacing w:line="360" w:lineRule="auto"/>
        <w:ind w:firstLine="1984" w:firstLineChars="620"/>
        <w:rPr>
          <w:rFonts w:ascii="黑体" w:hAnsi="黑体" w:eastAsia="黑体"/>
          <w:color w:val="auto"/>
          <w:sz w:val="32"/>
          <w:szCs w:val="32"/>
          <w:highlight w:val="none"/>
          <w:u w:val="single"/>
        </w:rPr>
      </w:pPr>
      <w:r>
        <w:rPr>
          <w:rFonts w:hint="eastAsia" w:ascii="黑体" w:hAnsi="黑体" w:eastAsia="黑体"/>
          <w:color w:val="auto"/>
          <w:sz w:val="32"/>
          <w:szCs w:val="32"/>
          <w:highlight w:val="none"/>
        </w:rPr>
        <w:t>供应商</w:t>
      </w:r>
      <w:r>
        <w:rPr>
          <w:rFonts w:hint="eastAsia" w:ascii="黑体" w:hAnsi="黑体" w:eastAsia="黑体"/>
          <w:color w:val="auto"/>
          <w:sz w:val="32"/>
          <w:szCs w:val="32"/>
          <w:highlight w:val="none"/>
          <w:u w:val="single"/>
        </w:rPr>
        <w:t xml:space="preserve">                         </w:t>
      </w:r>
    </w:p>
    <w:p w14:paraId="67D21155">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年  月  日</w:t>
      </w:r>
    </w:p>
    <w:p w14:paraId="41852818">
      <w:pPr>
        <w:jc w:val="center"/>
        <w:rPr>
          <w:rFonts w:ascii="黑体" w:hAnsi="黑体" w:eastAsia="黑体"/>
          <w:color w:val="auto"/>
          <w:sz w:val="32"/>
          <w:szCs w:val="32"/>
          <w:highlight w:val="none"/>
        </w:rPr>
        <w:sectPr>
          <w:footerReference r:id="rId7" w:type="default"/>
          <w:pgSz w:w="11906" w:h="16838"/>
          <w:pgMar w:top="1440" w:right="1080" w:bottom="1440" w:left="1080" w:header="851" w:footer="992" w:gutter="0"/>
          <w:pgNumType w:fmt="decimal"/>
          <w:cols w:space="720" w:num="1"/>
          <w:docGrid w:type="lines" w:linePitch="312" w:charSpace="0"/>
        </w:sectPr>
      </w:pPr>
    </w:p>
    <w:p w14:paraId="3D377DA1">
      <w:pPr>
        <w:keepNext/>
        <w:keepLines/>
        <w:spacing w:line="360" w:lineRule="auto"/>
        <w:jc w:val="center"/>
        <w:outlineLvl w:val="1"/>
        <w:rPr>
          <w:rFonts w:ascii="黑体" w:hAnsi="黑体" w:eastAsia="黑体"/>
          <w:b/>
          <w:bCs/>
          <w:color w:val="auto"/>
          <w:sz w:val="28"/>
          <w:szCs w:val="28"/>
          <w:highlight w:val="none"/>
        </w:rPr>
      </w:pPr>
      <w:bookmarkStart w:id="139" w:name="_Toc1389"/>
      <w:bookmarkStart w:id="140" w:name="_Toc107998028"/>
      <w:r>
        <w:rPr>
          <w:rFonts w:hint="eastAsia" w:ascii="黑体" w:hAnsi="黑体" w:eastAsia="黑体"/>
          <w:b/>
          <w:bCs/>
          <w:color w:val="auto"/>
          <w:sz w:val="28"/>
          <w:szCs w:val="28"/>
          <w:highlight w:val="none"/>
          <w:lang w:val="en-US" w:eastAsia="zh-CN"/>
        </w:rPr>
        <w:t xml:space="preserve"> </w:t>
      </w:r>
      <w:r>
        <w:rPr>
          <w:rFonts w:hint="eastAsia" w:ascii="黑体" w:hAnsi="黑体" w:eastAsia="黑体"/>
          <w:b/>
          <w:bCs/>
          <w:color w:val="auto"/>
          <w:sz w:val="28"/>
          <w:szCs w:val="28"/>
          <w:highlight w:val="none"/>
        </w:rPr>
        <w:t>一、报价表及报价文件(格式)</w:t>
      </w:r>
      <w:bookmarkEnd w:id="139"/>
      <w:bookmarkEnd w:id="140"/>
    </w:p>
    <w:p w14:paraId="50F5D28D">
      <w:pPr>
        <w:keepNext/>
        <w:keepLines/>
        <w:spacing w:before="260" w:after="260" w:line="416" w:lineRule="auto"/>
        <w:outlineLvl w:val="2"/>
        <w:rPr>
          <w:rFonts w:ascii="宋体" w:hAnsi="宋体"/>
          <w:b/>
          <w:bCs/>
          <w:color w:val="auto"/>
          <w:szCs w:val="21"/>
          <w:highlight w:val="none"/>
        </w:rPr>
      </w:pPr>
      <w:bookmarkStart w:id="141" w:name="_Toc28086"/>
      <w:bookmarkStart w:id="142" w:name="_Toc107998029"/>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rPr>
        <w:t>-1 报价表</w:t>
      </w:r>
      <w:bookmarkEnd w:id="141"/>
      <w:bookmarkEnd w:id="142"/>
    </w:p>
    <w:p w14:paraId="07DCE807">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报价表</w:t>
      </w:r>
    </w:p>
    <w:p w14:paraId="218FD3DC">
      <w:pPr>
        <w:adjustRightInd w:val="0"/>
        <w:snapToGrid w:val="0"/>
        <w:spacing w:line="360" w:lineRule="auto"/>
        <w:ind w:left="-88" w:leftChars="-42"/>
        <w:jc w:val="center"/>
        <w:rPr>
          <w:rFonts w:ascii="仿宋_GB2312" w:hAnsi="宋体" w:eastAsia="仿宋_GB2312"/>
          <w:color w:val="auto"/>
          <w:sz w:val="24"/>
          <w:highlight w:val="none"/>
        </w:rPr>
      </w:pPr>
    </w:p>
    <w:p w14:paraId="2E0898C2">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14:paraId="08D3575D">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2"/>
        <w:tblW w:w="8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81"/>
        <w:gridCol w:w="3131"/>
      </w:tblGrid>
      <w:tr w14:paraId="55498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5681" w:type="dxa"/>
            <w:tcBorders>
              <w:bottom w:val="single" w:color="000000" w:sz="4" w:space="0"/>
              <w:right w:val="single" w:color="000000" w:sz="4" w:space="0"/>
            </w:tcBorders>
            <w:vAlign w:val="top"/>
          </w:tcPr>
          <w:p w14:paraId="3AF95C9E">
            <w:pPr>
              <w:pStyle w:val="41"/>
              <w:spacing w:before="290" w:line="226" w:lineRule="auto"/>
              <w:ind w:left="2640"/>
              <w:rPr>
                <w:color w:val="auto"/>
              </w:rPr>
            </w:pPr>
            <w:r>
              <w:rPr>
                <w:b/>
                <w:bCs/>
                <w:color w:val="auto"/>
                <w:spacing w:val="4"/>
              </w:rPr>
              <w:t>报价</w:t>
            </w:r>
          </w:p>
        </w:tc>
        <w:tc>
          <w:tcPr>
            <w:tcW w:w="3131" w:type="dxa"/>
            <w:tcBorders>
              <w:left w:val="single" w:color="000000" w:sz="4" w:space="0"/>
              <w:bottom w:val="single" w:color="000000" w:sz="4" w:space="0"/>
            </w:tcBorders>
            <w:vAlign w:val="top"/>
          </w:tcPr>
          <w:p w14:paraId="3AFBE0BB">
            <w:pPr>
              <w:pStyle w:val="41"/>
              <w:spacing w:before="290" w:line="228" w:lineRule="auto"/>
              <w:ind w:left="1142"/>
              <w:rPr>
                <w:color w:val="auto"/>
              </w:rPr>
            </w:pPr>
            <w:r>
              <w:rPr>
                <w:b/>
                <w:bCs/>
                <w:color w:val="auto"/>
                <w:spacing w:val="6"/>
              </w:rPr>
              <w:t>其他内容</w:t>
            </w:r>
          </w:p>
        </w:tc>
      </w:tr>
      <w:tr w14:paraId="1D0DD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5" w:hRule="atLeast"/>
        </w:trPr>
        <w:tc>
          <w:tcPr>
            <w:tcW w:w="5681" w:type="dxa"/>
            <w:tcBorders>
              <w:top w:val="single" w:color="000000" w:sz="4" w:space="0"/>
              <w:right w:val="single" w:color="000000" w:sz="4" w:space="0"/>
            </w:tcBorders>
            <w:vAlign w:val="top"/>
          </w:tcPr>
          <w:p w14:paraId="6B0AA1FC">
            <w:pPr>
              <w:pStyle w:val="41"/>
              <w:spacing w:before="187" w:line="506" w:lineRule="auto"/>
              <w:ind w:left="985" w:right="926" w:hanging="52"/>
              <w:rPr>
                <w:color w:val="auto"/>
              </w:rPr>
            </w:pPr>
            <w:r>
              <w:rPr>
                <w:color w:val="auto"/>
                <w:spacing w:val="9"/>
              </w:rPr>
              <w:t>小写金额</w:t>
            </w:r>
            <w:r>
              <w:rPr>
                <w:color w:val="auto"/>
                <w:spacing w:val="-2"/>
              </w:rPr>
              <w:t>：</w:t>
            </w:r>
            <w:r>
              <w:rPr>
                <w:color w:val="auto"/>
                <w:spacing w:val="4"/>
                <w:u w:val="single" w:color="auto"/>
              </w:rPr>
              <w:t xml:space="preserve">               </w:t>
            </w:r>
            <w:r>
              <w:rPr>
                <w:color w:val="auto"/>
                <w:spacing w:val="-2"/>
              </w:rPr>
              <w:t>（</w:t>
            </w:r>
            <w:r>
              <w:rPr>
                <w:color w:val="auto"/>
                <w:spacing w:val="9"/>
                <w:sz w:val="19"/>
                <w:szCs w:val="19"/>
              </w:rPr>
              <w:t>人民币元</w:t>
            </w:r>
            <w:r>
              <w:rPr>
                <w:color w:val="auto"/>
                <w:spacing w:val="9"/>
              </w:rPr>
              <w:t>）</w:t>
            </w:r>
            <w:r>
              <w:rPr>
                <w:color w:val="auto"/>
                <w:spacing w:val="14"/>
              </w:rPr>
              <w:t xml:space="preserve"> </w:t>
            </w:r>
            <w:r>
              <w:rPr>
                <w:color w:val="auto"/>
                <w:spacing w:val="10"/>
              </w:rPr>
              <w:t>大写金额</w:t>
            </w:r>
            <w:r>
              <w:rPr>
                <w:color w:val="auto"/>
                <w:spacing w:val="-3"/>
              </w:rPr>
              <w:t>：</w:t>
            </w:r>
            <w:r>
              <w:rPr>
                <w:color w:val="auto"/>
                <w:spacing w:val="5"/>
                <w:u w:val="single" w:color="auto"/>
              </w:rPr>
              <w:t xml:space="preserve">              </w:t>
            </w:r>
            <w:r>
              <w:rPr>
                <w:color w:val="auto"/>
                <w:spacing w:val="-3"/>
              </w:rPr>
              <w:t>（</w:t>
            </w:r>
            <w:r>
              <w:rPr>
                <w:color w:val="auto"/>
                <w:spacing w:val="10"/>
                <w:sz w:val="19"/>
                <w:szCs w:val="19"/>
              </w:rPr>
              <w:t>人民币元</w:t>
            </w:r>
            <w:r>
              <w:rPr>
                <w:color w:val="auto"/>
                <w:spacing w:val="10"/>
              </w:rPr>
              <w:t>）</w:t>
            </w:r>
          </w:p>
          <w:p w14:paraId="02FA2261">
            <w:pPr>
              <w:pStyle w:val="41"/>
              <w:spacing w:before="36" w:line="219" w:lineRule="auto"/>
              <w:ind w:left="134"/>
              <w:rPr>
                <w:color w:val="auto"/>
              </w:rPr>
            </w:pPr>
            <w:r>
              <w:rPr>
                <w:color w:val="auto"/>
                <w:spacing w:val="-1"/>
              </w:rPr>
              <w:t>（</w:t>
            </w:r>
            <w:r>
              <w:rPr>
                <w:color w:val="auto"/>
                <w:spacing w:val="-1"/>
                <w:sz w:val="24"/>
                <w:szCs w:val="24"/>
              </w:rPr>
              <w:t>大写金额与小写金额不一致时，以大写金额为准</w:t>
            </w:r>
            <w:r>
              <w:rPr>
                <w:color w:val="auto"/>
                <w:spacing w:val="-1"/>
              </w:rPr>
              <w:t>）</w:t>
            </w:r>
          </w:p>
        </w:tc>
        <w:tc>
          <w:tcPr>
            <w:tcW w:w="3131" w:type="dxa"/>
            <w:tcBorders>
              <w:top w:val="single" w:color="000000" w:sz="4" w:space="0"/>
              <w:left w:val="single" w:color="000000" w:sz="4" w:space="0"/>
            </w:tcBorders>
            <w:vAlign w:val="top"/>
          </w:tcPr>
          <w:p w14:paraId="018912B5">
            <w:pPr>
              <w:rPr>
                <w:rFonts w:ascii="Arial"/>
                <w:color w:val="auto"/>
                <w:sz w:val="21"/>
              </w:rPr>
            </w:pPr>
          </w:p>
        </w:tc>
      </w:tr>
    </w:tbl>
    <w:p w14:paraId="299BD49C">
      <w:pPr>
        <w:adjustRightInd w:val="0"/>
        <w:snapToGrid w:val="0"/>
        <w:spacing w:before="156" w:beforeLines="50" w:line="360" w:lineRule="auto"/>
        <w:rPr>
          <w:rFonts w:ascii="宋体" w:hAnsi="宋体"/>
          <w:color w:val="auto"/>
          <w:szCs w:val="21"/>
          <w:highlight w:val="none"/>
        </w:rPr>
      </w:pPr>
      <w:r>
        <w:rPr>
          <w:rFonts w:hint="eastAsia" w:ascii="宋体" w:hAnsi="宋体"/>
          <w:b w:val="0"/>
          <w:bCs/>
          <w:color w:val="auto"/>
          <w:szCs w:val="21"/>
          <w:highlight w:val="none"/>
        </w:rPr>
        <w:t>注：</w:t>
      </w:r>
      <w:r>
        <w:rPr>
          <w:rFonts w:hint="eastAsia" w:ascii="宋体" w:hAnsi="宋体"/>
          <w:color w:val="auto"/>
          <w:szCs w:val="21"/>
          <w:highlight w:val="none"/>
        </w:rPr>
        <w:t>本表须按包填写，一个“包号”一份。</w:t>
      </w:r>
    </w:p>
    <w:p w14:paraId="6F46D415">
      <w:pPr>
        <w:adjustRightInd w:val="0"/>
        <w:snapToGrid w:val="0"/>
        <w:spacing w:before="156" w:beforeLines="50" w:line="360" w:lineRule="auto"/>
        <w:ind w:firstLine="420" w:firstLineChars="200"/>
        <w:rPr>
          <w:rFonts w:ascii="宋体" w:hAnsi="宋体"/>
          <w:color w:val="auto"/>
          <w:szCs w:val="21"/>
          <w:highlight w:val="none"/>
        </w:rPr>
      </w:pPr>
    </w:p>
    <w:p w14:paraId="12407F22">
      <w:pPr>
        <w:adjustRightInd w:val="0"/>
        <w:snapToGrid w:val="0"/>
        <w:spacing w:before="156" w:beforeLines="50" w:line="360" w:lineRule="auto"/>
        <w:ind w:firstLine="420" w:firstLineChars="200"/>
        <w:rPr>
          <w:rFonts w:ascii="宋体" w:hAnsi="宋体"/>
          <w:color w:val="auto"/>
          <w:szCs w:val="21"/>
          <w:highlight w:val="none"/>
        </w:rPr>
      </w:pPr>
    </w:p>
    <w:p w14:paraId="25ECC5D7">
      <w:pPr>
        <w:adjustRightInd w:val="0"/>
        <w:snapToGrid w:val="0"/>
        <w:spacing w:before="156" w:beforeLines="50" w:line="360" w:lineRule="auto"/>
        <w:ind w:firstLine="420" w:firstLineChars="200"/>
        <w:rPr>
          <w:rFonts w:ascii="宋体" w:hAnsi="宋体"/>
          <w:color w:val="auto"/>
          <w:szCs w:val="21"/>
          <w:highlight w:val="none"/>
        </w:rPr>
      </w:pPr>
    </w:p>
    <w:p w14:paraId="02B137EF">
      <w:pPr>
        <w:adjustRightInd w:val="0"/>
        <w:snapToGrid w:val="0"/>
        <w:spacing w:line="360" w:lineRule="auto"/>
        <w:rPr>
          <w:rFonts w:ascii="宋体" w:hAnsi="宋体"/>
          <w:color w:val="auto"/>
          <w:szCs w:val="21"/>
          <w:highlight w:val="none"/>
        </w:rPr>
      </w:pPr>
    </w:p>
    <w:p w14:paraId="782BE25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6D2A7258">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53B38007">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0300D2C4">
      <w:pPr>
        <w:adjustRightInd w:val="0"/>
        <w:snapToGrid w:val="0"/>
        <w:jc w:val="center"/>
        <w:rPr>
          <w:rFonts w:ascii="黑体" w:hAnsi="黑体" w:eastAsia="黑体"/>
          <w:bCs/>
          <w:color w:val="auto"/>
          <w:sz w:val="30"/>
          <w:szCs w:val="30"/>
          <w:highlight w:val="none"/>
        </w:rPr>
        <w:sectPr>
          <w:pgSz w:w="11906" w:h="16838"/>
          <w:pgMar w:top="1418" w:right="1418" w:bottom="1134" w:left="1418" w:header="851" w:footer="992" w:gutter="0"/>
          <w:pgNumType w:fmt="decimal"/>
          <w:cols w:space="720" w:num="1"/>
          <w:docGrid w:type="linesAndChars" w:linePitch="312" w:charSpace="0"/>
        </w:sectPr>
      </w:pPr>
    </w:p>
    <w:p w14:paraId="15CFB5C7">
      <w:pPr>
        <w:keepNext/>
        <w:keepLines/>
        <w:adjustRightInd w:val="0"/>
        <w:snapToGrid w:val="0"/>
        <w:spacing w:before="156" w:beforeLines="50" w:line="360" w:lineRule="auto"/>
        <w:outlineLvl w:val="2"/>
        <w:rPr>
          <w:rFonts w:ascii="宋体" w:hAnsi="宋体"/>
          <w:b/>
          <w:bCs/>
          <w:color w:val="auto"/>
          <w:szCs w:val="21"/>
          <w:highlight w:val="none"/>
        </w:rPr>
      </w:pPr>
      <w:bookmarkStart w:id="143" w:name="_Toc107998030"/>
      <w:bookmarkStart w:id="144" w:name="_Toc8671"/>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rPr>
        <w:t>-2</w:t>
      </w:r>
      <w:bookmarkEnd w:id="143"/>
      <w:bookmarkEnd w:id="144"/>
      <w:bookmarkStart w:id="145" w:name="_Toc20686"/>
      <w:bookmarkStart w:id="146" w:name="_Toc107998031"/>
      <w:r>
        <w:rPr>
          <w:rFonts w:hint="eastAsia" w:ascii="宋体" w:hAnsi="宋体"/>
          <w:b/>
          <w:bCs/>
          <w:color w:val="auto"/>
          <w:spacing w:val="-2"/>
          <w:position w:val="-3"/>
          <w:szCs w:val="21"/>
          <w:highlight w:val="none"/>
        </w:rPr>
        <w:t>分</w:t>
      </w:r>
      <w:r>
        <w:rPr>
          <w:rFonts w:hint="eastAsia" w:ascii="宋体" w:hAnsi="宋体"/>
          <w:b/>
          <w:bCs/>
          <w:color w:val="auto"/>
          <w:position w:val="-3"/>
          <w:szCs w:val="21"/>
          <w:highlight w:val="none"/>
        </w:rPr>
        <w:t>项</w:t>
      </w:r>
      <w:r>
        <w:rPr>
          <w:rFonts w:hint="eastAsia" w:ascii="宋体" w:hAnsi="宋体"/>
          <w:b/>
          <w:bCs/>
          <w:color w:val="auto"/>
          <w:spacing w:val="-2"/>
          <w:position w:val="-3"/>
          <w:szCs w:val="21"/>
          <w:highlight w:val="none"/>
        </w:rPr>
        <w:t>报</w:t>
      </w:r>
      <w:r>
        <w:rPr>
          <w:rFonts w:hint="eastAsia" w:ascii="宋体" w:hAnsi="宋体"/>
          <w:b/>
          <w:bCs/>
          <w:color w:val="auto"/>
          <w:position w:val="-3"/>
          <w:szCs w:val="21"/>
          <w:highlight w:val="none"/>
        </w:rPr>
        <w:t>价明细表</w:t>
      </w:r>
      <w:bookmarkEnd w:id="145"/>
      <w:bookmarkEnd w:id="146"/>
    </w:p>
    <w:p w14:paraId="4DC2B10C">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14:paraId="277EF68A">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14:paraId="6AF56524">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2"/>
        <w:tblW w:w="909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3"/>
        <w:gridCol w:w="1222"/>
        <w:gridCol w:w="2050"/>
        <w:gridCol w:w="1400"/>
        <w:gridCol w:w="1257"/>
        <w:gridCol w:w="930"/>
        <w:gridCol w:w="937"/>
        <w:gridCol w:w="947"/>
      </w:tblGrid>
      <w:tr w14:paraId="58D74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1575" w:type="dxa"/>
            <w:gridSpan w:val="2"/>
            <w:vMerge w:val="restart"/>
            <w:tcBorders>
              <w:top w:val="single" w:color="000000" w:sz="2" w:space="0"/>
              <w:left w:val="single" w:color="000000" w:sz="2" w:space="0"/>
              <w:bottom w:val="nil"/>
            </w:tcBorders>
            <w:vAlign w:val="top"/>
          </w:tcPr>
          <w:p w14:paraId="464C6E49">
            <w:pPr>
              <w:spacing w:line="385" w:lineRule="auto"/>
              <w:jc w:val="center"/>
              <w:rPr>
                <w:rFonts w:ascii="Arial"/>
                <w:color w:val="auto"/>
                <w:sz w:val="21"/>
              </w:rPr>
            </w:pPr>
          </w:p>
          <w:p w14:paraId="20D44A7F">
            <w:pPr>
              <w:pStyle w:val="41"/>
              <w:spacing w:before="65" w:line="227" w:lineRule="auto"/>
              <w:jc w:val="center"/>
              <w:rPr>
                <w:color w:val="auto"/>
              </w:rPr>
            </w:pPr>
            <w:r>
              <w:rPr>
                <w:color w:val="auto"/>
                <w:spacing w:val="6"/>
              </w:rPr>
              <w:t>货物名称</w:t>
            </w:r>
          </w:p>
        </w:tc>
        <w:tc>
          <w:tcPr>
            <w:tcW w:w="2050" w:type="dxa"/>
            <w:vMerge w:val="restart"/>
            <w:tcBorders>
              <w:top w:val="single" w:color="000000" w:sz="2" w:space="0"/>
              <w:bottom w:val="nil"/>
              <w:right w:val="single" w:color="000000" w:sz="2" w:space="0"/>
            </w:tcBorders>
            <w:vAlign w:val="top"/>
          </w:tcPr>
          <w:p w14:paraId="085B627D">
            <w:pPr>
              <w:spacing w:line="384" w:lineRule="auto"/>
              <w:jc w:val="center"/>
              <w:rPr>
                <w:rFonts w:ascii="Arial"/>
                <w:color w:val="auto"/>
                <w:sz w:val="21"/>
              </w:rPr>
            </w:pPr>
          </w:p>
          <w:p w14:paraId="501DFC79">
            <w:pPr>
              <w:pStyle w:val="41"/>
              <w:spacing w:before="65" w:line="228" w:lineRule="auto"/>
              <w:jc w:val="center"/>
              <w:rPr>
                <w:color w:val="auto"/>
              </w:rPr>
            </w:pPr>
            <w:r>
              <w:rPr>
                <w:color w:val="auto"/>
                <w:spacing w:val="7"/>
              </w:rPr>
              <w:t>规格型号</w:t>
            </w:r>
          </w:p>
        </w:tc>
        <w:tc>
          <w:tcPr>
            <w:tcW w:w="1400" w:type="dxa"/>
            <w:vMerge w:val="restart"/>
            <w:tcBorders>
              <w:top w:val="single" w:color="000000" w:sz="2" w:space="0"/>
              <w:left w:val="single" w:color="000000" w:sz="2" w:space="0"/>
              <w:bottom w:val="nil"/>
            </w:tcBorders>
            <w:vAlign w:val="top"/>
          </w:tcPr>
          <w:p w14:paraId="300E65D6">
            <w:pPr>
              <w:spacing w:line="384" w:lineRule="auto"/>
              <w:jc w:val="center"/>
              <w:rPr>
                <w:rFonts w:ascii="Arial"/>
                <w:color w:val="auto"/>
                <w:sz w:val="21"/>
              </w:rPr>
            </w:pPr>
          </w:p>
          <w:p w14:paraId="7100F990">
            <w:pPr>
              <w:pStyle w:val="41"/>
              <w:spacing w:before="65" w:line="228" w:lineRule="auto"/>
              <w:jc w:val="center"/>
              <w:rPr>
                <w:color w:val="auto"/>
              </w:rPr>
            </w:pPr>
            <w:r>
              <w:rPr>
                <w:color w:val="auto"/>
                <w:spacing w:val="3"/>
              </w:rPr>
              <w:t>品牌/产地</w:t>
            </w:r>
          </w:p>
        </w:tc>
        <w:tc>
          <w:tcPr>
            <w:tcW w:w="1257" w:type="dxa"/>
            <w:vMerge w:val="restart"/>
            <w:tcBorders>
              <w:top w:val="single" w:color="000000" w:sz="2" w:space="0"/>
              <w:bottom w:val="nil"/>
              <w:right w:val="single" w:color="000000" w:sz="2" w:space="0"/>
            </w:tcBorders>
            <w:vAlign w:val="top"/>
          </w:tcPr>
          <w:p w14:paraId="173B94D4">
            <w:pPr>
              <w:spacing w:line="384" w:lineRule="auto"/>
              <w:jc w:val="center"/>
              <w:rPr>
                <w:rFonts w:ascii="Arial"/>
                <w:color w:val="auto"/>
                <w:sz w:val="21"/>
              </w:rPr>
            </w:pPr>
          </w:p>
          <w:p w14:paraId="2B459DDB">
            <w:pPr>
              <w:pStyle w:val="41"/>
              <w:spacing w:before="65" w:line="228" w:lineRule="auto"/>
              <w:jc w:val="center"/>
              <w:rPr>
                <w:color w:val="auto"/>
              </w:rPr>
            </w:pPr>
            <w:r>
              <w:rPr>
                <w:color w:val="auto"/>
                <w:spacing w:val="6"/>
              </w:rPr>
              <w:t>数量/单位</w:t>
            </w:r>
          </w:p>
        </w:tc>
        <w:tc>
          <w:tcPr>
            <w:tcW w:w="1867" w:type="dxa"/>
            <w:gridSpan w:val="2"/>
            <w:tcBorders>
              <w:top w:val="single" w:color="000000" w:sz="2" w:space="0"/>
              <w:left w:val="single" w:color="000000" w:sz="2" w:space="0"/>
            </w:tcBorders>
            <w:vAlign w:val="top"/>
          </w:tcPr>
          <w:p w14:paraId="73DB5632">
            <w:pPr>
              <w:pStyle w:val="41"/>
              <w:spacing w:before="56" w:line="228" w:lineRule="auto"/>
              <w:jc w:val="center"/>
              <w:rPr>
                <w:color w:val="auto"/>
              </w:rPr>
            </w:pPr>
            <w:r>
              <w:rPr>
                <w:color w:val="auto"/>
                <w:spacing w:val="5"/>
              </w:rPr>
              <w:t>金额（元）</w:t>
            </w:r>
          </w:p>
        </w:tc>
        <w:tc>
          <w:tcPr>
            <w:tcW w:w="947" w:type="dxa"/>
            <w:vMerge w:val="restart"/>
            <w:tcBorders>
              <w:top w:val="single" w:color="000000" w:sz="2" w:space="0"/>
              <w:bottom w:val="nil"/>
              <w:right w:val="single" w:color="000000" w:sz="2" w:space="0"/>
            </w:tcBorders>
            <w:vAlign w:val="top"/>
          </w:tcPr>
          <w:p w14:paraId="198459BC">
            <w:pPr>
              <w:spacing w:line="385" w:lineRule="auto"/>
              <w:rPr>
                <w:rFonts w:ascii="Arial"/>
                <w:color w:val="auto"/>
                <w:sz w:val="21"/>
              </w:rPr>
            </w:pPr>
          </w:p>
          <w:p w14:paraId="4031D40F">
            <w:pPr>
              <w:pStyle w:val="41"/>
              <w:spacing w:before="65" w:line="229" w:lineRule="auto"/>
              <w:ind w:left="297"/>
              <w:rPr>
                <w:color w:val="auto"/>
              </w:rPr>
            </w:pPr>
            <w:r>
              <w:rPr>
                <w:color w:val="auto"/>
                <w:spacing w:val="3"/>
              </w:rPr>
              <w:t>备注</w:t>
            </w:r>
          </w:p>
        </w:tc>
      </w:tr>
      <w:tr w14:paraId="428CE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1575" w:type="dxa"/>
            <w:gridSpan w:val="2"/>
            <w:vMerge w:val="continue"/>
            <w:tcBorders>
              <w:top w:val="nil"/>
              <w:left w:val="single" w:color="000000" w:sz="2" w:space="0"/>
            </w:tcBorders>
            <w:vAlign w:val="top"/>
          </w:tcPr>
          <w:p w14:paraId="585541DD">
            <w:pPr>
              <w:jc w:val="center"/>
              <w:rPr>
                <w:rFonts w:ascii="Arial"/>
                <w:color w:val="auto"/>
                <w:sz w:val="21"/>
              </w:rPr>
            </w:pPr>
          </w:p>
        </w:tc>
        <w:tc>
          <w:tcPr>
            <w:tcW w:w="2050" w:type="dxa"/>
            <w:vMerge w:val="continue"/>
            <w:tcBorders>
              <w:top w:val="nil"/>
              <w:right w:val="single" w:color="000000" w:sz="2" w:space="0"/>
            </w:tcBorders>
            <w:vAlign w:val="top"/>
          </w:tcPr>
          <w:p w14:paraId="16CA2960">
            <w:pPr>
              <w:jc w:val="center"/>
              <w:rPr>
                <w:rFonts w:ascii="Arial"/>
                <w:color w:val="auto"/>
                <w:sz w:val="21"/>
              </w:rPr>
            </w:pPr>
          </w:p>
        </w:tc>
        <w:tc>
          <w:tcPr>
            <w:tcW w:w="1400" w:type="dxa"/>
            <w:vMerge w:val="continue"/>
            <w:tcBorders>
              <w:top w:val="nil"/>
              <w:left w:val="single" w:color="000000" w:sz="2" w:space="0"/>
            </w:tcBorders>
            <w:vAlign w:val="top"/>
          </w:tcPr>
          <w:p w14:paraId="181F61C7">
            <w:pPr>
              <w:jc w:val="center"/>
              <w:rPr>
                <w:rFonts w:ascii="Arial"/>
                <w:color w:val="auto"/>
                <w:sz w:val="21"/>
              </w:rPr>
            </w:pPr>
          </w:p>
        </w:tc>
        <w:tc>
          <w:tcPr>
            <w:tcW w:w="1257" w:type="dxa"/>
            <w:vMerge w:val="continue"/>
            <w:tcBorders>
              <w:top w:val="nil"/>
              <w:right w:val="single" w:color="000000" w:sz="2" w:space="0"/>
            </w:tcBorders>
            <w:vAlign w:val="top"/>
          </w:tcPr>
          <w:p w14:paraId="677E0C35">
            <w:pPr>
              <w:jc w:val="center"/>
              <w:rPr>
                <w:rFonts w:ascii="Arial"/>
                <w:color w:val="auto"/>
                <w:sz w:val="21"/>
              </w:rPr>
            </w:pPr>
          </w:p>
        </w:tc>
        <w:tc>
          <w:tcPr>
            <w:tcW w:w="930" w:type="dxa"/>
            <w:tcBorders>
              <w:left w:val="single" w:color="000000" w:sz="2" w:space="0"/>
              <w:right w:val="single" w:color="000000" w:sz="2" w:space="0"/>
            </w:tcBorders>
            <w:vAlign w:val="top"/>
          </w:tcPr>
          <w:p w14:paraId="1DD9F28E">
            <w:pPr>
              <w:pStyle w:val="41"/>
              <w:spacing w:before="233" w:line="226" w:lineRule="auto"/>
              <w:jc w:val="center"/>
              <w:rPr>
                <w:color w:val="auto"/>
              </w:rPr>
            </w:pPr>
            <w:r>
              <w:rPr>
                <w:color w:val="auto"/>
                <w:spacing w:val="3"/>
              </w:rPr>
              <w:t>单价</w:t>
            </w:r>
          </w:p>
        </w:tc>
        <w:tc>
          <w:tcPr>
            <w:tcW w:w="937" w:type="dxa"/>
            <w:tcBorders>
              <w:left w:val="single" w:color="000000" w:sz="2" w:space="0"/>
            </w:tcBorders>
            <w:vAlign w:val="top"/>
          </w:tcPr>
          <w:p w14:paraId="318802DA">
            <w:pPr>
              <w:pStyle w:val="41"/>
              <w:spacing w:before="233" w:line="229" w:lineRule="auto"/>
              <w:jc w:val="center"/>
              <w:rPr>
                <w:color w:val="auto"/>
              </w:rPr>
            </w:pPr>
            <w:r>
              <w:rPr>
                <w:color w:val="auto"/>
                <w:spacing w:val="2"/>
              </w:rPr>
              <w:t>小计</w:t>
            </w:r>
          </w:p>
        </w:tc>
        <w:tc>
          <w:tcPr>
            <w:tcW w:w="947" w:type="dxa"/>
            <w:vMerge w:val="continue"/>
            <w:tcBorders>
              <w:top w:val="nil"/>
              <w:right w:val="single" w:color="000000" w:sz="2" w:space="0"/>
            </w:tcBorders>
            <w:vAlign w:val="top"/>
          </w:tcPr>
          <w:p w14:paraId="0CE1312B">
            <w:pPr>
              <w:rPr>
                <w:rFonts w:ascii="Arial"/>
                <w:color w:val="auto"/>
                <w:sz w:val="21"/>
              </w:rPr>
            </w:pPr>
          </w:p>
        </w:tc>
      </w:tr>
      <w:tr w14:paraId="247C4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353" w:type="dxa"/>
            <w:tcBorders>
              <w:left w:val="single" w:color="000000" w:sz="2" w:space="0"/>
            </w:tcBorders>
            <w:vAlign w:val="top"/>
          </w:tcPr>
          <w:p w14:paraId="018D6331">
            <w:pPr>
              <w:pStyle w:val="41"/>
              <w:spacing w:before="142" w:line="189" w:lineRule="auto"/>
              <w:ind w:left="163"/>
              <w:rPr>
                <w:color w:val="auto"/>
              </w:rPr>
            </w:pPr>
            <w:r>
              <w:rPr>
                <w:color w:val="auto"/>
              </w:rPr>
              <w:t>1</w:t>
            </w:r>
          </w:p>
        </w:tc>
        <w:tc>
          <w:tcPr>
            <w:tcW w:w="1222" w:type="dxa"/>
            <w:vAlign w:val="top"/>
          </w:tcPr>
          <w:p w14:paraId="456D955D">
            <w:pPr>
              <w:rPr>
                <w:rFonts w:ascii="Arial"/>
                <w:color w:val="auto"/>
                <w:sz w:val="21"/>
              </w:rPr>
            </w:pPr>
          </w:p>
        </w:tc>
        <w:tc>
          <w:tcPr>
            <w:tcW w:w="2050" w:type="dxa"/>
            <w:tcBorders>
              <w:right w:val="single" w:color="000000" w:sz="2" w:space="0"/>
            </w:tcBorders>
            <w:vAlign w:val="top"/>
          </w:tcPr>
          <w:p w14:paraId="154DC2B0">
            <w:pPr>
              <w:rPr>
                <w:rFonts w:ascii="Arial"/>
                <w:color w:val="auto"/>
                <w:sz w:val="21"/>
              </w:rPr>
            </w:pPr>
          </w:p>
        </w:tc>
        <w:tc>
          <w:tcPr>
            <w:tcW w:w="1400" w:type="dxa"/>
            <w:tcBorders>
              <w:left w:val="single" w:color="000000" w:sz="2" w:space="0"/>
            </w:tcBorders>
            <w:vAlign w:val="top"/>
          </w:tcPr>
          <w:p w14:paraId="66649FD8">
            <w:pPr>
              <w:rPr>
                <w:rFonts w:ascii="Arial"/>
                <w:color w:val="auto"/>
                <w:sz w:val="21"/>
              </w:rPr>
            </w:pPr>
          </w:p>
        </w:tc>
        <w:tc>
          <w:tcPr>
            <w:tcW w:w="1257" w:type="dxa"/>
            <w:vAlign w:val="top"/>
          </w:tcPr>
          <w:p w14:paraId="202C551C">
            <w:pPr>
              <w:rPr>
                <w:rFonts w:ascii="Arial"/>
                <w:color w:val="auto"/>
                <w:sz w:val="21"/>
              </w:rPr>
            </w:pPr>
          </w:p>
        </w:tc>
        <w:tc>
          <w:tcPr>
            <w:tcW w:w="930" w:type="dxa"/>
            <w:vAlign w:val="top"/>
          </w:tcPr>
          <w:p w14:paraId="43839646">
            <w:pPr>
              <w:rPr>
                <w:rFonts w:ascii="Arial"/>
                <w:color w:val="auto"/>
                <w:sz w:val="21"/>
              </w:rPr>
            </w:pPr>
          </w:p>
        </w:tc>
        <w:tc>
          <w:tcPr>
            <w:tcW w:w="937" w:type="dxa"/>
            <w:vAlign w:val="top"/>
          </w:tcPr>
          <w:p w14:paraId="19B1F1D0">
            <w:pPr>
              <w:rPr>
                <w:rFonts w:ascii="Arial"/>
                <w:color w:val="auto"/>
                <w:sz w:val="21"/>
              </w:rPr>
            </w:pPr>
          </w:p>
        </w:tc>
        <w:tc>
          <w:tcPr>
            <w:tcW w:w="947" w:type="dxa"/>
            <w:tcBorders>
              <w:right w:val="single" w:color="000000" w:sz="2" w:space="0"/>
            </w:tcBorders>
            <w:vAlign w:val="top"/>
          </w:tcPr>
          <w:p w14:paraId="550AD46A">
            <w:pPr>
              <w:rPr>
                <w:rFonts w:ascii="Arial"/>
                <w:color w:val="auto"/>
                <w:sz w:val="21"/>
              </w:rPr>
            </w:pPr>
          </w:p>
        </w:tc>
      </w:tr>
      <w:tr w14:paraId="221AE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353" w:type="dxa"/>
            <w:tcBorders>
              <w:left w:val="single" w:color="000000" w:sz="2" w:space="0"/>
            </w:tcBorders>
            <w:vAlign w:val="top"/>
          </w:tcPr>
          <w:p w14:paraId="4A19F6CE">
            <w:pPr>
              <w:pStyle w:val="41"/>
              <w:spacing w:before="120" w:line="189" w:lineRule="auto"/>
              <w:ind w:left="150"/>
              <w:rPr>
                <w:color w:val="auto"/>
              </w:rPr>
            </w:pPr>
            <w:r>
              <w:rPr>
                <w:color w:val="auto"/>
              </w:rPr>
              <w:t>2</w:t>
            </w:r>
          </w:p>
        </w:tc>
        <w:tc>
          <w:tcPr>
            <w:tcW w:w="1222" w:type="dxa"/>
            <w:vAlign w:val="top"/>
          </w:tcPr>
          <w:p w14:paraId="791DBE5C">
            <w:pPr>
              <w:rPr>
                <w:rFonts w:ascii="Arial"/>
                <w:color w:val="auto"/>
                <w:sz w:val="21"/>
              </w:rPr>
            </w:pPr>
          </w:p>
        </w:tc>
        <w:tc>
          <w:tcPr>
            <w:tcW w:w="2050" w:type="dxa"/>
            <w:tcBorders>
              <w:right w:val="single" w:color="000000" w:sz="2" w:space="0"/>
            </w:tcBorders>
            <w:vAlign w:val="top"/>
          </w:tcPr>
          <w:p w14:paraId="2839EB4B">
            <w:pPr>
              <w:rPr>
                <w:rFonts w:ascii="Arial"/>
                <w:color w:val="auto"/>
                <w:sz w:val="21"/>
              </w:rPr>
            </w:pPr>
          </w:p>
        </w:tc>
        <w:tc>
          <w:tcPr>
            <w:tcW w:w="1400" w:type="dxa"/>
            <w:tcBorders>
              <w:left w:val="single" w:color="000000" w:sz="2" w:space="0"/>
            </w:tcBorders>
            <w:vAlign w:val="top"/>
          </w:tcPr>
          <w:p w14:paraId="097EFF44">
            <w:pPr>
              <w:rPr>
                <w:rFonts w:ascii="Arial"/>
                <w:color w:val="auto"/>
                <w:sz w:val="21"/>
              </w:rPr>
            </w:pPr>
          </w:p>
        </w:tc>
        <w:tc>
          <w:tcPr>
            <w:tcW w:w="1257" w:type="dxa"/>
            <w:vAlign w:val="top"/>
          </w:tcPr>
          <w:p w14:paraId="44DD47FD">
            <w:pPr>
              <w:rPr>
                <w:rFonts w:ascii="Arial"/>
                <w:color w:val="auto"/>
                <w:sz w:val="21"/>
              </w:rPr>
            </w:pPr>
          </w:p>
        </w:tc>
        <w:tc>
          <w:tcPr>
            <w:tcW w:w="930" w:type="dxa"/>
            <w:vAlign w:val="top"/>
          </w:tcPr>
          <w:p w14:paraId="5B2A28E7">
            <w:pPr>
              <w:rPr>
                <w:rFonts w:ascii="Arial"/>
                <w:color w:val="auto"/>
                <w:sz w:val="21"/>
              </w:rPr>
            </w:pPr>
          </w:p>
        </w:tc>
        <w:tc>
          <w:tcPr>
            <w:tcW w:w="937" w:type="dxa"/>
            <w:vAlign w:val="top"/>
          </w:tcPr>
          <w:p w14:paraId="5C58A216">
            <w:pPr>
              <w:rPr>
                <w:rFonts w:ascii="Arial"/>
                <w:color w:val="auto"/>
                <w:sz w:val="21"/>
              </w:rPr>
            </w:pPr>
          </w:p>
        </w:tc>
        <w:tc>
          <w:tcPr>
            <w:tcW w:w="947" w:type="dxa"/>
            <w:tcBorders>
              <w:right w:val="single" w:color="000000" w:sz="2" w:space="0"/>
            </w:tcBorders>
            <w:vAlign w:val="top"/>
          </w:tcPr>
          <w:p w14:paraId="63838033">
            <w:pPr>
              <w:rPr>
                <w:rFonts w:ascii="Arial"/>
                <w:color w:val="auto"/>
                <w:sz w:val="21"/>
              </w:rPr>
            </w:pPr>
          </w:p>
        </w:tc>
      </w:tr>
      <w:tr w14:paraId="4FD40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53" w:type="dxa"/>
            <w:tcBorders>
              <w:left w:val="single" w:color="000000" w:sz="2" w:space="0"/>
            </w:tcBorders>
            <w:vAlign w:val="top"/>
          </w:tcPr>
          <w:p w14:paraId="51AC94C3">
            <w:pPr>
              <w:pStyle w:val="41"/>
              <w:spacing w:before="119" w:line="189" w:lineRule="auto"/>
              <w:ind w:left="152"/>
              <w:rPr>
                <w:color w:val="auto"/>
              </w:rPr>
            </w:pPr>
            <w:r>
              <w:rPr>
                <w:color w:val="auto"/>
              </w:rPr>
              <w:t>3</w:t>
            </w:r>
          </w:p>
        </w:tc>
        <w:tc>
          <w:tcPr>
            <w:tcW w:w="1222" w:type="dxa"/>
            <w:vAlign w:val="top"/>
          </w:tcPr>
          <w:p w14:paraId="681F8BA8">
            <w:pPr>
              <w:rPr>
                <w:rFonts w:ascii="Arial"/>
                <w:color w:val="auto"/>
                <w:sz w:val="21"/>
              </w:rPr>
            </w:pPr>
          </w:p>
        </w:tc>
        <w:tc>
          <w:tcPr>
            <w:tcW w:w="2050" w:type="dxa"/>
            <w:tcBorders>
              <w:right w:val="single" w:color="000000" w:sz="2" w:space="0"/>
            </w:tcBorders>
            <w:vAlign w:val="top"/>
          </w:tcPr>
          <w:p w14:paraId="211B9FD5">
            <w:pPr>
              <w:rPr>
                <w:rFonts w:ascii="Arial"/>
                <w:color w:val="auto"/>
                <w:sz w:val="21"/>
              </w:rPr>
            </w:pPr>
          </w:p>
        </w:tc>
        <w:tc>
          <w:tcPr>
            <w:tcW w:w="1400" w:type="dxa"/>
            <w:tcBorders>
              <w:left w:val="single" w:color="000000" w:sz="2" w:space="0"/>
            </w:tcBorders>
            <w:vAlign w:val="top"/>
          </w:tcPr>
          <w:p w14:paraId="20889724">
            <w:pPr>
              <w:rPr>
                <w:rFonts w:ascii="Arial"/>
                <w:color w:val="auto"/>
                <w:sz w:val="21"/>
              </w:rPr>
            </w:pPr>
          </w:p>
        </w:tc>
        <w:tc>
          <w:tcPr>
            <w:tcW w:w="1257" w:type="dxa"/>
            <w:vAlign w:val="top"/>
          </w:tcPr>
          <w:p w14:paraId="62C645E2">
            <w:pPr>
              <w:rPr>
                <w:rFonts w:ascii="Arial"/>
                <w:color w:val="auto"/>
                <w:sz w:val="21"/>
              </w:rPr>
            </w:pPr>
          </w:p>
        </w:tc>
        <w:tc>
          <w:tcPr>
            <w:tcW w:w="930" w:type="dxa"/>
            <w:vAlign w:val="top"/>
          </w:tcPr>
          <w:p w14:paraId="362DFF4C">
            <w:pPr>
              <w:rPr>
                <w:rFonts w:ascii="Arial"/>
                <w:color w:val="auto"/>
                <w:sz w:val="21"/>
              </w:rPr>
            </w:pPr>
          </w:p>
        </w:tc>
        <w:tc>
          <w:tcPr>
            <w:tcW w:w="937" w:type="dxa"/>
            <w:vAlign w:val="top"/>
          </w:tcPr>
          <w:p w14:paraId="7971617C">
            <w:pPr>
              <w:rPr>
                <w:rFonts w:ascii="Arial"/>
                <w:color w:val="auto"/>
                <w:sz w:val="21"/>
              </w:rPr>
            </w:pPr>
          </w:p>
        </w:tc>
        <w:tc>
          <w:tcPr>
            <w:tcW w:w="947" w:type="dxa"/>
            <w:tcBorders>
              <w:right w:val="single" w:color="000000" w:sz="2" w:space="0"/>
            </w:tcBorders>
            <w:vAlign w:val="top"/>
          </w:tcPr>
          <w:p w14:paraId="094845CC">
            <w:pPr>
              <w:rPr>
                <w:rFonts w:ascii="Arial"/>
                <w:color w:val="auto"/>
                <w:sz w:val="21"/>
              </w:rPr>
            </w:pPr>
          </w:p>
        </w:tc>
      </w:tr>
      <w:tr w14:paraId="3EAF2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53" w:type="dxa"/>
            <w:tcBorders>
              <w:left w:val="single" w:color="000000" w:sz="2" w:space="0"/>
            </w:tcBorders>
            <w:vAlign w:val="top"/>
          </w:tcPr>
          <w:p w14:paraId="646B5956">
            <w:pPr>
              <w:pStyle w:val="41"/>
              <w:spacing w:before="119" w:line="189" w:lineRule="auto"/>
              <w:ind w:left="147"/>
              <w:rPr>
                <w:color w:val="auto"/>
              </w:rPr>
            </w:pPr>
            <w:r>
              <w:rPr>
                <w:color w:val="auto"/>
              </w:rPr>
              <w:t>4</w:t>
            </w:r>
          </w:p>
        </w:tc>
        <w:tc>
          <w:tcPr>
            <w:tcW w:w="1222" w:type="dxa"/>
            <w:vAlign w:val="top"/>
          </w:tcPr>
          <w:p w14:paraId="541226FC">
            <w:pPr>
              <w:rPr>
                <w:rFonts w:ascii="Arial"/>
                <w:color w:val="auto"/>
                <w:sz w:val="21"/>
              </w:rPr>
            </w:pPr>
          </w:p>
        </w:tc>
        <w:tc>
          <w:tcPr>
            <w:tcW w:w="2050" w:type="dxa"/>
            <w:tcBorders>
              <w:right w:val="single" w:color="000000" w:sz="2" w:space="0"/>
            </w:tcBorders>
            <w:vAlign w:val="top"/>
          </w:tcPr>
          <w:p w14:paraId="01B45435">
            <w:pPr>
              <w:rPr>
                <w:rFonts w:ascii="Arial"/>
                <w:color w:val="auto"/>
                <w:sz w:val="21"/>
              </w:rPr>
            </w:pPr>
          </w:p>
        </w:tc>
        <w:tc>
          <w:tcPr>
            <w:tcW w:w="1400" w:type="dxa"/>
            <w:tcBorders>
              <w:left w:val="single" w:color="000000" w:sz="2" w:space="0"/>
            </w:tcBorders>
            <w:vAlign w:val="top"/>
          </w:tcPr>
          <w:p w14:paraId="02293CA3">
            <w:pPr>
              <w:rPr>
                <w:rFonts w:ascii="Arial"/>
                <w:color w:val="auto"/>
                <w:sz w:val="21"/>
              </w:rPr>
            </w:pPr>
          </w:p>
        </w:tc>
        <w:tc>
          <w:tcPr>
            <w:tcW w:w="1257" w:type="dxa"/>
            <w:tcBorders>
              <w:right w:val="single" w:color="000000" w:sz="2" w:space="0"/>
            </w:tcBorders>
            <w:vAlign w:val="top"/>
          </w:tcPr>
          <w:p w14:paraId="628C25B5">
            <w:pPr>
              <w:rPr>
                <w:rFonts w:ascii="Arial"/>
                <w:color w:val="auto"/>
                <w:sz w:val="21"/>
              </w:rPr>
            </w:pPr>
          </w:p>
        </w:tc>
        <w:tc>
          <w:tcPr>
            <w:tcW w:w="930" w:type="dxa"/>
            <w:tcBorders>
              <w:left w:val="single" w:color="000000" w:sz="2" w:space="0"/>
            </w:tcBorders>
            <w:vAlign w:val="top"/>
          </w:tcPr>
          <w:p w14:paraId="61EA9C9C">
            <w:pPr>
              <w:rPr>
                <w:rFonts w:ascii="Arial"/>
                <w:color w:val="auto"/>
                <w:sz w:val="21"/>
              </w:rPr>
            </w:pPr>
          </w:p>
        </w:tc>
        <w:tc>
          <w:tcPr>
            <w:tcW w:w="937" w:type="dxa"/>
            <w:vAlign w:val="top"/>
          </w:tcPr>
          <w:p w14:paraId="409044DF">
            <w:pPr>
              <w:rPr>
                <w:rFonts w:ascii="Arial"/>
                <w:color w:val="auto"/>
                <w:sz w:val="21"/>
              </w:rPr>
            </w:pPr>
          </w:p>
        </w:tc>
        <w:tc>
          <w:tcPr>
            <w:tcW w:w="947" w:type="dxa"/>
            <w:tcBorders>
              <w:right w:val="single" w:color="000000" w:sz="2" w:space="0"/>
            </w:tcBorders>
            <w:vAlign w:val="top"/>
          </w:tcPr>
          <w:p w14:paraId="3B54FFB3">
            <w:pPr>
              <w:rPr>
                <w:rFonts w:ascii="Arial"/>
                <w:color w:val="auto"/>
                <w:sz w:val="21"/>
              </w:rPr>
            </w:pPr>
          </w:p>
        </w:tc>
      </w:tr>
      <w:tr w14:paraId="2F87C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353" w:type="dxa"/>
            <w:tcBorders>
              <w:left w:val="single" w:color="000000" w:sz="2" w:space="0"/>
            </w:tcBorders>
            <w:vAlign w:val="top"/>
          </w:tcPr>
          <w:p w14:paraId="2D392D7F">
            <w:pPr>
              <w:pStyle w:val="41"/>
              <w:spacing w:before="123" w:line="187" w:lineRule="auto"/>
              <w:ind w:left="152"/>
              <w:rPr>
                <w:color w:val="auto"/>
              </w:rPr>
            </w:pPr>
            <w:r>
              <w:rPr>
                <w:color w:val="auto"/>
              </w:rPr>
              <w:t>5</w:t>
            </w:r>
          </w:p>
        </w:tc>
        <w:tc>
          <w:tcPr>
            <w:tcW w:w="1222" w:type="dxa"/>
            <w:vAlign w:val="top"/>
          </w:tcPr>
          <w:p w14:paraId="0328EE9C">
            <w:pPr>
              <w:rPr>
                <w:rFonts w:ascii="Arial"/>
                <w:color w:val="auto"/>
                <w:sz w:val="21"/>
              </w:rPr>
            </w:pPr>
          </w:p>
        </w:tc>
        <w:tc>
          <w:tcPr>
            <w:tcW w:w="2050" w:type="dxa"/>
            <w:tcBorders>
              <w:right w:val="single" w:color="000000" w:sz="2" w:space="0"/>
            </w:tcBorders>
            <w:vAlign w:val="top"/>
          </w:tcPr>
          <w:p w14:paraId="34C0E46A">
            <w:pPr>
              <w:rPr>
                <w:rFonts w:ascii="Arial"/>
                <w:color w:val="auto"/>
                <w:sz w:val="21"/>
              </w:rPr>
            </w:pPr>
          </w:p>
        </w:tc>
        <w:tc>
          <w:tcPr>
            <w:tcW w:w="1400" w:type="dxa"/>
            <w:tcBorders>
              <w:left w:val="single" w:color="000000" w:sz="2" w:space="0"/>
            </w:tcBorders>
            <w:vAlign w:val="top"/>
          </w:tcPr>
          <w:p w14:paraId="4620D84F">
            <w:pPr>
              <w:rPr>
                <w:rFonts w:ascii="Arial"/>
                <w:color w:val="auto"/>
                <w:sz w:val="21"/>
              </w:rPr>
            </w:pPr>
          </w:p>
        </w:tc>
        <w:tc>
          <w:tcPr>
            <w:tcW w:w="1257" w:type="dxa"/>
            <w:tcBorders>
              <w:right w:val="single" w:color="000000" w:sz="2" w:space="0"/>
            </w:tcBorders>
            <w:vAlign w:val="top"/>
          </w:tcPr>
          <w:p w14:paraId="6DB118D8">
            <w:pPr>
              <w:rPr>
                <w:rFonts w:ascii="Arial"/>
                <w:color w:val="auto"/>
                <w:sz w:val="21"/>
              </w:rPr>
            </w:pPr>
          </w:p>
        </w:tc>
        <w:tc>
          <w:tcPr>
            <w:tcW w:w="930" w:type="dxa"/>
            <w:tcBorders>
              <w:left w:val="single" w:color="000000" w:sz="2" w:space="0"/>
            </w:tcBorders>
            <w:vAlign w:val="top"/>
          </w:tcPr>
          <w:p w14:paraId="302371DA">
            <w:pPr>
              <w:rPr>
                <w:rFonts w:ascii="Arial"/>
                <w:color w:val="auto"/>
                <w:sz w:val="21"/>
              </w:rPr>
            </w:pPr>
          </w:p>
        </w:tc>
        <w:tc>
          <w:tcPr>
            <w:tcW w:w="937" w:type="dxa"/>
            <w:vAlign w:val="top"/>
          </w:tcPr>
          <w:p w14:paraId="7822619B">
            <w:pPr>
              <w:rPr>
                <w:rFonts w:ascii="Arial"/>
                <w:color w:val="auto"/>
                <w:sz w:val="21"/>
              </w:rPr>
            </w:pPr>
          </w:p>
        </w:tc>
        <w:tc>
          <w:tcPr>
            <w:tcW w:w="947" w:type="dxa"/>
            <w:tcBorders>
              <w:right w:val="single" w:color="000000" w:sz="2" w:space="0"/>
            </w:tcBorders>
            <w:vAlign w:val="top"/>
          </w:tcPr>
          <w:p w14:paraId="65E8EF65">
            <w:pPr>
              <w:rPr>
                <w:rFonts w:ascii="Arial"/>
                <w:color w:val="auto"/>
                <w:sz w:val="21"/>
              </w:rPr>
            </w:pPr>
          </w:p>
        </w:tc>
      </w:tr>
      <w:tr w14:paraId="68E8E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353" w:type="dxa"/>
            <w:tcBorders>
              <w:left w:val="single" w:color="000000" w:sz="2" w:space="0"/>
            </w:tcBorders>
            <w:vAlign w:val="top"/>
          </w:tcPr>
          <w:p w14:paraId="52E39118">
            <w:pPr>
              <w:pStyle w:val="41"/>
              <w:spacing w:before="87" w:line="288" w:lineRule="exact"/>
              <w:ind w:left="108"/>
              <w:rPr>
                <w:color w:val="auto"/>
              </w:rPr>
            </w:pPr>
            <w:r>
              <w:rPr>
                <w:color w:val="auto"/>
                <w:position w:val="1"/>
              </w:rPr>
              <w:t>…</w:t>
            </w:r>
          </w:p>
        </w:tc>
        <w:tc>
          <w:tcPr>
            <w:tcW w:w="1222" w:type="dxa"/>
            <w:vAlign w:val="top"/>
          </w:tcPr>
          <w:p w14:paraId="5DDDE2DD">
            <w:pPr>
              <w:rPr>
                <w:rFonts w:ascii="Arial"/>
                <w:color w:val="auto"/>
                <w:sz w:val="21"/>
              </w:rPr>
            </w:pPr>
          </w:p>
        </w:tc>
        <w:tc>
          <w:tcPr>
            <w:tcW w:w="2050" w:type="dxa"/>
            <w:tcBorders>
              <w:right w:val="single" w:color="000000" w:sz="2" w:space="0"/>
            </w:tcBorders>
            <w:vAlign w:val="top"/>
          </w:tcPr>
          <w:p w14:paraId="784089F4">
            <w:pPr>
              <w:rPr>
                <w:rFonts w:ascii="Arial"/>
                <w:color w:val="auto"/>
                <w:sz w:val="21"/>
              </w:rPr>
            </w:pPr>
          </w:p>
        </w:tc>
        <w:tc>
          <w:tcPr>
            <w:tcW w:w="1400" w:type="dxa"/>
            <w:tcBorders>
              <w:left w:val="single" w:color="000000" w:sz="2" w:space="0"/>
            </w:tcBorders>
            <w:vAlign w:val="top"/>
          </w:tcPr>
          <w:p w14:paraId="31D2C99D">
            <w:pPr>
              <w:rPr>
                <w:rFonts w:ascii="Arial"/>
                <w:color w:val="auto"/>
                <w:sz w:val="21"/>
              </w:rPr>
            </w:pPr>
          </w:p>
        </w:tc>
        <w:tc>
          <w:tcPr>
            <w:tcW w:w="1257" w:type="dxa"/>
            <w:tcBorders>
              <w:right w:val="single" w:color="000000" w:sz="2" w:space="0"/>
            </w:tcBorders>
            <w:vAlign w:val="top"/>
          </w:tcPr>
          <w:p w14:paraId="1784FD9B">
            <w:pPr>
              <w:rPr>
                <w:rFonts w:ascii="Arial"/>
                <w:color w:val="auto"/>
                <w:sz w:val="21"/>
              </w:rPr>
            </w:pPr>
          </w:p>
        </w:tc>
        <w:tc>
          <w:tcPr>
            <w:tcW w:w="930" w:type="dxa"/>
            <w:tcBorders>
              <w:left w:val="single" w:color="000000" w:sz="2" w:space="0"/>
            </w:tcBorders>
            <w:vAlign w:val="top"/>
          </w:tcPr>
          <w:p w14:paraId="46C34E3C">
            <w:pPr>
              <w:rPr>
                <w:rFonts w:ascii="Arial"/>
                <w:color w:val="auto"/>
                <w:sz w:val="21"/>
              </w:rPr>
            </w:pPr>
          </w:p>
        </w:tc>
        <w:tc>
          <w:tcPr>
            <w:tcW w:w="937" w:type="dxa"/>
            <w:vAlign w:val="top"/>
          </w:tcPr>
          <w:p w14:paraId="6C85849D">
            <w:pPr>
              <w:rPr>
                <w:rFonts w:ascii="Arial"/>
                <w:color w:val="auto"/>
                <w:sz w:val="21"/>
              </w:rPr>
            </w:pPr>
          </w:p>
        </w:tc>
        <w:tc>
          <w:tcPr>
            <w:tcW w:w="947" w:type="dxa"/>
            <w:tcBorders>
              <w:right w:val="single" w:color="000000" w:sz="2" w:space="0"/>
            </w:tcBorders>
            <w:vAlign w:val="top"/>
          </w:tcPr>
          <w:p w14:paraId="3064C5E6">
            <w:pPr>
              <w:rPr>
                <w:rFonts w:ascii="Arial"/>
                <w:color w:val="auto"/>
                <w:sz w:val="21"/>
              </w:rPr>
            </w:pPr>
          </w:p>
        </w:tc>
      </w:tr>
      <w:tr w14:paraId="4D4BF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7212" w:type="dxa"/>
            <w:gridSpan w:val="6"/>
            <w:tcBorders>
              <w:left w:val="single" w:color="000000" w:sz="2" w:space="0"/>
              <w:bottom w:val="single" w:color="000000" w:sz="2" w:space="0"/>
            </w:tcBorders>
            <w:vAlign w:val="top"/>
          </w:tcPr>
          <w:p w14:paraId="177D4076">
            <w:pPr>
              <w:pStyle w:val="41"/>
              <w:spacing w:before="35" w:line="226" w:lineRule="auto"/>
              <w:ind w:left="3199"/>
              <w:rPr>
                <w:color w:val="auto"/>
              </w:rPr>
            </w:pPr>
            <w:r>
              <w:rPr>
                <w:color w:val="auto"/>
                <w:spacing w:val="7"/>
              </w:rPr>
              <w:t>报价（元</w:t>
            </w:r>
            <w:r>
              <w:rPr>
                <w:color w:val="auto"/>
                <w:spacing w:val="1"/>
              </w:rPr>
              <w:t>）：</w:t>
            </w:r>
          </w:p>
        </w:tc>
        <w:tc>
          <w:tcPr>
            <w:tcW w:w="937" w:type="dxa"/>
            <w:tcBorders>
              <w:bottom w:val="single" w:color="000000" w:sz="2" w:space="0"/>
            </w:tcBorders>
            <w:vAlign w:val="top"/>
          </w:tcPr>
          <w:p w14:paraId="6D01C74C">
            <w:pPr>
              <w:rPr>
                <w:rFonts w:ascii="Arial"/>
                <w:color w:val="auto"/>
                <w:sz w:val="21"/>
              </w:rPr>
            </w:pPr>
          </w:p>
        </w:tc>
        <w:tc>
          <w:tcPr>
            <w:tcW w:w="947" w:type="dxa"/>
            <w:tcBorders>
              <w:bottom w:val="single" w:color="000000" w:sz="2" w:space="0"/>
              <w:right w:val="single" w:color="000000" w:sz="2" w:space="0"/>
            </w:tcBorders>
            <w:vAlign w:val="top"/>
          </w:tcPr>
          <w:p w14:paraId="1264D7D5">
            <w:pPr>
              <w:rPr>
                <w:rFonts w:ascii="Arial"/>
                <w:color w:val="auto"/>
                <w:sz w:val="21"/>
              </w:rPr>
            </w:pPr>
          </w:p>
        </w:tc>
      </w:tr>
    </w:tbl>
    <w:p w14:paraId="4C85836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注：</w:t>
      </w:r>
      <w:r>
        <w:rPr>
          <w:rFonts w:hint="eastAsia" w:ascii="宋体" w:hAnsi="宋体"/>
          <w:color w:val="auto"/>
          <w:szCs w:val="21"/>
          <w:highlight w:val="none"/>
          <w:lang w:val="en-US" w:eastAsia="zh-CN"/>
        </w:rPr>
        <w:t>1.</w:t>
      </w:r>
      <w:r>
        <w:rPr>
          <w:rFonts w:hint="eastAsia" w:ascii="宋体" w:hAnsi="宋体"/>
          <w:b/>
          <w:color w:val="auto"/>
          <w:szCs w:val="21"/>
          <w:highlight w:val="none"/>
        </w:rPr>
        <w:t>本表应对应</w:t>
      </w:r>
      <w:r>
        <w:rPr>
          <w:rFonts w:hint="eastAsia" w:ascii="宋体" w:hAnsi="宋体"/>
          <w:color w:val="auto"/>
          <w:szCs w:val="21"/>
          <w:highlight w:val="none"/>
        </w:rPr>
        <w:t>“</w:t>
      </w:r>
      <w:r>
        <w:rPr>
          <w:rFonts w:hint="eastAsia" w:ascii="宋体" w:hAnsi="宋体"/>
          <w:b/>
          <w:color w:val="auto"/>
          <w:szCs w:val="21"/>
          <w:highlight w:val="none"/>
        </w:rPr>
        <w:t>报价表</w:t>
      </w:r>
      <w:r>
        <w:rPr>
          <w:rFonts w:hint="eastAsia" w:ascii="宋体" w:hAnsi="宋体"/>
          <w:color w:val="auto"/>
          <w:szCs w:val="21"/>
          <w:highlight w:val="none"/>
        </w:rPr>
        <w:t>”</w:t>
      </w:r>
      <w:r>
        <w:rPr>
          <w:rFonts w:hint="eastAsia" w:ascii="宋体" w:hAnsi="宋体"/>
          <w:b/>
          <w:color w:val="auto"/>
          <w:szCs w:val="21"/>
          <w:highlight w:val="none"/>
        </w:rPr>
        <w:t>，按包填写</w:t>
      </w:r>
      <w:r>
        <w:rPr>
          <w:rFonts w:hint="eastAsia" w:ascii="宋体" w:hAnsi="宋体"/>
          <w:color w:val="auto"/>
          <w:szCs w:val="21"/>
          <w:highlight w:val="none"/>
        </w:rPr>
        <w:t>。供应商如果不提供分项报价明细表，其</w:t>
      </w:r>
      <w:r>
        <w:rPr>
          <w:rFonts w:hint="eastAsia" w:ascii="宋体" w:hAnsi="宋体"/>
          <w:b/>
          <w:color w:val="auto"/>
          <w:szCs w:val="21"/>
          <w:highlight w:val="none"/>
        </w:rPr>
        <w:t>响应无效</w:t>
      </w:r>
      <w:r>
        <w:rPr>
          <w:rFonts w:hint="eastAsia" w:ascii="宋体" w:hAnsi="宋体"/>
          <w:color w:val="auto"/>
          <w:szCs w:val="21"/>
          <w:highlight w:val="none"/>
        </w:rPr>
        <w:t>。</w:t>
      </w:r>
    </w:p>
    <w:p w14:paraId="00DBE5FD">
      <w:pPr>
        <w:adjustRightInd w:val="0"/>
        <w:snapToGrid w:val="0"/>
        <w:spacing w:line="360" w:lineRule="auto"/>
        <w:ind w:left="0" w:leftChars="0"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不得填写“免费”或“赠与”，也不得进行“零”报价，否则</w:t>
      </w:r>
      <w:r>
        <w:rPr>
          <w:rFonts w:hint="eastAsia" w:ascii="宋体" w:hAnsi="宋体"/>
          <w:b/>
          <w:color w:val="auto"/>
          <w:szCs w:val="21"/>
          <w:highlight w:val="none"/>
        </w:rPr>
        <w:t>响应无效</w:t>
      </w:r>
      <w:r>
        <w:rPr>
          <w:rFonts w:hint="eastAsia" w:ascii="宋体" w:hAnsi="宋体"/>
          <w:color w:val="auto"/>
          <w:szCs w:val="21"/>
          <w:highlight w:val="none"/>
        </w:rPr>
        <w:t>。</w:t>
      </w:r>
    </w:p>
    <w:p w14:paraId="4D8E5EFD">
      <w:pPr>
        <w:adjustRightInd w:val="0"/>
        <w:snapToGrid w:val="0"/>
        <w:spacing w:line="360" w:lineRule="auto"/>
        <w:ind w:firstLine="420" w:firstLineChars="200"/>
        <w:rPr>
          <w:rFonts w:ascii="宋体" w:hAnsi="宋体"/>
          <w:b/>
          <w:color w:val="auto"/>
          <w:szCs w:val="21"/>
          <w:highlight w:val="none"/>
        </w:rPr>
      </w:pPr>
    </w:p>
    <w:p w14:paraId="1226047F">
      <w:pPr>
        <w:adjustRightInd w:val="0"/>
        <w:snapToGrid w:val="0"/>
        <w:spacing w:line="360" w:lineRule="auto"/>
        <w:rPr>
          <w:rFonts w:ascii="宋体" w:hAnsi="宋体"/>
          <w:color w:val="auto"/>
          <w:szCs w:val="21"/>
          <w:highlight w:val="none"/>
        </w:rPr>
      </w:pPr>
    </w:p>
    <w:p w14:paraId="36F8E88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1DED32C2">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45AB585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0452600A">
      <w:pPr>
        <w:adjustRightInd w:val="0"/>
        <w:snapToGrid w:val="0"/>
        <w:spacing w:line="360" w:lineRule="auto"/>
        <w:rPr>
          <w:rFonts w:ascii="黑体" w:hAnsi="黑体" w:eastAsia="黑体"/>
          <w:bCs/>
          <w:color w:val="auto"/>
          <w:sz w:val="30"/>
          <w:szCs w:val="30"/>
          <w:highlight w:val="none"/>
        </w:rPr>
        <w:sectPr>
          <w:pgSz w:w="11906" w:h="16838"/>
          <w:pgMar w:top="1418" w:right="1418" w:bottom="1134" w:left="1418" w:header="851" w:footer="992" w:gutter="0"/>
          <w:pgNumType w:fmt="decimal"/>
          <w:cols w:space="720" w:num="1"/>
          <w:docGrid w:type="linesAndChars" w:linePitch="312" w:charSpace="0"/>
        </w:sectPr>
      </w:pPr>
    </w:p>
    <w:p w14:paraId="400DC1B0">
      <w:pPr>
        <w:widowControl/>
        <w:jc w:val="left"/>
        <w:rPr>
          <w:color w:val="auto"/>
          <w:sz w:val="24"/>
          <w:szCs w:val="22"/>
          <w:highlight w:val="none"/>
        </w:rPr>
      </w:pPr>
    </w:p>
    <w:p w14:paraId="44EC356D">
      <w:pPr>
        <w:keepNext/>
        <w:keepLines/>
        <w:spacing w:line="360" w:lineRule="auto"/>
        <w:jc w:val="center"/>
        <w:outlineLvl w:val="1"/>
        <w:rPr>
          <w:rFonts w:ascii="黑体" w:hAnsi="黑体" w:eastAsia="黑体"/>
          <w:b/>
          <w:bCs/>
          <w:color w:val="auto"/>
          <w:sz w:val="28"/>
          <w:szCs w:val="28"/>
          <w:highlight w:val="none"/>
        </w:rPr>
      </w:pPr>
      <w:bookmarkStart w:id="147" w:name="_Toc107998033"/>
      <w:bookmarkStart w:id="148" w:name="_Toc20516"/>
      <w:r>
        <w:rPr>
          <w:rFonts w:hint="eastAsia" w:ascii="黑体" w:hAnsi="黑体" w:eastAsia="黑体"/>
          <w:b/>
          <w:bCs/>
          <w:color w:val="auto"/>
          <w:sz w:val="28"/>
          <w:szCs w:val="28"/>
          <w:highlight w:val="none"/>
        </w:rPr>
        <w:t>二、谈判响应声明(格式)</w:t>
      </w:r>
      <w:bookmarkEnd w:id="147"/>
      <w:bookmarkEnd w:id="148"/>
    </w:p>
    <w:p w14:paraId="7274C63C">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(采购人、采购代理机构)</w:t>
      </w:r>
      <w:r>
        <w:rPr>
          <w:rFonts w:hint="eastAsia" w:ascii="宋体" w:hAnsi="宋体"/>
          <w:color w:val="auto"/>
          <w:szCs w:val="21"/>
          <w:highlight w:val="none"/>
        </w:rPr>
        <w:t>：</w:t>
      </w:r>
    </w:p>
    <w:p w14:paraId="386F8D9A">
      <w:pPr>
        <w:adjustRightInd w:val="0"/>
        <w:snapToGrid w:val="0"/>
        <w:spacing w:before="156" w:beforeLines="50" w:line="360" w:lineRule="auto"/>
        <w:ind w:firstLine="435"/>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（项目名称）</w:t>
      </w:r>
      <w:r>
        <w:rPr>
          <w:rFonts w:hint="eastAsia" w:ascii="宋体" w:hAnsi="宋体"/>
          <w:color w:val="auto"/>
          <w:szCs w:val="21"/>
          <w:highlight w:val="none"/>
        </w:rPr>
        <w:t>的谈判邀请（</w:t>
      </w:r>
      <w:r>
        <w:rPr>
          <w:rFonts w:hint="eastAsia" w:ascii="宋体" w:hAnsi="宋体"/>
          <w:color w:val="auto"/>
          <w:highlight w:val="none"/>
        </w:rPr>
        <w:t>政府采购计划编号</w:t>
      </w:r>
      <w:r>
        <w:rPr>
          <w:rFonts w:hint="eastAsia" w:ascii="宋体" w:hAnsi="宋体"/>
          <w:iCs/>
          <w:color w:val="auto"/>
          <w:highlight w:val="none"/>
        </w:rPr>
        <w:t>：</w:t>
      </w:r>
      <w:r>
        <w:rPr>
          <w:rFonts w:hint="eastAsia" w:ascii="宋体" w:hAnsi="宋体"/>
          <w:iCs/>
          <w:color w:val="auto"/>
          <w:highlight w:val="none"/>
          <w:u w:val="single"/>
        </w:rPr>
        <w:t xml:space="preserve">           </w:t>
      </w:r>
      <w:r>
        <w:rPr>
          <w:rFonts w:hint="eastAsia" w:ascii="宋体" w:hAnsi="宋体"/>
          <w:iCs/>
          <w:color w:val="auto"/>
          <w:highlight w:val="none"/>
        </w:rPr>
        <w:t xml:space="preserve"> ，</w:t>
      </w:r>
      <w:r>
        <w:rPr>
          <w:rFonts w:hint="eastAsia" w:ascii="宋体" w:hAnsi="宋体"/>
          <w:color w:val="auto"/>
          <w:szCs w:val="21"/>
          <w:highlight w:val="none"/>
        </w:rPr>
        <w:t>委托代理编号：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），签字代表</w:t>
      </w:r>
      <w:r>
        <w:rPr>
          <w:rFonts w:hint="eastAsia" w:ascii="宋体" w:hAnsi="宋体"/>
          <w:color w:val="auto"/>
          <w:szCs w:val="21"/>
          <w:highlight w:val="none"/>
          <w:u w:val="single"/>
        </w:rPr>
        <w:t xml:space="preserve"> （姓名、职务）</w:t>
      </w:r>
      <w:r>
        <w:rPr>
          <w:rFonts w:hint="eastAsia" w:ascii="宋体" w:hAnsi="宋体"/>
          <w:color w:val="auto"/>
          <w:szCs w:val="21"/>
          <w:highlight w:val="none"/>
        </w:rPr>
        <w:t>经正式授权并代表供应商</w:t>
      </w:r>
      <w:r>
        <w:rPr>
          <w:rFonts w:hint="eastAsia" w:ascii="宋体" w:hAnsi="宋体"/>
          <w:color w:val="auto"/>
          <w:szCs w:val="21"/>
          <w:highlight w:val="none"/>
          <w:u w:val="single"/>
        </w:rPr>
        <w:t xml:space="preserve"> （供应商名称）</w:t>
      </w:r>
      <w:r>
        <w:rPr>
          <w:rFonts w:hint="eastAsia" w:ascii="宋体" w:hAnsi="宋体"/>
          <w:color w:val="auto"/>
          <w:szCs w:val="21"/>
          <w:highlight w:val="none"/>
        </w:rPr>
        <w:t>提交响应文件正本一份,副本</w:t>
      </w:r>
      <w:r>
        <w:rPr>
          <w:rFonts w:hint="eastAsia" w:ascii="宋体" w:hAnsi="宋体"/>
          <w:color w:val="auto"/>
          <w:szCs w:val="21"/>
          <w:highlight w:val="none"/>
          <w:u w:val="single"/>
        </w:rPr>
        <w:t xml:space="preserve">  </w:t>
      </w:r>
      <w:r>
        <w:rPr>
          <w:rFonts w:hint="eastAsia" w:ascii="宋体" w:hAnsi="宋体"/>
          <w:color w:val="auto"/>
          <w:szCs w:val="21"/>
          <w:highlight w:val="none"/>
        </w:rPr>
        <w:t>份；响应文件电子文档：一份，参加采购项目谈判，并在此声明，所递交的响应文件内容完整、真实。</w:t>
      </w:r>
    </w:p>
    <w:p w14:paraId="0E01D5B8">
      <w:pPr>
        <w:adjustRightInd w:val="0"/>
        <w:snapToGrid w:val="0"/>
        <w:spacing w:before="156"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一、我方已详细审查谈判文件。我们完全理解并同意放弃对这方面有不明及误解的权力。</w:t>
      </w:r>
    </w:p>
    <w:p w14:paraId="3CC8613F">
      <w:pPr>
        <w:adjustRightInd w:val="0"/>
        <w:snapToGrid w:val="0"/>
        <w:spacing w:before="156" w:beforeLines="50" w:line="360" w:lineRule="auto"/>
        <w:ind w:firstLine="420" w:firstLineChars="200"/>
        <w:rPr>
          <w:rFonts w:ascii="宋体" w:hAnsi="宋体" w:cs="Courier New"/>
          <w:bCs/>
          <w:color w:val="auto"/>
          <w:szCs w:val="21"/>
          <w:highlight w:val="none"/>
        </w:rPr>
      </w:pPr>
      <w:r>
        <w:rPr>
          <w:rFonts w:hint="eastAsia" w:ascii="宋体" w:hAnsi="宋体" w:cs="Courier New"/>
          <w:color w:val="auto"/>
          <w:szCs w:val="21"/>
          <w:highlight w:val="none"/>
        </w:rPr>
        <w:t>二、我方愿意向贵方提供任何与本项采购有关的数据、情况和技术资料。若贵方需要，我方愿意提供我方作出的一切承诺的证明材料。</w:t>
      </w:r>
    </w:p>
    <w:p w14:paraId="4E8DE8AD">
      <w:pPr>
        <w:adjustRightInd w:val="0"/>
        <w:snapToGrid w:val="0"/>
        <w:spacing w:before="156"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三、我方愿意按谈判文件规定和谈判小组要求重新提交响应文件和最后报价。</w:t>
      </w:r>
    </w:p>
    <w:p w14:paraId="00F12DB3">
      <w:pPr>
        <w:adjustRightInd w:val="0"/>
        <w:snapToGrid w:val="0"/>
        <w:spacing w:before="156"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四、我方同意在谈判文件中规定的提交首次响应文件截止时间起</w:t>
      </w:r>
      <w:r>
        <w:rPr>
          <w:rFonts w:hint="eastAsia" w:ascii="宋体" w:hAnsi="宋体" w:cs="Courier New"/>
          <w:color w:val="auto"/>
          <w:szCs w:val="21"/>
          <w:highlight w:val="none"/>
          <w:u w:val="single"/>
          <w:lang w:eastAsia="zh-CN"/>
        </w:rPr>
        <w:t xml:space="preserve"> </w:t>
      </w:r>
      <w:r>
        <w:rPr>
          <w:rFonts w:hint="eastAsia" w:ascii="宋体" w:hAnsi="宋体" w:cs="Courier New"/>
          <w:color w:val="auto"/>
          <w:szCs w:val="21"/>
          <w:highlight w:val="none"/>
          <w:u w:val="single"/>
          <w:lang w:val="en-US" w:eastAsia="zh-CN"/>
        </w:rPr>
        <w:t xml:space="preserve">    </w:t>
      </w:r>
      <w:r>
        <w:rPr>
          <w:rFonts w:hint="eastAsia" w:ascii="宋体" w:hAnsi="宋体" w:cs="Courier New"/>
          <w:color w:val="auto"/>
          <w:szCs w:val="21"/>
          <w:highlight w:val="none"/>
        </w:rPr>
        <w:t>日内(响应文件有效期)遵守本响应文件中的承诺且在此期限期满之前均具有法律约束力。</w:t>
      </w:r>
    </w:p>
    <w:p w14:paraId="502AB107">
      <w:pPr>
        <w:adjustRightInd w:val="0"/>
        <w:snapToGrid w:val="0"/>
        <w:spacing w:before="156"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34817927">
      <w:pPr>
        <w:adjustRightInd w:val="0"/>
        <w:snapToGrid w:val="0"/>
        <w:spacing w:before="156" w:beforeLines="5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六、我方承诺在参与竞争性谈判过程中，若出现《政府采购法》第七十七条、《政府采购法实施条例》第七十二条和《政府采购非招标方式管理办法》第五十四条规定之情形，我方同意接受条款规定作出的处罚。</w:t>
      </w:r>
    </w:p>
    <w:p w14:paraId="21FC2773">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七、我方的联系方式：</w:t>
      </w:r>
    </w:p>
    <w:p w14:paraId="4725AD8B">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r>
        <w:rPr>
          <w:rFonts w:hint="eastAsia" w:ascii="宋体" w:hAnsi="宋体"/>
          <w:color w:val="auto"/>
          <w:szCs w:val="21"/>
          <w:highlight w:val="none"/>
        </w:rPr>
        <w:t>；电话：</w:t>
      </w:r>
      <w:r>
        <w:rPr>
          <w:rFonts w:hint="eastAsia" w:ascii="宋体" w:hAnsi="宋体"/>
          <w:color w:val="auto"/>
          <w:szCs w:val="21"/>
          <w:highlight w:val="none"/>
          <w:u w:val="single"/>
        </w:rPr>
        <w:t xml:space="preserve">        </w:t>
      </w:r>
      <w:r>
        <w:rPr>
          <w:rFonts w:hint="eastAsia" w:ascii="宋体" w:hAnsi="宋体"/>
          <w:color w:val="auto"/>
          <w:szCs w:val="21"/>
          <w:highlight w:val="none"/>
        </w:rPr>
        <w:t>；电子邮箱：</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48CEF20">
      <w:pPr>
        <w:adjustRightInd w:val="0"/>
        <w:snapToGrid w:val="0"/>
        <w:spacing w:before="156" w:beforeLines="50" w:line="360" w:lineRule="auto"/>
        <w:rPr>
          <w:rFonts w:ascii="宋体" w:hAnsi="宋体" w:cs="Courier New"/>
          <w:color w:val="auto"/>
          <w:szCs w:val="21"/>
          <w:highlight w:val="none"/>
        </w:rPr>
      </w:pPr>
    </w:p>
    <w:p w14:paraId="185ABB89">
      <w:pPr>
        <w:adjustRightInd w:val="0"/>
        <w:snapToGrid w:val="0"/>
        <w:spacing w:before="156" w:beforeLines="50" w:line="360" w:lineRule="auto"/>
        <w:rPr>
          <w:rFonts w:ascii="宋体" w:hAnsi="宋体" w:cs="Courier New"/>
          <w:color w:val="auto"/>
          <w:szCs w:val="21"/>
          <w:highlight w:val="none"/>
        </w:rPr>
      </w:pPr>
      <w:r>
        <w:rPr>
          <w:rFonts w:hint="eastAsia" w:ascii="宋体" w:hAnsi="宋体" w:cs="Courier New"/>
          <w:color w:val="auto"/>
          <w:szCs w:val="21"/>
          <w:highlight w:val="none"/>
        </w:rPr>
        <w:t>供应商名称(盖单位公章)：</w:t>
      </w:r>
    </w:p>
    <w:p w14:paraId="514E27AA">
      <w:pPr>
        <w:adjustRightInd w:val="0"/>
        <w:snapToGrid w:val="0"/>
        <w:spacing w:before="156"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285676E4">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3EAEC61F">
      <w:pPr>
        <w:adjustRightInd w:val="0"/>
        <w:snapToGrid w:val="0"/>
        <w:spacing w:before="156" w:beforeLines="50" w:line="360" w:lineRule="auto"/>
        <w:rPr>
          <w:rFonts w:ascii="宋体" w:hAnsi="宋体"/>
          <w:color w:val="auto"/>
          <w:szCs w:val="21"/>
          <w:highlight w:val="none"/>
        </w:rPr>
        <w:sectPr>
          <w:pgSz w:w="11906" w:h="16838"/>
          <w:pgMar w:top="1418" w:right="1418" w:bottom="1134" w:left="1418" w:header="851" w:footer="992" w:gutter="0"/>
          <w:pgNumType w:fmt="decimal"/>
          <w:cols w:space="720" w:num="1"/>
          <w:docGrid w:type="linesAndChars" w:linePitch="312" w:charSpace="0"/>
        </w:sectPr>
      </w:pPr>
    </w:p>
    <w:p w14:paraId="22498B68">
      <w:pPr>
        <w:keepNext/>
        <w:keepLines/>
        <w:spacing w:line="360" w:lineRule="auto"/>
        <w:jc w:val="center"/>
        <w:outlineLvl w:val="1"/>
        <w:rPr>
          <w:rFonts w:ascii="黑体" w:hAnsi="黑体" w:eastAsia="黑体"/>
          <w:b/>
          <w:bCs/>
          <w:color w:val="auto"/>
          <w:sz w:val="28"/>
          <w:szCs w:val="28"/>
          <w:highlight w:val="none"/>
        </w:rPr>
      </w:pPr>
      <w:bookmarkStart w:id="149" w:name="_Toc21858"/>
      <w:bookmarkStart w:id="150" w:name="_Toc107998034"/>
      <w:r>
        <w:rPr>
          <w:rFonts w:hint="eastAsia" w:ascii="黑体" w:hAnsi="黑体" w:eastAsia="黑体"/>
          <w:b/>
          <w:bCs/>
          <w:color w:val="auto"/>
          <w:sz w:val="28"/>
          <w:szCs w:val="28"/>
          <w:highlight w:val="none"/>
        </w:rPr>
        <w:t>三、保证金</w:t>
      </w:r>
      <w:bookmarkEnd w:id="149"/>
      <w:bookmarkEnd w:id="150"/>
    </w:p>
    <w:p w14:paraId="5ACF1BE3">
      <w:pPr>
        <w:autoSpaceDE w:val="0"/>
        <w:autoSpaceDN w:val="0"/>
        <w:adjustRightInd w:val="0"/>
        <w:jc w:val="left"/>
        <w:rPr>
          <w:rFonts w:ascii="宋体" w:hAnsi="宋体"/>
          <w:color w:val="auto"/>
          <w:szCs w:val="21"/>
          <w:highlight w:val="none"/>
        </w:rPr>
      </w:pPr>
    </w:p>
    <w:p w14:paraId="1D841519">
      <w:pPr>
        <w:pStyle w:val="5"/>
        <w:rPr>
          <w:rFonts w:hint="eastAsia"/>
          <w:color w:val="auto"/>
          <w:highlight w:val="none"/>
          <w:lang w:eastAsia="zh-CN"/>
        </w:rPr>
      </w:pPr>
    </w:p>
    <w:p w14:paraId="3CB70885">
      <w:pPr>
        <w:pStyle w:val="5"/>
        <w:rPr>
          <w:rFonts w:hint="eastAsia"/>
          <w:color w:val="auto"/>
          <w:highlight w:val="none"/>
          <w:lang w:eastAsia="zh-CN"/>
        </w:rPr>
      </w:pPr>
    </w:p>
    <w:p w14:paraId="5E05E314">
      <w:pPr>
        <w:pStyle w:val="5"/>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本项目不要求提供</w:t>
      </w:r>
      <w:r>
        <w:rPr>
          <w:rFonts w:hint="eastAsia"/>
          <w:color w:val="auto"/>
          <w:highlight w:val="none"/>
          <w:lang w:eastAsia="zh-CN"/>
        </w:rPr>
        <w:t>）</w:t>
      </w:r>
    </w:p>
    <w:p w14:paraId="2760AF7D">
      <w:pPr>
        <w:adjustRightInd w:val="0"/>
        <w:snapToGrid w:val="0"/>
        <w:spacing w:before="156" w:beforeLines="50" w:line="360" w:lineRule="auto"/>
        <w:ind w:firstLine="420" w:firstLineChars="200"/>
        <w:jc w:val="left"/>
        <w:rPr>
          <w:rFonts w:ascii="宋体" w:hAnsi="宋体"/>
          <w:color w:val="auto"/>
          <w:highlight w:val="none"/>
        </w:rPr>
        <w:sectPr>
          <w:pgSz w:w="11906" w:h="16838"/>
          <w:pgMar w:top="1418" w:right="1418" w:bottom="1134" w:left="1418" w:header="851" w:footer="992" w:gutter="0"/>
          <w:pgNumType w:fmt="decimal"/>
          <w:cols w:space="720" w:num="1"/>
          <w:docGrid w:type="linesAndChars" w:linePitch="312" w:charSpace="0"/>
        </w:sectPr>
      </w:pPr>
    </w:p>
    <w:p w14:paraId="20358CD4">
      <w:pPr>
        <w:keepNext/>
        <w:keepLines/>
        <w:spacing w:line="360" w:lineRule="auto"/>
        <w:jc w:val="center"/>
        <w:outlineLvl w:val="1"/>
        <w:rPr>
          <w:rFonts w:ascii="黑体" w:hAnsi="黑体" w:eastAsia="黑体"/>
          <w:b/>
          <w:bCs/>
          <w:color w:val="auto"/>
          <w:sz w:val="28"/>
          <w:szCs w:val="28"/>
          <w:highlight w:val="none"/>
        </w:rPr>
      </w:pPr>
      <w:bookmarkStart w:id="151" w:name="_Toc30742"/>
      <w:bookmarkStart w:id="152" w:name="_Toc107998035"/>
      <w:r>
        <w:rPr>
          <w:rFonts w:hint="eastAsia" w:ascii="黑体" w:hAnsi="黑体" w:eastAsia="黑体"/>
          <w:b/>
          <w:bCs/>
          <w:color w:val="auto"/>
          <w:sz w:val="28"/>
          <w:szCs w:val="28"/>
          <w:highlight w:val="none"/>
        </w:rPr>
        <w:t>四、授权委托书(格式)</w:t>
      </w:r>
      <w:bookmarkEnd w:id="151"/>
      <w:bookmarkEnd w:id="152"/>
    </w:p>
    <w:p w14:paraId="7C1891AB">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highlight w:val="none"/>
        </w:rPr>
      </w:pPr>
    </w:p>
    <w:p w14:paraId="51615ECB">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（姓名、职务）</w:t>
      </w:r>
      <w:r>
        <w:rPr>
          <w:rFonts w:hint="eastAsia" w:ascii="宋体" w:hAnsi="宋体" w:cs="宋体"/>
          <w:color w:val="auto"/>
          <w:kern w:val="0"/>
          <w:szCs w:val="21"/>
          <w:highlight w:val="none"/>
        </w:rPr>
        <w:t xml:space="preserve">系 </w:t>
      </w:r>
      <w:r>
        <w:rPr>
          <w:rFonts w:hint="eastAsia" w:ascii="宋体" w:hAnsi="宋体" w:cs="宋体"/>
          <w:color w:val="auto"/>
          <w:kern w:val="0"/>
          <w:szCs w:val="21"/>
          <w:highlight w:val="none"/>
          <w:u w:val="single"/>
        </w:rPr>
        <w:t>（</w:t>
      </w:r>
      <w:r>
        <w:rPr>
          <w:rFonts w:hint="eastAsia" w:ascii="宋体" w:hAnsi="宋体"/>
          <w:color w:val="auto"/>
          <w:szCs w:val="21"/>
          <w:highlight w:val="none"/>
          <w:u w:val="single"/>
        </w:rPr>
        <w:t>供应商</w:t>
      </w:r>
      <w:r>
        <w:rPr>
          <w:rFonts w:hint="eastAsia" w:ascii="宋体" w:hAnsi="宋体" w:cs="宋体"/>
          <w:color w:val="auto"/>
          <w:kern w:val="0"/>
          <w:szCs w:val="21"/>
          <w:highlight w:val="none"/>
          <w:u w:val="single"/>
        </w:rPr>
        <w:t>名称）</w:t>
      </w:r>
      <w:r>
        <w:rPr>
          <w:rFonts w:hint="eastAsia" w:ascii="宋体" w:hAnsi="宋体" w:cs="宋体"/>
          <w:color w:val="auto"/>
          <w:kern w:val="0"/>
          <w:szCs w:val="21"/>
          <w:highlight w:val="none"/>
        </w:rPr>
        <w:t>的法定代表人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宋体"/>
          <w:color w:val="auto"/>
          <w:kern w:val="0"/>
          <w:szCs w:val="21"/>
          <w:highlight w:val="none"/>
        </w:rPr>
        <w:t>，现授权</w:t>
      </w:r>
      <w:r>
        <w:rPr>
          <w:rFonts w:hint="eastAsia" w:ascii="宋体" w:hAnsi="宋体" w:cs="宋体"/>
          <w:color w:val="auto"/>
          <w:kern w:val="0"/>
          <w:szCs w:val="21"/>
          <w:highlight w:val="none"/>
          <w:u w:val="single"/>
        </w:rPr>
        <w:t>（姓名、职务）</w:t>
      </w:r>
      <w:r>
        <w:rPr>
          <w:rFonts w:hint="eastAsia" w:ascii="宋体" w:hAnsi="宋体" w:cs="宋体"/>
          <w:color w:val="auto"/>
          <w:kern w:val="0"/>
          <w:szCs w:val="21"/>
          <w:highlight w:val="none"/>
        </w:rPr>
        <w:t>为我方代理人。代理人根据授权，以我方名义：(1)签署、澄清、补正、修改、撤回、提交</w:t>
      </w:r>
      <w:r>
        <w:rPr>
          <w:rFonts w:hint="eastAsia" w:ascii="宋体" w:hAnsi="宋体" w:cs="宋体"/>
          <w:color w:val="auto"/>
          <w:kern w:val="0"/>
          <w:szCs w:val="21"/>
          <w:highlight w:val="none"/>
          <w:u w:val="single"/>
        </w:rPr>
        <w:t>（项目名称、</w:t>
      </w:r>
      <w:r>
        <w:rPr>
          <w:rFonts w:hint="eastAsia" w:ascii="宋体" w:hAnsi="宋体"/>
          <w:color w:val="auto"/>
          <w:szCs w:val="21"/>
          <w:highlight w:val="none"/>
          <w:u w:val="single"/>
        </w:rPr>
        <w:t>政府采购计划编号</w:t>
      </w:r>
      <w:r>
        <w:rPr>
          <w:rFonts w:hint="eastAsia" w:ascii="宋体" w:hAnsi="宋体" w:cs="宋体"/>
          <w:color w:val="auto"/>
          <w:kern w:val="0"/>
          <w:szCs w:val="21"/>
          <w:highlight w:val="none"/>
          <w:u w:val="single"/>
        </w:rPr>
        <w:t>、委托代理编号）</w:t>
      </w:r>
      <w:r>
        <w:rPr>
          <w:rFonts w:hint="eastAsia" w:ascii="宋体" w:hAnsi="宋体" w:cs="宋体"/>
          <w:color w:val="auto"/>
          <w:kern w:val="0"/>
          <w:szCs w:val="21"/>
          <w:highlight w:val="none"/>
        </w:rPr>
        <w:t>响应文件；(2)签署并重新提交响应文件及最后报价；(3)退出谈判（如可能）；(4)签订合同和处理有关事宜，其法律后果由我方承担。</w:t>
      </w:r>
    </w:p>
    <w:p w14:paraId="5A689FF5">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2246F0F3">
      <w:pPr>
        <w:adjustRightInd w:val="0"/>
        <w:snapToGrid w:val="0"/>
        <w:spacing w:before="156" w:beforeLines="50"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21D05FCF">
      <w:pPr>
        <w:adjustRightInd w:val="0"/>
        <w:snapToGrid w:val="0"/>
        <w:spacing w:before="156" w:beforeLines="50" w:line="360" w:lineRule="auto"/>
        <w:ind w:firstLine="435"/>
        <w:rPr>
          <w:rFonts w:ascii="宋体" w:hAnsi="宋体" w:cs="微软雅黑"/>
          <w:color w:val="auto"/>
          <w:kern w:val="0"/>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tbl>
      <w:tblPr>
        <w:tblStyle w:val="20"/>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9"/>
        <w:gridCol w:w="3960"/>
      </w:tblGrid>
      <w:tr w14:paraId="1EF0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3959" w:type="dxa"/>
            <w:vAlign w:val="center"/>
          </w:tcPr>
          <w:p w14:paraId="30C8F26F">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委托代理人身份证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960" w:type="dxa"/>
            <w:vAlign w:val="center"/>
          </w:tcPr>
          <w:p w14:paraId="5782C13E">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委托代理人身份证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r w14:paraId="4EE3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2" w:hRule="atLeast"/>
        </w:trPr>
        <w:tc>
          <w:tcPr>
            <w:tcW w:w="3959" w:type="dxa"/>
            <w:vAlign w:val="center"/>
          </w:tcPr>
          <w:p w14:paraId="7E38BBA8">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法定代表人身份证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960" w:type="dxa"/>
            <w:vAlign w:val="center"/>
          </w:tcPr>
          <w:p w14:paraId="14EC0B50">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法定代表人身份证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14:paraId="4DACD737">
      <w:pPr>
        <w:adjustRightInd w:val="0"/>
        <w:snapToGrid w:val="0"/>
        <w:spacing w:before="156" w:beforeLines="50" w:line="360" w:lineRule="auto"/>
        <w:rPr>
          <w:rFonts w:ascii="宋体" w:hAnsi="宋体"/>
          <w:color w:val="auto"/>
          <w:szCs w:val="21"/>
          <w:highlight w:val="none"/>
        </w:rPr>
      </w:pPr>
    </w:p>
    <w:p w14:paraId="6912BF4B">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注：供应商代表不是供应商的法定代表人（单位负责人）的提供。</w:t>
      </w:r>
    </w:p>
    <w:p w14:paraId="66CEC638">
      <w:pPr>
        <w:adjustRightInd w:val="0"/>
        <w:snapToGrid w:val="0"/>
        <w:spacing w:before="156" w:beforeLines="50" w:line="360" w:lineRule="auto"/>
        <w:rPr>
          <w:rFonts w:ascii="宋体" w:hAnsi="宋体"/>
          <w:color w:val="auto"/>
          <w:szCs w:val="21"/>
          <w:highlight w:val="none"/>
        </w:rPr>
      </w:pPr>
    </w:p>
    <w:p w14:paraId="79487648">
      <w:pPr>
        <w:adjustRightInd w:val="0"/>
        <w:snapToGrid w:val="0"/>
        <w:spacing w:before="156" w:beforeLines="50" w:line="360" w:lineRule="auto"/>
        <w:rPr>
          <w:rFonts w:ascii="宋体" w:hAnsi="宋体" w:cs="Courier New"/>
          <w:color w:val="auto"/>
          <w:szCs w:val="21"/>
          <w:highlight w:val="none"/>
        </w:rPr>
      </w:pPr>
      <w:r>
        <w:rPr>
          <w:rFonts w:hint="eastAsia" w:ascii="宋体" w:hAnsi="宋体" w:cs="Courier New"/>
          <w:color w:val="auto"/>
          <w:szCs w:val="21"/>
          <w:highlight w:val="none"/>
        </w:rPr>
        <w:t>供应商名称(盖单位公章)：</w:t>
      </w:r>
    </w:p>
    <w:p w14:paraId="6C9BB382">
      <w:pPr>
        <w:adjustRightInd w:val="0"/>
        <w:snapToGrid w:val="0"/>
        <w:spacing w:before="156" w:beforeLines="50" w:line="360" w:lineRule="auto"/>
        <w:rPr>
          <w:rFonts w:ascii="宋体" w:hAnsi="宋体" w:cs="微软雅黑"/>
          <w:color w:val="auto"/>
          <w:spacing w:val="-2"/>
          <w:kern w:val="0"/>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（签字或印章）：</w:t>
      </w:r>
    </w:p>
    <w:p w14:paraId="5D8687AB">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委托代理人（签字或印章）：</w:t>
      </w:r>
    </w:p>
    <w:p w14:paraId="23FA5093">
      <w:pPr>
        <w:adjustRightInd w:val="0"/>
        <w:snapToGrid w:val="0"/>
        <w:spacing w:before="156" w:beforeLines="50" w:line="360" w:lineRule="auto"/>
        <w:rPr>
          <w:rFonts w:ascii="宋体" w:hAnsi="宋体"/>
          <w:color w:val="auto"/>
          <w:highlight w:val="none"/>
        </w:rPr>
      </w:pPr>
      <w:r>
        <w:rPr>
          <w:rFonts w:hint="eastAsia" w:ascii="宋体" w:hAnsi="宋体"/>
          <w:color w:val="auto"/>
          <w:szCs w:val="21"/>
          <w:highlight w:val="none"/>
        </w:rPr>
        <w:t xml:space="preserve">日期：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日</w:t>
      </w:r>
      <w:r>
        <w:rPr>
          <w:rFonts w:ascii="宋体" w:hAnsi="宋体"/>
          <w:color w:val="auto"/>
          <w:highlight w:val="none"/>
        </w:rPr>
        <w:t xml:space="preserve"> </w:t>
      </w:r>
    </w:p>
    <w:p w14:paraId="4EF741B7">
      <w:pPr>
        <w:adjustRightInd w:val="0"/>
        <w:snapToGrid w:val="0"/>
        <w:spacing w:before="156" w:beforeLines="50" w:line="360" w:lineRule="auto"/>
        <w:rPr>
          <w:rFonts w:ascii="宋体" w:hAnsi="宋体"/>
          <w:color w:val="auto"/>
          <w:highlight w:val="none"/>
        </w:rPr>
      </w:pPr>
    </w:p>
    <w:p w14:paraId="717E2936">
      <w:pPr>
        <w:adjustRightInd w:val="0"/>
        <w:snapToGrid w:val="0"/>
        <w:spacing w:before="156" w:beforeLines="50" w:line="360" w:lineRule="auto"/>
        <w:rPr>
          <w:b/>
          <w:bCs/>
          <w:color w:val="auto"/>
          <w:spacing w:val="8"/>
          <w:sz w:val="20"/>
          <w:szCs w:val="20"/>
        </w:rPr>
      </w:pPr>
      <w:r>
        <w:rPr>
          <w:b/>
          <w:bCs/>
          <w:color w:val="auto"/>
          <w:spacing w:val="8"/>
          <w:sz w:val="20"/>
          <w:szCs w:val="20"/>
        </w:rPr>
        <w:t>须另单独备一份原件单独递交用于身份验证环节。</w:t>
      </w:r>
    </w:p>
    <w:p w14:paraId="4AC60AC1">
      <w:pPr>
        <w:rPr>
          <w:b/>
          <w:bCs/>
          <w:color w:val="auto"/>
          <w:spacing w:val="8"/>
          <w:sz w:val="20"/>
          <w:szCs w:val="20"/>
        </w:rPr>
      </w:pPr>
      <w:r>
        <w:rPr>
          <w:b/>
          <w:bCs/>
          <w:color w:val="auto"/>
          <w:spacing w:val="8"/>
          <w:sz w:val="20"/>
          <w:szCs w:val="20"/>
        </w:rPr>
        <w:br w:type="page"/>
      </w:r>
    </w:p>
    <w:p w14:paraId="0F5875D4">
      <w:pPr>
        <w:pStyle w:val="11"/>
        <w:spacing w:before="84" w:line="220" w:lineRule="auto"/>
        <w:ind w:left="2581"/>
        <w:outlineLvl w:val="2"/>
        <w:rPr>
          <w:color w:val="auto"/>
          <w:sz w:val="28"/>
          <w:szCs w:val="28"/>
        </w:rPr>
      </w:pPr>
      <w:r>
        <w:rPr>
          <w:b/>
          <w:bCs/>
          <w:color w:val="auto"/>
          <w:spacing w:val="-3"/>
          <w:sz w:val="28"/>
          <w:szCs w:val="28"/>
        </w:rPr>
        <w:t>法定代表人（单位负责人）身份证明</w:t>
      </w:r>
    </w:p>
    <w:p w14:paraId="162A5BC5">
      <w:pPr>
        <w:spacing w:line="300" w:lineRule="auto"/>
        <w:rPr>
          <w:rFonts w:ascii="Arial"/>
          <w:color w:val="auto"/>
          <w:sz w:val="21"/>
        </w:rPr>
      </w:pPr>
    </w:p>
    <w:p w14:paraId="7C9053A3">
      <w:pPr>
        <w:spacing w:line="300" w:lineRule="auto"/>
        <w:rPr>
          <w:rFonts w:ascii="Arial"/>
          <w:color w:val="auto"/>
          <w:sz w:val="21"/>
        </w:rPr>
      </w:pPr>
    </w:p>
    <w:p w14:paraId="756D2BDF">
      <w:pPr>
        <w:pStyle w:val="11"/>
        <w:spacing w:before="65" w:line="227" w:lineRule="auto"/>
        <w:ind w:left="107"/>
        <w:rPr>
          <w:rFonts w:hint="eastAsia" w:ascii="宋体" w:hAnsi="宋体" w:eastAsia="宋体" w:cs="宋体"/>
          <w:color w:val="auto"/>
          <w:sz w:val="21"/>
          <w:szCs w:val="21"/>
        </w:rPr>
      </w:pPr>
      <w:r>
        <w:rPr>
          <w:rFonts w:hint="eastAsia" w:ascii="宋体" w:hAnsi="宋体" w:eastAsia="宋体" w:cs="宋体"/>
          <w:color w:val="auto"/>
          <w:spacing w:val="7"/>
          <w:sz w:val="21"/>
          <w:szCs w:val="21"/>
        </w:rPr>
        <w:t>供应商名称：</w:t>
      </w:r>
      <w:r>
        <w:rPr>
          <w:rFonts w:hint="eastAsia" w:ascii="宋体" w:hAnsi="宋体" w:eastAsia="宋体" w:cs="宋体"/>
          <w:color w:val="auto"/>
          <w:sz w:val="21"/>
          <w:szCs w:val="21"/>
          <w:u w:val="single" w:color="auto"/>
        </w:rPr>
        <w:t xml:space="preserve">                  </w:t>
      </w:r>
    </w:p>
    <w:p w14:paraId="65783A51">
      <w:pPr>
        <w:spacing w:line="250" w:lineRule="auto"/>
        <w:rPr>
          <w:rFonts w:hint="eastAsia" w:ascii="宋体" w:hAnsi="宋体" w:eastAsia="宋体" w:cs="宋体"/>
          <w:color w:val="auto"/>
          <w:sz w:val="21"/>
          <w:szCs w:val="21"/>
        </w:rPr>
      </w:pPr>
    </w:p>
    <w:p w14:paraId="1D34FF5E">
      <w:pPr>
        <w:pStyle w:val="11"/>
        <w:spacing w:before="65" w:line="507" w:lineRule="auto"/>
        <w:ind w:left="107" w:right="5883" w:firstLine="5"/>
        <w:rPr>
          <w:rFonts w:hint="eastAsia" w:ascii="宋体" w:hAnsi="宋体" w:eastAsia="宋体" w:cs="宋体"/>
          <w:color w:val="auto"/>
          <w:sz w:val="21"/>
          <w:szCs w:val="21"/>
        </w:rPr>
      </w:pPr>
      <w:r>
        <w:rPr>
          <w:rFonts w:hint="eastAsia" w:ascii="宋体" w:hAnsi="宋体" w:eastAsia="宋体" w:cs="宋体"/>
          <w:color w:val="auto"/>
          <w:spacing w:val="6"/>
          <w:sz w:val="21"/>
          <w:szCs w:val="21"/>
        </w:rPr>
        <w:t>统一社会信用代码：</w:t>
      </w:r>
      <w:r>
        <w:rPr>
          <w:rFonts w:hint="eastAsia" w:ascii="宋体" w:hAnsi="宋体" w:eastAsia="宋体" w:cs="宋体"/>
          <w:color w:val="auto"/>
          <w:spacing w:val="6"/>
          <w:sz w:val="21"/>
          <w:szCs w:val="21"/>
          <w:u w:val="single" w:color="auto"/>
        </w:rPr>
        <w:t xml:space="preserve">                 </w:t>
      </w:r>
      <w:r>
        <w:rPr>
          <w:rFonts w:hint="eastAsia" w:ascii="宋体" w:hAnsi="宋体" w:eastAsia="宋体" w:cs="宋体"/>
          <w:color w:val="auto"/>
          <w:spacing w:val="4"/>
          <w:sz w:val="21"/>
          <w:szCs w:val="21"/>
        </w:rPr>
        <w:t xml:space="preserve"> </w:t>
      </w:r>
      <w:r>
        <w:rPr>
          <w:rFonts w:hint="eastAsia" w:ascii="宋体" w:hAnsi="宋体" w:eastAsia="宋体" w:cs="宋体"/>
          <w:color w:val="auto"/>
          <w:spacing w:val="8"/>
          <w:sz w:val="21"/>
          <w:szCs w:val="21"/>
        </w:rPr>
        <w:t>注册地址：</w:t>
      </w:r>
      <w:r>
        <w:rPr>
          <w:rFonts w:hint="eastAsia" w:ascii="宋体" w:hAnsi="宋体" w:eastAsia="宋体" w:cs="宋体"/>
          <w:color w:val="auto"/>
          <w:sz w:val="21"/>
          <w:szCs w:val="21"/>
          <w:u w:val="single" w:color="auto"/>
        </w:rPr>
        <w:t xml:space="preserve">                  </w:t>
      </w:r>
    </w:p>
    <w:p w14:paraId="65896F1F">
      <w:pPr>
        <w:pStyle w:val="11"/>
        <w:spacing w:before="30" w:line="362" w:lineRule="auto"/>
        <w:ind w:left="110" w:right="30" w:firstLine="419"/>
        <w:rPr>
          <w:rFonts w:hint="eastAsia" w:ascii="宋体" w:hAnsi="宋体" w:eastAsia="宋体" w:cs="宋体"/>
          <w:color w:val="auto"/>
          <w:sz w:val="21"/>
          <w:szCs w:val="21"/>
        </w:rPr>
      </w:pPr>
      <w:r>
        <w:rPr>
          <w:rFonts w:hint="eastAsia" w:ascii="宋体" w:hAnsi="宋体" w:eastAsia="宋体" w:cs="宋体"/>
          <w:color w:val="auto"/>
          <w:spacing w:val="6"/>
          <w:sz w:val="21"/>
          <w:szCs w:val="21"/>
        </w:rPr>
        <w:t>姓名：</w:t>
      </w:r>
      <w:r>
        <w:rPr>
          <w:rFonts w:hint="eastAsia" w:ascii="宋体" w:hAnsi="宋体" w:eastAsia="宋体" w:cs="宋体"/>
          <w:color w:val="auto"/>
          <w:spacing w:val="6"/>
          <w:sz w:val="21"/>
          <w:szCs w:val="21"/>
          <w:u w:val="single" w:color="auto"/>
        </w:rPr>
        <w:t xml:space="preserve">         </w:t>
      </w:r>
      <w:r>
        <w:rPr>
          <w:rFonts w:hint="eastAsia" w:ascii="宋体" w:hAnsi="宋体" w:eastAsia="宋体" w:cs="宋体"/>
          <w:color w:val="auto"/>
          <w:spacing w:val="-89"/>
          <w:sz w:val="21"/>
          <w:szCs w:val="21"/>
        </w:rPr>
        <w:t xml:space="preserve"> </w:t>
      </w:r>
      <w:r>
        <w:rPr>
          <w:rFonts w:hint="eastAsia" w:ascii="宋体" w:hAnsi="宋体" w:eastAsia="宋体" w:cs="宋体"/>
          <w:color w:val="auto"/>
          <w:spacing w:val="6"/>
          <w:sz w:val="21"/>
          <w:szCs w:val="21"/>
        </w:rPr>
        <w:t>性别：</w:t>
      </w:r>
      <w:r>
        <w:rPr>
          <w:rFonts w:hint="eastAsia" w:ascii="宋体" w:hAnsi="宋体" w:eastAsia="宋体" w:cs="宋体"/>
          <w:color w:val="auto"/>
          <w:spacing w:val="6"/>
          <w:sz w:val="21"/>
          <w:szCs w:val="21"/>
          <w:u w:val="single" w:color="auto"/>
        </w:rPr>
        <w:t xml:space="preserve">      </w:t>
      </w:r>
      <w:r>
        <w:rPr>
          <w:rFonts w:hint="eastAsia" w:ascii="宋体" w:hAnsi="宋体" w:eastAsia="宋体" w:cs="宋体"/>
          <w:color w:val="auto"/>
          <w:spacing w:val="5"/>
          <w:sz w:val="21"/>
          <w:szCs w:val="21"/>
          <w:u w:val="single" w:color="auto"/>
        </w:rPr>
        <w:t xml:space="preserve">   </w:t>
      </w:r>
      <w:r>
        <w:rPr>
          <w:rFonts w:hint="eastAsia" w:ascii="宋体" w:hAnsi="宋体" w:eastAsia="宋体" w:cs="宋体"/>
          <w:color w:val="auto"/>
          <w:spacing w:val="-91"/>
          <w:sz w:val="21"/>
          <w:szCs w:val="21"/>
        </w:rPr>
        <w:t xml:space="preserve"> </w:t>
      </w:r>
      <w:r>
        <w:rPr>
          <w:rFonts w:hint="eastAsia" w:ascii="宋体" w:hAnsi="宋体" w:eastAsia="宋体" w:cs="宋体"/>
          <w:color w:val="auto"/>
          <w:spacing w:val="5"/>
          <w:sz w:val="21"/>
          <w:szCs w:val="21"/>
        </w:rPr>
        <w:t>年龄：</w:t>
      </w:r>
      <w:r>
        <w:rPr>
          <w:rFonts w:hint="eastAsia" w:ascii="宋体" w:hAnsi="宋体" w:eastAsia="宋体" w:cs="宋体"/>
          <w:color w:val="auto"/>
          <w:spacing w:val="5"/>
          <w:sz w:val="21"/>
          <w:szCs w:val="21"/>
          <w:u w:val="single" w:color="auto"/>
        </w:rPr>
        <w:t xml:space="preserve">         </w:t>
      </w:r>
      <w:r>
        <w:rPr>
          <w:rFonts w:hint="eastAsia" w:ascii="宋体" w:hAnsi="宋体" w:eastAsia="宋体" w:cs="宋体"/>
          <w:color w:val="auto"/>
          <w:spacing w:val="-90"/>
          <w:sz w:val="21"/>
          <w:szCs w:val="21"/>
        </w:rPr>
        <w:t xml:space="preserve"> </w:t>
      </w:r>
      <w:r>
        <w:rPr>
          <w:rFonts w:hint="eastAsia" w:ascii="宋体" w:hAnsi="宋体" w:eastAsia="宋体" w:cs="宋体"/>
          <w:color w:val="auto"/>
          <w:spacing w:val="5"/>
          <w:sz w:val="21"/>
          <w:szCs w:val="21"/>
        </w:rPr>
        <w:t>职务：</w:t>
      </w:r>
      <w:r>
        <w:rPr>
          <w:rFonts w:hint="eastAsia" w:ascii="宋体" w:hAnsi="宋体" w:eastAsia="宋体" w:cs="宋体"/>
          <w:color w:val="auto"/>
          <w:spacing w:val="5"/>
          <w:sz w:val="21"/>
          <w:szCs w:val="21"/>
          <w:u w:val="single" w:color="auto"/>
        </w:rPr>
        <w:t xml:space="preserve">         </w:t>
      </w:r>
      <w:r>
        <w:rPr>
          <w:rFonts w:hint="eastAsia" w:ascii="宋体" w:hAnsi="宋体" w:eastAsia="宋体" w:cs="宋体"/>
          <w:color w:val="auto"/>
          <w:spacing w:val="-88"/>
          <w:sz w:val="21"/>
          <w:szCs w:val="21"/>
        </w:rPr>
        <w:t xml:space="preserve"> </w:t>
      </w:r>
      <w:r>
        <w:rPr>
          <w:rFonts w:hint="eastAsia" w:ascii="宋体" w:hAnsi="宋体" w:eastAsia="宋体" w:cs="宋体"/>
          <w:color w:val="auto"/>
          <w:spacing w:val="5"/>
          <w:sz w:val="21"/>
          <w:szCs w:val="21"/>
        </w:rPr>
        <w:t>系</w:t>
      </w:r>
      <w:r>
        <w:rPr>
          <w:rFonts w:hint="eastAsia" w:ascii="宋体" w:hAnsi="宋体" w:eastAsia="宋体" w:cs="宋体"/>
          <w:color w:val="auto"/>
          <w:spacing w:val="-98"/>
          <w:sz w:val="21"/>
          <w:szCs w:val="21"/>
        </w:rPr>
        <w:t xml:space="preserve"> </w:t>
      </w:r>
      <w:r>
        <w:rPr>
          <w:rFonts w:hint="eastAsia" w:ascii="宋体" w:hAnsi="宋体" w:eastAsia="宋体" w:cs="宋体"/>
          <w:color w:val="auto"/>
          <w:spacing w:val="5"/>
          <w:sz w:val="21"/>
          <w:szCs w:val="21"/>
          <w:u w:val="single" w:color="auto"/>
        </w:rPr>
        <w:t xml:space="preserve">         </w:t>
      </w:r>
      <w:r>
        <w:rPr>
          <w:rFonts w:hint="eastAsia" w:ascii="宋体" w:hAnsi="宋体" w:eastAsia="宋体" w:cs="宋体"/>
          <w:color w:val="auto"/>
          <w:spacing w:val="5"/>
          <w:sz w:val="21"/>
          <w:szCs w:val="21"/>
        </w:rPr>
        <w:t>（供应商名称）的</w:t>
      </w:r>
      <w:r>
        <w:rPr>
          <w:rFonts w:hint="eastAsia" w:ascii="宋体" w:hAnsi="宋体" w:eastAsia="宋体" w:cs="宋体"/>
          <w:color w:val="auto"/>
          <w:spacing w:val="1"/>
          <w:sz w:val="21"/>
          <w:szCs w:val="21"/>
        </w:rPr>
        <w:t xml:space="preserve"> </w:t>
      </w:r>
      <w:r>
        <w:rPr>
          <w:rFonts w:hint="eastAsia" w:ascii="宋体" w:hAnsi="宋体" w:eastAsia="宋体" w:cs="宋体"/>
          <w:color w:val="auto"/>
          <w:spacing w:val="-4"/>
          <w:sz w:val="21"/>
          <w:szCs w:val="21"/>
        </w:rPr>
        <w:t>法定代表人（单位负责人。）</w:t>
      </w:r>
    </w:p>
    <w:p w14:paraId="75EB1EE3">
      <w:pPr>
        <w:pStyle w:val="11"/>
        <w:spacing w:before="189" w:line="228" w:lineRule="auto"/>
        <w:ind w:left="527"/>
        <w:rPr>
          <w:rFonts w:hint="eastAsia" w:ascii="宋体" w:hAnsi="宋体" w:eastAsia="宋体" w:cs="宋体"/>
          <w:color w:val="auto"/>
          <w:sz w:val="21"/>
          <w:szCs w:val="21"/>
        </w:rPr>
      </w:pPr>
      <w:r>
        <w:rPr>
          <w:rFonts w:hint="eastAsia" w:ascii="宋体" w:hAnsi="宋体" w:eastAsia="宋体" w:cs="宋体"/>
          <w:color w:val="auto"/>
          <w:spacing w:val="5"/>
          <w:sz w:val="21"/>
          <w:szCs w:val="21"/>
        </w:rPr>
        <w:t>特此证明。</w:t>
      </w:r>
    </w:p>
    <w:p w14:paraId="6FA61B62">
      <w:pPr>
        <w:spacing w:line="250" w:lineRule="auto"/>
        <w:rPr>
          <w:rFonts w:hint="eastAsia" w:ascii="宋体" w:hAnsi="宋体" w:eastAsia="宋体" w:cs="宋体"/>
          <w:color w:val="auto"/>
          <w:sz w:val="21"/>
          <w:szCs w:val="21"/>
        </w:rPr>
      </w:pPr>
    </w:p>
    <w:p w14:paraId="48AFF16B">
      <w:pPr>
        <w:pStyle w:val="11"/>
        <w:spacing w:before="66" w:line="227" w:lineRule="auto"/>
        <w:ind w:left="124"/>
        <w:rPr>
          <w:rFonts w:hint="eastAsia" w:ascii="宋体" w:hAnsi="宋体" w:eastAsia="宋体" w:cs="宋体"/>
          <w:color w:val="auto"/>
          <w:sz w:val="21"/>
          <w:szCs w:val="21"/>
        </w:rPr>
      </w:pPr>
      <w:r>
        <w:rPr>
          <w:rFonts w:hint="eastAsia" w:ascii="宋体" w:hAnsi="宋体" w:eastAsia="宋体" w:cs="宋体"/>
          <w:color w:val="auto"/>
          <w:spacing w:val="6"/>
          <w:sz w:val="21"/>
          <w:szCs w:val="21"/>
        </w:rPr>
        <w:t>附：法定代表人（单位负责人）身份证复印件。</w:t>
      </w:r>
    </w:p>
    <w:p w14:paraId="174C9AF7">
      <w:pPr>
        <w:spacing w:line="131" w:lineRule="exact"/>
        <w:rPr>
          <w:rFonts w:hint="eastAsia" w:ascii="宋体" w:hAnsi="宋体" w:eastAsia="宋体" w:cs="宋体"/>
          <w:color w:val="auto"/>
          <w:sz w:val="21"/>
          <w:szCs w:val="21"/>
        </w:rPr>
      </w:pPr>
    </w:p>
    <w:tbl>
      <w:tblPr>
        <w:tblStyle w:val="42"/>
        <w:tblW w:w="7719" w:type="dxa"/>
        <w:tblInd w:w="5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59"/>
        <w:gridCol w:w="3860"/>
      </w:tblGrid>
      <w:tr w14:paraId="6A4A6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4" w:hRule="atLeast"/>
        </w:trPr>
        <w:tc>
          <w:tcPr>
            <w:tcW w:w="3859" w:type="dxa"/>
            <w:vAlign w:val="top"/>
          </w:tcPr>
          <w:p w14:paraId="5739D379">
            <w:pPr>
              <w:spacing w:line="272" w:lineRule="auto"/>
              <w:rPr>
                <w:rFonts w:hint="eastAsia" w:ascii="宋体" w:hAnsi="宋体" w:eastAsia="宋体" w:cs="宋体"/>
                <w:color w:val="auto"/>
                <w:sz w:val="21"/>
                <w:szCs w:val="21"/>
              </w:rPr>
            </w:pPr>
          </w:p>
          <w:p w14:paraId="0983722A">
            <w:pPr>
              <w:spacing w:line="273" w:lineRule="auto"/>
              <w:rPr>
                <w:rFonts w:hint="eastAsia" w:ascii="宋体" w:hAnsi="宋体" w:eastAsia="宋体" w:cs="宋体"/>
                <w:color w:val="auto"/>
                <w:sz w:val="21"/>
                <w:szCs w:val="21"/>
              </w:rPr>
            </w:pPr>
          </w:p>
          <w:p w14:paraId="50706524">
            <w:pPr>
              <w:spacing w:line="273" w:lineRule="auto"/>
              <w:rPr>
                <w:rFonts w:hint="eastAsia" w:ascii="宋体" w:hAnsi="宋体" w:eastAsia="宋体" w:cs="宋体"/>
                <w:color w:val="auto"/>
                <w:sz w:val="21"/>
                <w:szCs w:val="21"/>
              </w:rPr>
            </w:pPr>
          </w:p>
          <w:p w14:paraId="5EF01427">
            <w:pPr>
              <w:spacing w:line="273" w:lineRule="auto"/>
              <w:rPr>
                <w:rFonts w:hint="eastAsia" w:ascii="宋体" w:hAnsi="宋体" w:eastAsia="宋体" w:cs="宋体"/>
                <w:color w:val="auto"/>
                <w:sz w:val="21"/>
                <w:szCs w:val="21"/>
              </w:rPr>
            </w:pPr>
          </w:p>
          <w:p w14:paraId="155E09C4">
            <w:pPr>
              <w:pStyle w:val="41"/>
              <w:spacing w:before="65" w:line="228" w:lineRule="auto"/>
              <w:ind w:left="1082"/>
              <w:rPr>
                <w:rFonts w:hint="eastAsia" w:ascii="宋体" w:hAnsi="宋体" w:eastAsia="宋体" w:cs="宋体"/>
                <w:color w:val="auto"/>
                <w:sz w:val="21"/>
                <w:szCs w:val="21"/>
              </w:rPr>
            </w:pPr>
            <w:r>
              <w:rPr>
                <w:rFonts w:hint="eastAsia" w:ascii="宋体" w:hAnsi="宋体" w:eastAsia="宋体" w:cs="宋体"/>
                <w:color w:val="auto"/>
                <w:spacing w:val="8"/>
                <w:sz w:val="21"/>
                <w:szCs w:val="21"/>
              </w:rPr>
              <w:t>身份证（国徽面）复印件</w:t>
            </w:r>
          </w:p>
        </w:tc>
        <w:tc>
          <w:tcPr>
            <w:tcW w:w="3860" w:type="dxa"/>
            <w:vAlign w:val="top"/>
          </w:tcPr>
          <w:p w14:paraId="5E312BA0">
            <w:pPr>
              <w:spacing w:line="272" w:lineRule="auto"/>
              <w:rPr>
                <w:rFonts w:hint="eastAsia" w:ascii="宋体" w:hAnsi="宋体" w:eastAsia="宋体" w:cs="宋体"/>
                <w:color w:val="auto"/>
                <w:sz w:val="21"/>
                <w:szCs w:val="21"/>
              </w:rPr>
            </w:pPr>
          </w:p>
          <w:p w14:paraId="51E6903C">
            <w:pPr>
              <w:spacing w:line="273" w:lineRule="auto"/>
              <w:rPr>
                <w:rFonts w:hint="eastAsia" w:ascii="宋体" w:hAnsi="宋体" w:eastAsia="宋体" w:cs="宋体"/>
                <w:color w:val="auto"/>
                <w:sz w:val="21"/>
                <w:szCs w:val="21"/>
              </w:rPr>
            </w:pPr>
          </w:p>
          <w:p w14:paraId="509D40FD">
            <w:pPr>
              <w:spacing w:line="273" w:lineRule="auto"/>
              <w:rPr>
                <w:rFonts w:hint="eastAsia" w:ascii="宋体" w:hAnsi="宋体" w:eastAsia="宋体" w:cs="宋体"/>
                <w:color w:val="auto"/>
                <w:sz w:val="21"/>
                <w:szCs w:val="21"/>
              </w:rPr>
            </w:pPr>
          </w:p>
          <w:p w14:paraId="036152AC">
            <w:pPr>
              <w:spacing w:line="273" w:lineRule="auto"/>
              <w:rPr>
                <w:rFonts w:hint="eastAsia" w:ascii="宋体" w:hAnsi="宋体" w:eastAsia="宋体" w:cs="宋体"/>
                <w:color w:val="auto"/>
                <w:sz w:val="21"/>
                <w:szCs w:val="21"/>
              </w:rPr>
            </w:pPr>
          </w:p>
          <w:p w14:paraId="4E7958B1">
            <w:pPr>
              <w:pStyle w:val="41"/>
              <w:spacing w:before="65" w:line="228" w:lineRule="auto"/>
              <w:ind w:left="1081"/>
              <w:rPr>
                <w:rFonts w:hint="eastAsia" w:ascii="宋体" w:hAnsi="宋体" w:eastAsia="宋体" w:cs="宋体"/>
                <w:color w:val="auto"/>
                <w:sz w:val="21"/>
                <w:szCs w:val="21"/>
              </w:rPr>
            </w:pPr>
            <w:r>
              <w:rPr>
                <w:rFonts w:hint="eastAsia" w:ascii="宋体" w:hAnsi="宋体" w:eastAsia="宋体" w:cs="宋体"/>
                <w:color w:val="auto"/>
                <w:spacing w:val="8"/>
                <w:sz w:val="21"/>
                <w:szCs w:val="21"/>
              </w:rPr>
              <w:t>身份证（人像面）复印件</w:t>
            </w:r>
          </w:p>
        </w:tc>
      </w:tr>
    </w:tbl>
    <w:p w14:paraId="51B6D72C">
      <w:pPr>
        <w:adjustRightInd w:val="0"/>
        <w:snapToGrid w:val="0"/>
        <w:spacing w:before="156" w:beforeLines="50" w:line="360" w:lineRule="auto"/>
        <w:rPr>
          <w:rFonts w:hint="eastAsia" w:ascii="宋体" w:hAnsi="宋体" w:cs="Courier New"/>
          <w:color w:val="auto"/>
          <w:szCs w:val="21"/>
          <w:highlight w:val="none"/>
        </w:rPr>
      </w:pPr>
    </w:p>
    <w:p w14:paraId="7BF6FA25">
      <w:pPr>
        <w:adjustRightInd w:val="0"/>
        <w:snapToGrid w:val="0"/>
        <w:spacing w:before="156" w:beforeLines="50" w:line="360" w:lineRule="auto"/>
        <w:rPr>
          <w:rFonts w:ascii="宋体" w:hAnsi="宋体" w:cs="Courier New"/>
          <w:color w:val="auto"/>
          <w:szCs w:val="21"/>
          <w:highlight w:val="none"/>
        </w:rPr>
      </w:pPr>
      <w:r>
        <w:rPr>
          <w:rFonts w:hint="eastAsia" w:ascii="宋体" w:hAnsi="宋体" w:cs="Courier New"/>
          <w:color w:val="auto"/>
          <w:szCs w:val="21"/>
          <w:highlight w:val="none"/>
        </w:rPr>
        <w:t>供应商名称(盖单位公章)：</w:t>
      </w:r>
    </w:p>
    <w:p w14:paraId="7212782F">
      <w:pPr>
        <w:adjustRightInd w:val="0"/>
        <w:snapToGrid w:val="0"/>
        <w:spacing w:before="156" w:beforeLines="50" w:line="360" w:lineRule="auto"/>
        <w:rPr>
          <w:rFonts w:ascii="宋体" w:hAnsi="宋体" w:cs="微软雅黑"/>
          <w:color w:val="auto"/>
          <w:spacing w:val="-2"/>
          <w:kern w:val="0"/>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（签字或印章）：</w:t>
      </w:r>
    </w:p>
    <w:p w14:paraId="109FCD70">
      <w:pPr>
        <w:adjustRightInd w:val="0"/>
        <w:snapToGrid w:val="0"/>
        <w:spacing w:before="156" w:beforeLines="50" w:line="360" w:lineRule="auto"/>
        <w:rPr>
          <w:rFonts w:ascii="宋体" w:hAnsi="宋体"/>
          <w:color w:val="auto"/>
          <w:highlight w:val="none"/>
        </w:rPr>
      </w:pPr>
      <w:r>
        <w:rPr>
          <w:rFonts w:hint="eastAsia" w:ascii="宋体" w:hAnsi="宋体"/>
          <w:color w:val="auto"/>
          <w:szCs w:val="21"/>
          <w:highlight w:val="none"/>
        </w:rPr>
        <w:t xml:space="preserve">日期：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日</w:t>
      </w:r>
      <w:r>
        <w:rPr>
          <w:rFonts w:ascii="宋体" w:hAnsi="宋体"/>
          <w:color w:val="auto"/>
          <w:highlight w:val="none"/>
        </w:rPr>
        <w:t xml:space="preserve"> </w:t>
      </w:r>
    </w:p>
    <w:p w14:paraId="1ED65B22">
      <w:pPr>
        <w:adjustRightInd w:val="0"/>
        <w:snapToGrid w:val="0"/>
        <w:spacing w:before="156" w:beforeLines="50" w:line="360" w:lineRule="auto"/>
        <w:rPr>
          <w:rFonts w:ascii="宋体" w:hAnsi="宋体"/>
          <w:color w:val="auto"/>
          <w:highlight w:val="none"/>
        </w:rPr>
      </w:pPr>
    </w:p>
    <w:p w14:paraId="29581E0D">
      <w:pPr>
        <w:adjustRightInd w:val="0"/>
        <w:snapToGrid w:val="0"/>
        <w:spacing w:before="156" w:beforeLines="50" w:line="360" w:lineRule="auto"/>
        <w:rPr>
          <w:b/>
          <w:bCs/>
          <w:color w:val="auto"/>
          <w:spacing w:val="8"/>
          <w:sz w:val="20"/>
          <w:szCs w:val="20"/>
        </w:rPr>
      </w:pPr>
      <w:r>
        <w:rPr>
          <w:b/>
          <w:bCs/>
          <w:color w:val="auto"/>
          <w:spacing w:val="8"/>
          <w:sz w:val="20"/>
          <w:szCs w:val="20"/>
        </w:rPr>
        <w:t>须另单独备一份原件单独递交用于身份验证环节。</w:t>
      </w:r>
    </w:p>
    <w:p w14:paraId="7152D7FC">
      <w:pPr>
        <w:adjustRightInd w:val="0"/>
        <w:snapToGrid w:val="0"/>
        <w:spacing w:before="156" w:beforeLines="50" w:line="360" w:lineRule="auto"/>
        <w:rPr>
          <w:b/>
          <w:bCs/>
          <w:color w:val="auto"/>
          <w:spacing w:val="8"/>
          <w:sz w:val="20"/>
          <w:szCs w:val="20"/>
        </w:rPr>
        <w:sectPr>
          <w:pgSz w:w="11906" w:h="16838"/>
          <w:pgMar w:top="1418" w:right="1418" w:bottom="1134" w:left="1418" w:header="851" w:footer="992" w:gutter="0"/>
          <w:pgNumType w:fmt="decimal"/>
          <w:cols w:space="720" w:num="1"/>
          <w:docGrid w:type="linesAndChars" w:linePitch="312" w:charSpace="0"/>
        </w:sectPr>
      </w:pPr>
    </w:p>
    <w:p w14:paraId="5A33EB8D">
      <w:pPr>
        <w:keepNext/>
        <w:keepLines/>
        <w:adjustRightInd w:val="0"/>
        <w:snapToGrid w:val="0"/>
        <w:spacing w:before="156" w:beforeLines="50" w:line="360" w:lineRule="auto"/>
        <w:jc w:val="center"/>
        <w:outlineLvl w:val="1"/>
        <w:rPr>
          <w:rFonts w:ascii="黑体" w:hAnsi="黑体" w:eastAsia="黑体"/>
          <w:b/>
          <w:bCs/>
          <w:color w:val="auto"/>
          <w:sz w:val="28"/>
          <w:szCs w:val="28"/>
          <w:highlight w:val="none"/>
        </w:rPr>
      </w:pPr>
      <w:bookmarkStart w:id="153" w:name="_Toc14438"/>
      <w:bookmarkStart w:id="154" w:name="_Toc107998036"/>
      <w:bookmarkStart w:id="155" w:name="_Toc22201157"/>
      <w:r>
        <w:rPr>
          <w:rFonts w:hint="eastAsia" w:ascii="黑体" w:hAnsi="黑体" w:eastAsia="黑体"/>
          <w:b/>
          <w:bCs/>
          <w:color w:val="auto"/>
          <w:sz w:val="28"/>
          <w:szCs w:val="28"/>
          <w:highlight w:val="none"/>
        </w:rPr>
        <w:t>五、供应商资格审查材料</w:t>
      </w:r>
      <w:bookmarkEnd w:id="153"/>
      <w:bookmarkEnd w:id="154"/>
    </w:p>
    <w:p w14:paraId="48A956FE">
      <w:pPr>
        <w:keepNext/>
        <w:keepLines/>
        <w:adjustRightInd w:val="0"/>
        <w:snapToGrid w:val="0"/>
        <w:spacing w:before="156" w:beforeLines="50" w:line="360" w:lineRule="auto"/>
        <w:outlineLvl w:val="2"/>
        <w:rPr>
          <w:rFonts w:ascii="宋体" w:hAnsi="宋体" w:eastAsia="宋体"/>
          <w:b/>
          <w:bCs/>
          <w:color w:val="auto"/>
          <w:szCs w:val="21"/>
          <w:highlight w:val="none"/>
        </w:rPr>
      </w:pPr>
      <w:bookmarkStart w:id="156" w:name="_Toc32547"/>
      <w:bookmarkStart w:id="157" w:name="_Toc107998044"/>
      <w:bookmarkStart w:id="158" w:name="_Toc62225545"/>
      <w:r>
        <w:rPr>
          <w:rFonts w:hint="eastAsia" w:ascii="宋体" w:hAnsi="宋体" w:eastAsia="宋体"/>
          <w:b/>
          <w:bCs/>
          <w:color w:val="auto"/>
          <w:szCs w:val="21"/>
          <w:highlight w:val="none"/>
        </w:rPr>
        <w:t>附件</w:t>
      </w:r>
      <w:r>
        <w:rPr>
          <w:rFonts w:ascii="宋体" w:hAnsi="宋体" w:eastAsia="宋体"/>
          <w:b/>
          <w:bCs/>
          <w:color w:val="auto"/>
          <w:szCs w:val="21"/>
          <w:highlight w:val="none"/>
        </w:rPr>
        <w:t>5</w:t>
      </w:r>
      <w:r>
        <w:rPr>
          <w:rFonts w:hint="eastAsia" w:ascii="宋体" w:hAnsi="宋体" w:eastAsia="宋体"/>
          <w:b/>
          <w:bCs/>
          <w:color w:val="auto"/>
          <w:szCs w:val="21"/>
          <w:highlight w:val="none"/>
        </w:rPr>
        <w:t>-</w:t>
      </w:r>
      <w:r>
        <w:rPr>
          <w:rFonts w:ascii="宋体" w:hAnsi="宋体" w:eastAsia="宋体"/>
          <w:b/>
          <w:bCs/>
          <w:color w:val="auto"/>
          <w:szCs w:val="21"/>
          <w:highlight w:val="none"/>
        </w:rPr>
        <w:t>1</w:t>
      </w:r>
      <w:r>
        <w:rPr>
          <w:rFonts w:hint="eastAsia" w:ascii="宋体" w:hAnsi="宋体" w:eastAsia="宋体"/>
          <w:b/>
          <w:bCs/>
          <w:color w:val="auto"/>
          <w:szCs w:val="21"/>
          <w:highlight w:val="none"/>
        </w:rPr>
        <w:t xml:space="preserve"> 资格更新证明材料</w:t>
      </w:r>
      <w:bookmarkEnd w:id="156"/>
      <w:bookmarkEnd w:id="157"/>
      <w:bookmarkEnd w:id="158"/>
    </w:p>
    <w:p w14:paraId="622BD989">
      <w:pPr>
        <w:adjustRightInd w:val="0"/>
        <w:snapToGrid w:val="0"/>
        <w:spacing w:before="156" w:beforeLines="50" w:line="360" w:lineRule="auto"/>
        <w:jc w:val="center"/>
        <w:rPr>
          <w:rFonts w:ascii="仿宋_GB2312" w:hAnsi="宋体" w:eastAsia="仿宋_GB2312"/>
          <w:b/>
          <w:color w:val="auto"/>
          <w:sz w:val="28"/>
          <w:szCs w:val="28"/>
          <w:highlight w:val="none"/>
        </w:rPr>
      </w:pPr>
      <w:r>
        <w:rPr>
          <w:rFonts w:hint="eastAsia" w:ascii="黑体" w:hAnsi="宋体" w:eastAsia="黑体"/>
          <w:b/>
          <w:color w:val="auto"/>
          <w:sz w:val="28"/>
          <w:szCs w:val="28"/>
          <w:highlight w:val="none"/>
        </w:rPr>
        <w:t>供应商的资格更新证明材料</w:t>
      </w:r>
    </w:p>
    <w:p w14:paraId="77135D14">
      <w:pPr>
        <w:adjustRightInd w:val="0"/>
        <w:snapToGrid w:val="0"/>
        <w:spacing w:before="156" w:beforeLines="50" w:line="360" w:lineRule="auto"/>
        <w:rPr>
          <w:rFonts w:ascii="宋体" w:hAnsi="宋体"/>
          <w:color w:val="auto"/>
          <w:szCs w:val="21"/>
          <w:highlight w:val="none"/>
        </w:rPr>
      </w:pPr>
      <w:r>
        <w:rPr>
          <w:rFonts w:hint="eastAsia" w:ascii="宋体" w:hAnsi="宋体" w:eastAsia="宋体"/>
          <w:b w:val="0"/>
          <w:bCs/>
          <w:color w:val="auto"/>
          <w:szCs w:val="21"/>
          <w:highlight w:val="none"/>
        </w:rPr>
        <w:t>注</w:t>
      </w:r>
      <w:r>
        <w:rPr>
          <w:rFonts w:hint="eastAsia" w:ascii="宋体" w:hAnsi="宋体"/>
          <w:b w:val="0"/>
          <w:bCs/>
          <w:color w:val="auto"/>
          <w:highlight w:val="none"/>
        </w:rPr>
        <w:t>：</w:t>
      </w:r>
      <w:r>
        <w:rPr>
          <w:rFonts w:hint="eastAsia" w:ascii="宋体" w:hAnsi="宋体" w:cs="宋体"/>
          <w:b w:val="0"/>
          <w:bCs/>
          <w:color w:val="auto"/>
          <w:kern w:val="0"/>
          <w:szCs w:val="21"/>
          <w:highlight w:val="none"/>
          <w:lang w:val="zh-CN"/>
        </w:rPr>
        <w:t>根据</w:t>
      </w:r>
      <w:r>
        <w:rPr>
          <w:rFonts w:hint="eastAsia" w:ascii="宋体" w:hAnsi="宋体" w:cs="宋体"/>
          <w:color w:val="auto"/>
          <w:kern w:val="0"/>
          <w:szCs w:val="21"/>
          <w:highlight w:val="none"/>
          <w:lang w:val="zh-CN"/>
        </w:rPr>
        <w:t>谈判文件第二章第10.1款规定，被邀请的</w:t>
      </w:r>
      <w:r>
        <w:rPr>
          <w:rFonts w:hint="eastAsia" w:ascii="宋体" w:hAnsi="宋体"/>
          <w:color w:val="auto"/>
          <w:szCs w:val="21"/>
          <w:highlight w:val="none"/>
        </w:rPr>
        <w:t>供应商在提交资格证明材料</w:t>
      </w:r>
      <w:r>
        <w:rPr>
          <w:rFonts w:hint="eastAsia" w:ascii="宋体" w:hAnsi="宋体"/>
          <w:bCs/>
          <w:color w:val="auto"/>
          <w:szCs w:val="21"/>
          <w:highlight w:val="none"/>
        </w:rPr>
        <w:t>起</w:t>
      </w:r>
      <w:r>
        <w:rPr>
          <w:rFonts w:hint="eastAsia" w:ascii="宋体" w:hAnsi="宋体"/>
          <w:color w:val="auto"/>
          <w:szCs w:val="21"/>
          <w:highlight w:val="none"/>
        </w:rPr>
        <w:t>至</w:t>
      </w:r>
      <w:r>
        <w:rPr>
          <w:rFonts w:hint="eastAsia" w:ascii="宋体" w:hAnsi="宋体" w:cs="宋体"/>
          <w:color w:val="auto"/>
          <w:kern w:val="0"/>
          <w:szCs w:val="21"/>
          <w:highlight w:val="none"/>
        </w:rPr>
        <w:t>提交首次响应文件</w:t>
      </w:r>
      <w:r>
        <w:rPr>
          <w:rFonts w:hint="eastAsia" w:ascii="宋体" w:hAnsi="宋体"/>
          <w:color w:val="auto"/>
          <w:szCs w:val="21"/>
          <w:highlight w:val="none"/>
        </w:rPr>
        <w:t>止，其资格条件发生变化，影响或者可能影响资格条件的，应随本响应文件提供更新或者补充的资格证明材料。</w:t>
      </w:r>
    </w:p>
    <w:p w14:paraId="369A6B32">
      <w:pPr>
        <w:adjustRightInd w:val="0"/>
        <w:snapToGrid w:val="0"/>
        <w:spacing w:before="156" w:beforeLines="50" w:line="360" w:lineRule="auto"/>
        <w:rPr>
          <w:rFonts w:ascii="宋体" w:hAnsi="宋体"/>
          <w:color w:val="auto"/>
          <w:szCs w:val="21"/>
          <w:highlight w:val="none"/>
        </w:rPr>
        <w:sectPr>
          <w:footerReference r:id="rId8" w:type="even"/>
          <w:pgSz w:w="11906" w:h="16838"/>
          <w:pgMar w:top="1418" w:right="1418" w:bottom="1134" w:left="1418" w:header="851" w:footer="992" w:gutter="0"/>
          <w:pgNumType w:fmt="decimal"/>
          <w:cols w:space="720" w:num="1"/>
          <w:docGrid w:type="linesAndChars" w:linePitch="312" w:charSpace="0"/>
        </w:sectPr>
      </w:pPr>
    </w:p>
    <w:p w14:paraId="5BE6B614">
      <w:pPr>
        <w:keepNext/>
        <w:keepLines/>
        <w:spacing w:line="360" w:lineRule="auto"/>
        <w:jc w:val="center"/>
        <w:outlineLvl w:val="1"/>
        <w:rPr>
          <w:rFonts w:ascii="黑体" w:hAnsi="黑体" w:eastAsia="黑体"/>
          <w:b/>
          <w:bCs/>
          <w:color w:val="auto"/>
          <w:sz w:val="28"/>
          <w:szCs w:val="28"/>
          <w:highlight w:val="none"/>
        </w:rPr>
      </w:pPr>
      <w:bookmarkStart w:id="159" w:name="_Toc107998045"/>
      <w:bookmarkStart w:id="160" w:name="_Toc20754"/>
      <w:r>
        <w:rPr>
          <w:rFonts w:hint="eastAsia" w:ascii="黑体" w:hAnsi="黑体" w:eastAsia="黑体"/>
          <w:b/>
          <w:bCs/>
          <w:color w:val="auto"/>
          <w:sz w:val="28"/>
          <w:szCs w:val="28"/>
          <w:highlight w:val="none"/>
        </w:rPr>
        <w:t>六、采购需求的响应</w:t>
      </w:r>
      <w:bookmarkEnd w:id="155"/>
      <w:bookmarkEnd w:id="159"/>
      <w:bookmarkEnd w:id="160"/>
    </w:p>
    <w:p w14:paraId="24A6DEF3">
      <w:pPr>
        <w:adjustRightInd w:val="0"/>
        <w:snapToGrid w:val="0"/>
        <w:spacing w:line="360" w:lineRule="auto"/>
        <w:rPr>
          <w:rFonts w:ascii="宋体" w:hAnsi="宋体"/>
          <w:b/>
          <w:color w:val="auto"/>
          <w:szCs w:val="21"/>
          <w:highlight w:val="none"/>
        </w:rPr>
      </w:pPr>
    </w:p>
    <w:p w14:paraId="64DC5232">
      <w:pPr>
        <w:adjustRightInd w:val="0"/>
        <w:snapToGrid w:val="0"/>
        <w:spacing w:line="360" w:lineRule="auto"/>
        <w:rPr>
          <w:b/>
          <w:color w:val="auto"/>
          <w:highlight w:val="none"/>
        </w:rPr>
      </w:pPr>
      <w:r>
        <w:rPr>
          <w:rFonts w:hint="eastAsia" w:ascii="宋体" w:hAnsi="宋体"/>
          <w:b/>
          <w:color w:val="auto"/>
          <w:szCs w:val="21"/>
          <w:highlight w:val="none"/>
        </w:rPr>
        <w:t>编制说明</w:t>
      </w:r>
      <w:r>
        <w:rPr>
          <w:rFonts w:hint="eastAsia" w:ascii="宋体" w:hAnsi="宋体"/>
          <w:bCs/>
          <w:color w:val="auto"/>
          <w:szCs w:val="21"/>
          <w:highlight w:val="none"/>
        </w:rPr>
        <w:t>：</w:t>
      </w:r>
      <w:r>
        <w:rPr>
          <w:rFonts w:hint="eastAsia"/>
          <w:b/>
          <w:color w:val="auto"/>
          <w:highlight w:val="none"/>
        </w:rPr>
        <w:t>供应商应按谈判文件第三章采购需求自行编写采购需求响应文件（格式自拟）。</w:t>
      </w:r>
    </w:p>
    <w:p w14:paraId="11652F87">
      <w:pPr>
        <w:rPr>
          <w:color w:val="auto"/>
          <w:highlight w:val="none"/>
        </w:rPr>
      </w:pPr>
    </w:p>
    <w:p w14:paraId="4BBF7DAD">
      <w:pPr>
        <w:tabs>
          <w:tab w:val="left" w:pos="6208"/>
        </w:tabs>
        <w:adjustRightInd w:val="0"/>
        <w:snapToGrid w:val="0"/>
        <w:spacing w:line="360" w:lineRule="auto"/>
        <w:ind w:left="-88" w:leftChars="-42"/>
        <w:rPr>
          <w:rFonts w:ascii="宋体" w:hAnsi="宋体"/>
          <w:bCs/>
          <w:color w:val="auto"/>
          <w:szCs w:val="21"/>
          <w:highlight w:val="none"/>
        </w:rPr>
      </w:pPr>
    </w:p>
    <w:p w14:paraId="5D5D9DC1">
      <w:pPr>
        <w:pStyle w:val="29"/>
        <w:rPr>
          <w:rFonts w:ascii="宋体" w:hAnsi="宋体"/>
          <w:bCs/>
          <w:color w:val="auto"/>
          <w:szCs w:val="21"/>
          <w:highlight w:val="none"/>
        </w:rPr>
      </w:pPr>
    </w:p>
    <w:p w14:paraId="79EEE2D6">
      <w:pPr>
        <w:pStyle w:val="29"/>
        <w:rPr>
          <w:rFonts w:ascii="宋体" w:hAnsi="宋体"/>
          <w:bCs/>
          <w:color w:val="auto"/>
          <w:szCs w:val="21"/>
          <w:highlight w:val="none"/>
        </w:rPr>
      </w:pPr>
    </w:p>
    <w:p w14:paraId="70D6CDF1">
      <w:pPr>
        <w:adjustRightInd w:val="0"/>
        <w:snapToGrid w:val="0"/>
        <w:spacing w:line="360" w:lineRule="auto"/>
        <w:rPr>
          <w:rFonts w:ascii="宋体" w:hAnsi="宋体"/>
          <w:color w:val="auto"/>
          <w:szCs w:val="21"/>
          <w:highlight w:val="none"/>
        </w:rPr>
      </w:pPr>
    </w:p>
    <w:p w14:paraId="065E570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42D59D00">
      <w:pPr>
        <w:adjustRightInd w:val="0"/>
        <w:snapToGrid w:val="0"/>
        <w:spacing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5D1E595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1AE7121">
      <w:pPr>
        <w:rPr>
          <w:color w:val="auto"/>
          <w:highlight w:val="none"/>
        </w:rPr>
      </w:pPr>
    </w:p>
    <w:p w14:paraId="5E543DE3">
      <w:pPr>
        <w:rPr>
          <w:color w:val="auto"/>
          <w:highlight w:val="none"/>
        </w:rPr>
      </w:pPr>
    </w:p>
    <w:p w14:paraId="3B04B527">
      <w:pPr>
        <w:adjustRightInd w:val="0"/>
        <w:snapToGrid w:val="0"/>
        <w:spacing w:line="360" w:lineRule="auto"/>
        <w:rPr>
          <w:rFonts w:ascii="宋体" w:hAnsi="宋体"/>
          <w:color w:val="auto"/>
          <w:szCs w:val="21"/>
          <w:highlight w:val="none"/>
        </w:rPr>
      </w:pPr>
    </w:p>
    <w:p w14:paraId="60EFE0FF">
      <w:pPr>
        <w:adjustRightInd w:val="0"/>
        <w:snapToGrid w:val="0"/>
        <w:spacing w:line="360" w:lineRule="auto"/>
        <w:rPr>
          <w:rFonts w:ascii="宋体" w:hAnsi="宋体"/>
          <w:color w:val="auto"/>
          <w:szCs w:val="21"/>
          <w:highlight w:val="none"/>
        </w:rPr>
      </w:pPr>
    </w:p>
    <w:p w14:paraId="3D4A857D">
      <w:pPr>
        <w:adjustRightInd w:val="0"/>
        <w:snapToGrid w:val="0"/>
        <w:spacing w:line="360" w:lineRule="auto"/>
        <w:rPr>
          <w:rFonts w:ascii="黑体" w:hAnsi="宋体" w:eastAsia="黑体"/>
          <w:color w:val="auto"/>
          <w:sz w:val="28"/>
          <w:szCs w:val="28"/>
          <w:highlight w:val="none"/>
        </w:rPr>
        <w:sectPr>
          <w:pgSz w:w="11906" w:h="16838"/>
          <w:pgMar w:top="1418" w:right="1418" w:bottom="1134" w:left="1418" w:header="851" w:footer="992" w:gutter="0"/>
          <w:pgNumType w:fmt="decimal"/>
          <w:cols w:space="720" w:num="1"/>
          <w:docGrid w:type="linesAndChars" w:linePitch="312" w:charSpace="0"/>
        </w:sectPr>
      </w:pPr>
    </w:p>
    <w:p w14:paraId="2EF1F6B4">
      <w:pPr>
        <w:keepNext/>
        <w:keepLines/>
        <w:spacing w:line="360" w:lineRule="auto"/>
        <w:jc w:val="center"/>
        <w:outlineLvl w:val="1"/>
        <w:rPr>
          <w:rFonts w:ascii="黑体" w:hAnsi="黑体" w:eastAsia="黑体"/>
          <w:b/>
          <w:bCs/>
          <w:color w:val="auto"/>
          <w:sz w:val="28"/>
          <w:szCs w:val="28"/>
          <w:highlight w:val="none"/>
        </w:rPr>
      </w:pPr>
      <w:bookmarkStart w:id="161" w:name="_Toc107998047"/>
      <w:bookmarkStart w:id="162" w:name="_Toc30078"/>
      <w:bookmarkStart w:id="163" w:name="_Toc22201159"/>
      <w:r>
        <w:rPr>
          <w:rFonts w:hint="eastAsia" w:ascii="黑体" w:hAnsi="黑体" w:eastAsia="黑体"/>
          <w:b/>
          <w:bCs/>
          <w:color w:val="auto"/>
          <w:sz w:val="28"/>
          <w:szCs w:val="28"/>
          <w:highlight w:val="none"/>
        </w:rPr>
        <w:t>七、合同条款偏离表</w:t>
      </w:r>
      <w:bookmarkEnd w:id="161"/>
      <w:bookmarkEnd w:id="162"/>
      <w:bookmarkEnd w:id="163"/>
    </w:p>
    <w:p w14:paraId="614ABB1D">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700D7CCA">
      <w:pPr>
        <w:adjustRightInd w:val="0"/>
        <w:snapToGrid w:val="0"/>
        <w:spacing w:before="50" w:line="360" w:lineRule="auto"/>
        <w:rPr>
          <w:rFonts w:ascii="宋体" w:hAnsi="宋体"/>
          <w:color w:val="auto"/>
          <w:szCs w:val="21"/>
          <w:highlight w:val="none"/>
          <w:u w:val="singl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20"/>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05632F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2EE57CB9">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3354582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vAlign w:val="center"/>
          </w:tcPr>
          <w:p w14:paraId="2B282B75">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w:t>
            </w:r>
            <w:r>
              <w:rPr>
                <w:rFonts w:hint="eastAsia"/>
                <w:color w:val="auto"/>
                <w:highlight w:val="none"/>
              </w:rPr>
              <w:t>文件要求</w:t>
            </w:r>
          </w:p>
        </w:tc>
        <w:tc>
          <w:tcPr>
            <w:tcW w:w="2082" w:type="dxa"/>
            <w:tcBorders>
              <w:right w:val="single" w:color="auto" w:sz="4" w:space="0"/>
            </w:tcBorders>
            <w:vAlign w:val="center"/>
          </w:tcPr>
          <w:p w14:paraId="1531C3E7">
            <w:pPr>
              <w:adjustRightInd w:val="0"/>
              <w:snapToGrid w:val="0"/>
              <w:spacing w:before="50" w:line="360" w:lineRule="auto"/>
              <w:jc w:val="center"/>
              <w:rPr>
                <w:rFonts w:ascii="宋体" w:hAnsi="宋体"/>
                <w:color w:val="auto"/>
                <w:szCs w:val="21"/>
                <w:highlight w:val="none"/>
              </w:rPr>
            </w:pPr>
            <w:r>
              <w:rPr>
                <w:rFonts w:hint="eastAsia"/>
                <w:color w:val="auto"/>
                <w:highlight w:val="none"/>
              </w:rPr>
              <w:t>响应文件的应答</w:t>
            </w:r>
          </w:p>
        </w:tc>
        <w:tc>
          <w:tcPr>
            <w:tcW w:w="1942" w:type="dxa"/>
            <w:tcBorders>
              <w:left w:val="single" w:color="auto" w:sz="4" w:space="0"/>
            </w:tcBorders>
            <w:vAlign w:val="center"/>
          </w:tcPr>
          <w:p w14:paraId="4DA3D3EE">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1D4077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567CAA3">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DD82A17">
            <w:pPr>
              <w:adjustRightInd w:val="0"/>
              <w:snapToGrid w:val="0"/>
              <w:spacing w:before="50" w:line="360" w:lineRule="auto"/>
              <w:ind w:left="-88" w:leftChars="-42"/>
              <w:jc w:val="center"/>
              <w:rPr>
                <w:rFonts w:ascii="宋体" w:hAnsi="宋体"/>
                <w:color w:val="auto"/>
                <w:szCs w:val="21"/>
                <w:highlight w:val="none"/>
              </w:rPr>
            </w:pPr>
          </w:p>
        </w:tc>
        <w:tc>
          <w:tcPr>
            <w:tcW w:w="1985" w:type="dxa"/>
            <w:vAlign w:val="top"/>
          </w:tcPr>
          <w:p w14:paraId="741D8A1E">
            <w:pPr>
              <w:adjustRightInd w:val="0"/>
              <w:snapToGrid w:val="0"/>
              <w:spacing w:before="50" w:line="360" w:lineRule="auto"/>
              <w:rPr>
                <w:color w:val="auto"/>
                <w:highlight w:val="none"/>
              </w:rPr>
            </w:pPr>
          </w:p>
        </w:tc>
        <w:tc>
          <w:tcPr>
            <w:tcW w:w="2082" w:type="dxa"/>
            <w:tcBorders>
              <w:right w:val="single" w:color="auto" w:sz="4" w:space="0"/>
            </w:tcBorders>
            <w:vAlign w:val="top"/>
          </w:tcPr>
          <w:p w14:paraId="0D5F4105">
            <w:pPr>
              <w:adjustRightInd w:val="0"/>
              <w:snapToGrid w:val="0"/>
              <w:spacing w:before="50" w:line="360" w:lineRule="auto"/>
              <w:rPr>
                <w:color w:val="auto"/>
                <w:highlight w:val="none"/>
              </w:rPr>
            </w:pPr>
          </w:p>
        </w:tc>
        <w:tc>
          <w:tcPr>
            <w:tcW w:w="1942" w:type="dxa"/>
            <w:tcBorders>
              <w:left w:val="single" w:color="auto" w:sz="4" w:space="0"/>
            </w:tcBorders>
            <w:vAlign w:val="top"/>
          </w:tcPr>
          <w:p w14:paraId="2819C698">
            <w:pPr>
              <w:adjustRightInd w:val="0"/>
              <w:snapToGrid w:val="0"/>
              <w:spacing w:before="50" w:line="360" w:lineRule="auto"/>
              <w:ind w:left="-88" w:leftChars="-42"/>
              <w:jc w:val="center"/>
              <w:rPr>
                <w:rFonts w:ascii="宋体" w:hAnsi="宋体"/>
                <w:color w:val="auto"/>
                <w:szCs w:val="21"/>
                <w:highlight w:val="none"/>
              </w:rPr>
            </w:pPr>
          </w:p>
        </w:tc>
      </w:tr>
      <w:tr w14:paraId="43BB5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5CF6D19">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4F4DA03C">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76CA0C38">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09B19779">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780505FB">
            <w:pPr>
              <w:adjustRightInd w:val="0"/>
              <w:snapToGrid w:val="0"/>
              <w:spacing w:before="50" w:line="360" w:lineRule="auto"/>
              <w:ind w:left="-88" w:leftChars="-42"/>
              <w:jc w:val="center"/>
              <w:rPr>
                <w:rFonts w:ascii="宋体" w:hAnsi="宋体"/>
                <w:color w:val="auto"/>
                <w:szCs w:val="21"/>
                <w:highlight w:val="none"/>
              </w:rPr>
            </w:pPr>
          </w:p>
        </w:tc>
      </w:tr>
      <w:tr w14:paraId="3FEA89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E5843B1">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0A16712B">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3939C0C5">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7FD2F7F5">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66E7FFBE">
            <w:pPr>
              <w:adjustRightInd w:val="0"/>
              <w:snapToGrid w:val="0"/>
              <w:spacing w:before="50" w:line="360" w:lineRule="auto"/>
              <w:ind w:left="-88" w:leftChars="-42"/>
              <w:jc w:val="center"/>
              <w:rPr>
                <w:rFonts w:ascii="宋体" w:hAnsi="宋体"/>
                <w:color w:val="auto"/>
                <w:szCs w:val="21"/>
                <w:highlight w:val="none"/>
              </w:rPr>
            </w:pPr>
          </w:p>
        </w:tc>
      </w:tr>
      <w:tr w14:paraId="45C8B1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98DA1A2">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891E623">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609205F5">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48036C3F">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772B2DAD">
            <w:pPr>
              <w:adjustRightInd w:val="0"/>
              <w:snapToGrid w:val="0"/>
              <w:spacing w:before="50" w:line="360" w:lineRule="auto"/>
              <w:ind w:left="-88" w:leftChars="-42"/>
              <w:jc w:val="center"/>
              <w:rPr>
                <w:rFonts w:ascii="宋体" w:hAnsi="宋体"/>
                <w:color w:val="auto"/>
                <w:szCs w:val="21"/>
                <w:highlight w:val="none"/>
              </w:rPr>
            </w:pPr>
          </w:p>
        </w:tc>
      </w:tr>
      <w:tr w14:paraId="59404F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952FAA2">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7A51837B">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159B181B">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7279E573">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28D67762">
            <w:pPr>
              <w:adjustRightInd w:val="0"/>
              <w:snapToGrid w:val="0"/>
              <w:spacing w:before="50" w:line="360" w:lineRule="auto"/>
              <w:ind w:left="-88" w:leftChars="-42"/>
              <w:jc w:val="center"/>
              <w:rPr>
                <w:rFonts w:ascii="宋体" w:hAnsi="宋体"/>
                <w:color w:val="auto"/>
                <w:szCs w:val="21"/>
                <w:highlight w:val="none"/>
              </w:rPr>
            </w:pPr>
          </w:p>
        </w:tc>
      </w:tr>
      <w:tr w14:paraId="7A3AF0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2292CA7">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589E7F20">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620E0646">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14:paraId="4E8559EA">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14:paraId="0750FA34">
            <w:pPr>
              <w:adjustRightInd w:val="0"/>
              <w:snapToGrid w:val="0"/>
              <w:spacing w:before="50" w:line="360" w:lineRule="auto"/>
              <w:ind w:left="-88" w:leftChars="-42"/>
              <w:jc w:val="center"/>
              <w:rPr>
                <w:rFonts w:ascii="宋体" w:hAnsi="宋体"/>
                <w:color w:val="auto"/>
                <w:szCs w:val="21"/>
                <w:highlight w:val="none"/>
              </w:rPr>
            </w:pPr>
          </w:p>
        </w:tc>
      </w:tr>
      <w:tr w14:paraId="7565CC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35EFFA9">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57E777F">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14:paraId="4B4FB2D5">
            <w:pPr>
              <w:adjustRightInd w:val="0"/>
              <w:snapToGrid w:val="0"/>
              <w:spacing w:before="50" w:line="360" w:lineRule="auto"/>
              <w:ind w:left="-88" w:leftChars="-42"/>
              <w:jc w:val="center"/>
              <w:rPr>
                <w:rFonts w:ascii="宋体" w:hAnsi="宋体"/>
                <w:color w:val="auto"/>
                <w:szCs w:val="21"/>
                <w:highlight w:val="none"/>
              </w:rPr>
            </w:pPr>
          </w:p>
        </w:tc>
        <w:tc>
          <w:tcPr>
            <w:tcW w:w="4024" w:type="dxa"/>
            <w:gridSpan w:val="2"/>
            <w:vAlign w:val="center"/>
          </w:tcPr>
          <w:p w14:paraId="39DBA201">
            <w:pPr>
              <w:adjustRightInd w:val="0"/>
              <w:snapToGrid w:val="0"/>
              <w:spacing w:before="50" w:line="360" w:lineRule="auto"/>
              <w:ind w:firstLine="420" w:firstLineChars="200"/>
              <w:jc w:val="left"/>
              <w:rPr>
                <w:rFonts w:ascii="宋体" w:hAnsi="宋体"/>
                <w:b/>
                <w:color w:val="auto"/>
                <w:szCs w:val="21"/>
                <w:highlight w:val="none"/>
              </w:rPr>
            </w:pPr>
            <w:r>
              <w:rPr>
                <w:rFonts w:hint="eastAsia" w:ascii="宋体" w:hAnsi="宋体"/>
                <w:b/>
                <w:color w:val="auto"/>
                <w:szCs w:val="21"/>
                <w:highlight w:val="none"/>
              </w:rPr>
              <w:t>供应商保证：除本合同条款偏离表列出的偏离外，我单位对谈判文件的其他商务、合同条款完全响应，无偏离。</w:t>
            </w:r>
          </w:p>
        </w:tc>
      </w:tr>
    </w:tbl>
    <w:p w14:paraId="727365E6">
      <w:pPr>
        <w:adjustRightInd w:val="0"/>
        <w:snapToGrid w:val="0"/>
        <w:spacing w:before="50" w:line="360" w:lineRule="auto"/>
        <w:ind w:left="-88" w:leftChars="-42"/>
        <w:rPr>
          <w:rFonts w:ascii="宋体" w:hAnsi="宋体"/>
          <w:color w:val="auto"/>
          <w:szCs w:val="21"/>
          <w:highlight w:val="none"/>
        </w:rPr>
      </w:pPr>
      <w:r>
        <w:rPr>
          <w:rFonts w:hint="eastAsia" w:ascii="宋体" w:hAnsi="宋体"/>
          <w:b w:val="0"/>
          <w:bCs/>
          <w:color w:val="auto"/>
          <w:szCs w:val="21"/>
          <w:highlight w:val="none"/>
        </w:rPr>
        <w:t>注：</w:t>
      </w:r>
      <w:r>
        <w:rPr>
          <w:rFonts w:hint="eastAsia" w:ascii="宋体" w:hAnsi="宋体"/>
          <w:b w:val="0"/>
          <w:bCs/>
          <w:color w:val="auto"/>
          <w:szCs w:val="21"/>
          <w:highlight w:val="none"/>
          <w:lang w:val="en-US" w:eastAsia="zh-CN"/>
        </w:rPr>
        <w:t>1.</w:t>
      </w:r>
      <w:r>
        <w:rPr>
          <w:rFonts w:hint="eastAsia" w:ascii="宋体" w:hAnsi="宋体"/>
          <w:color w:val="auto"/>
          <w:szCs w:val="21"/>
          <w:highlight w:val="none"/>
        </w:rPr>
        <w:t>供应商应根据谈判文件第四章</w:t>
      </w:r>
      <w:r>
        <w:rPr>
          <w:rFonts w:hint="eastAsia" w:ascii="华文宋体" w:hAnsi="华文宋体" w:eastAsia="华文宋体"/>
          <w:color w:val="auto"/>
          <w:szCs w:val="21"/>
          <w:highlight w:val="none"/>
        </w:rPr>
        <w:t>“</w:t>
      </w:r>
      <w:r>
        <w:rPr>
          <w:rFonts w:hint="eastAsia" w:ascii="宋体" w:hAnsi="宋体"/>
          <w:color w:val="auto"/>
          <w:szCs w:val="21"/>
          <w:highlight w:val="none"/>
        </w:rPr>
        <w:t>合同草案条款</w:t>
      </w:r>
      <w:r>
        <w:rPr>
          <w:rFonts w:hint="eastAsia" w:ascii="华文宋体" w:hAnsi="华文宋体" w:eastAsia="华文宋体"/>
          <w:color w:val="auto"/>
          <w:szCs w:val="21"/>
          <w:highlight w:val="none"/>
        </w:rPr>
        <w:t>”</w:t>
      </w:r>
      <w:r>
        <w:rPr>
          <w:rFonts w:hint="eastAsia" w:ascii="宋体" w:hAnsi="宋体"/>
          <w:color w:val="auto"/>
          <w:szCs w:val="21"/>
          <w:highlight w:val="none"/>
        </w:rPr>
        <w:t>填写本表；</w:t>
      </w:r>
    </w:p>
    <w:p w14:paraId="69AD7E8C">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lang w:val="en-US" w:eastAsia="zh-CN"/>
        </w:rPr>
        <w:t>2.</w:t>
      </w:r>
      <w:r>
        <w:rPr>
          <w:rFonts w:hint="eastAsia" w:ascii="宋体" w:hAnsi="宋体"/>
          <w:b/>
          <w:color w:val="auto"/>
          <w:szCs w:val="21"/>
          <w:highlight w:val="none"/>
        </w:rPr>
        <w:t>供应商如果对谈判文件第四章“合同草案条款”的响应有偏离，应将偏离条款逐条如实应答，并作出说明；</w:t>
      </w:r>
    </w:p>
    <w:p w14:paraId="3FDBBDFD">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如不提供此表，则视为供应商不满足谈判文件第四章的所有条款要求，其</w:t>
      </w:r>
      <w:r>
        <w:rPr>
          <w:rFonts w:hint="eastAsia" w:ascii="宋体" w:hAnsi="宋体"/>
          <w:b/>
          <w:color w:val="auto"/>
          <w:szCs w:val="21"/>
          <w:highlight w:val="none"/>
        </w:rPr>
        <w:t>响应无效</w:t>
      </w:r>
      <w:r>
        <w:rPr>
          <w:rFonts w:hint="eastAsia" w:ascii="宋体" w:hAnsi="宋体"/>
          <w:color w:val="auto"/>
          <w:szCs w:val="21"/>
          <w:highlight w:val="none"/>
        </w:rPr>
        <w:t>。</w:t>
      </w:r>
    </w:p>
    <w:p w14:paraId="7E0BD712">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eastAsia="宋体"/>
          <w:color w:val="auto"/>
          <w:szCs w:val="21"/>
          <w:highlight w:val="none"/>
        </w:rPr>
        <w:t>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4469EBE0">
      <w:pPr>
        <w:adjustRightInd w:val="0"/>
        <w:snapToGrid w:val="0"/>
        <w:spacing w:before="50" w:line="360" w:lineRule="auto"/>
        <w:rPr>
          <w:rFonts w:ascii="宋体" w:hAnsi="宋体"/>
          <w:color w:val="auto"/>
          <w:szCs w:val="21"/>
          <w:highlight w:val="none"/>
        </w:rPr>
      </w:pPr>
    </w:p>
    <w:p w14:paraId="283EB038">
      <w:pPr>
        <w:adjustRightInd w:val="0"/>
        <w:snapToGrid w:val="0"/>
        <w:spacing w:before="50" w:line="360" w:lineRule="auto"/>
        <w:rPr>
          <w:rFonts w:ascii="宋体" w:hAnsi="宋体"/>
          <w:color w:val="auto"/>
          <w:szCs w:val="21"/>
          <w:highlight w:val="none"/>
        </w:rPr>
      </w:pPr>
    </w:p>
    <w:p w14:paraId="173FC195">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7B2BD61E">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08F80A88">
      <w:pPr>
        <w:rPr>
          <w:color w:val="auto"/>
          <w:highlight w:val="none"/>
        </w:rPr>
      </w:pPr>
      <w:r>
        <w:rPr>
          <w:rFonts w:hint="eastAsia"/>
          <w:color w:val="auto"/>
          <w:highlight w:val="none"/>
        </w:rPr>
        <w:t xml:space="preserve">日期： </w:t>
      </w:r>
      <w:r>
        <w:rPr>
          <w:rFonts w:hint="eastAsia"/>
          <w:color w:val="auto"/>
          <w:highlight w:val="none"/>
          <w:lang w:val="en-US" w:eastAsia="zh-CN"/>
        </w:rPr>
        <w:t xml:space="preserve">   </w:t>
      </w:r>
      <w:r>
        <w:rPr>
          <w:rFonts w:hint="eastAsia"/>
          <w:color w:val="auto"/>
          <w:highlight w:val="none"/>
        </w:rPr>
        <w:t>年</w:t>
      </w:r>
      <w:r>
        <w:rPr>
          <w:rFonts w:hint="eastAsia"/>
          <w:color w:val="auto"/>
          <w:highlight w:val="none"/>
          <w:lang w:val="en-US" w:eastAsia="zh-CN"/>
        </w:rPr>
        <w:t xml:space="preserve">   </w:t>
      </w:r>
      <w:r>
        <w:rPr>
          <w:rFonts w:hint="eastAsia"/>
          <w:color w:val="auto"/>
          <w:highlight w:val="none"/>
        </w:rPr>
        <w:t xml:space="preserve"> 月</w:t>
      </w:r>
      <w:r>
        <w:rPr>
          <w:rFonts w:hint="eastAsia"/>
          <w:color w:val="auto"/>
          <w:highlight w:val="none"/>
          <w:lang w:val="en-US" w:eastAsia="zh-CN"/>
        </w:rPr>
        <w:t xml:space="preserve">    </w:t>
      </w:r>
      <w:r>
        <w:rPr>
          <w:rFonts w:hint="eastAsia"/>
          <w:color w:val="auto"/>
          <w:highlight w:val="none"/>
        </w:rPr>
        <w:t xml:space="preserve"> 日</w:t>
      </w:r>
    </w:p>
    <w:p w14:paraId="30AABB30">
      <w:pPr>
        <w:keepNext/>
        <w:keepLines/>
        <w:spacing w:line="360" w:lineRule="auto"/>
        <w:jc w:val="center"/>
        <w:outlineLvl w:val="1"/>
        <w:rPr>
          <w:rFonts w:ascii="黑体" w:hAnsi="Arial" w:eastAsia="黑体"/>
          <w:b/>
          <w:bCs/>
          <w:color w:val="auto"/>
          <w:sz w:val="28"/>
          <w:szCs w:val="28"/>
          <w:highlight w:val="none"/>
        </w:rPr>
      </w:pPr>
      <w:r>
        <w:rPr>
          <w:rFonts w:ascii="黑体" w:hAnsi="Arial" w:eastAsia="黑体"/>
          <w:b/>
          <w:bCs/>
          <w:color w:val="auto"/>
          <w:sz w:val="28"/>
          <w:szCs w:val="28"/>
          <w:highlight w:val="none"/>
        </w:rPr>
        <w:br w:type="page"/>
      </w:r>
      <w:bookmarkStart w:id="164" w:name="_Toc107998048"/>
      <w:bookmarkStart w:id="165" w:name="_Toc22201160"/>
      <w:bookmarkStart w:id="166" w:name="_Toc1639"/>
      <w:r>
        <w:rPr>
          <w:rFonts w:hint="eastAsia" w:ascii="黑体" w:hAnsi="Arial" w:eastAsia="黑体"/>
          <w:b/>
          <w:bCs/>
          <w:color w:val="auto"/>
          <w:sz w:val="28"/>
          <w:szCs w:val="28"/>
          <w:highlight w:val="none"/>
        </w:rPr>
        <w:t>八、采购需求偏离表</w:t>
      </w:r>
      <w:bookmarkEnd w:id="164"/>
      <w:bookmarkEnd w:id="165"/>
      <w:bookmarkEnd w:id="166"/>
    </w:p>
    <w:p w14:paraId="79BA51A8">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 xml:space="preserve">政府采购计划编号: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0361EF92">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包名称：</w:t>
      </w:r>
      <w:r>
        <w:rPr>
          <w:rFonts w:hint="eastAsia" w:ascii="宋体" w:hAnsi="宋体"/>
          <w:color w:val="auto"/>
          <w:szCs w:val="21"/>
          <w:highlight w:val="none"/>
          <w:u w:val="single"/>
        </w:rPr>
        <w:t xml:space="preserve">                   </w:t>
      </w:r>
    </w:p>
    <w:tbl>
      <w:tblPr>
        <w:tblStyle w:val="20"/>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C701E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0B6FD01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14:paraId="246F694E">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tcBorders>
              <w:right w:val="single" w:color="auto" w:sz="4" w:space="0"/>
            </w:tcBorders>
            <w:vAlign w:val="top"/>
          </w:tcPr>
          <w:p w14:paraId="4F0A3EDC">
            <w:pPr>
              <w:adjustRightInd w:val="0"/>
              <w:snapToGrid w:val="0"/>
              <w:spacing w:before="50" w:line="360" w:lineRule="auto"/>
              <w:jc w:val="center"/>
              <w:rPr>
                <w:color w:val="auto"/>
                <w:highlight w:val="none"/>
              </w:rPr>
            </w:pPr>
            <w:r>
              <w:rPr>
                <w:rFonts w:hint="eastAsia" w:ascii="宋体" w:hAnsi="宋体"/>
                <w:color w:val="auto"/>
                <w:szCs w:val="21"/>
                <w:highlight w:val="none"/>
              </w:rPr>
              <w:t>谈判</w:t>
            </w:r>
            <w:r>
              <w:rPr>
                <w:rFonts w:hint="eastAsia"/>
                <w:color w:val="auto"/>
                <w:highlight w:val="none"/>
              </w:rPr>
              <w:t>文件要求</w:t>
            </w:r>
          </w:p>
        </w:tc>
        <w:tc>
          <w:tcPr>
            <w:tcW w:w="2126" w:type="dxa"/>
            <w:tcBorders>
              <w:left w:val="single" w:color="auto" w:sz="4" w:space="0"/>
            </w:tcBorders>
            <w:vAlign w:val="top"/>
          </w:tcPr>
          <w:p w14:paraId="520F8BFD">
            <w:pPr>
              <w:adjustRightInd w:val="0"/>
              <w:snapToGrid w:val="0"/>
              <w:spacing w:before="50" w:line="360" w:lineRule="auto"/>
              <w:jc w:val="center"/>
              <w:rPr>
                <w:color w:val="auto"/>
                <w:highlight w:val="none"/>
              </w:rPr>
            </w:pPr>
            <w:r>
              <w:rPr>
                <w:rFonts w:hint="eastAsia" w:ascii="宋体" w:hAnsi="宋体"/>
                <w:color w:val="auto"/>
                <w:szCs w:val="21"/>
                <w:highlight w:val="none"/>
              </w:rPr>
              <w:t>响应</w:t>
            </w:r>
            <w:r>
              <w:rPr>
                <w:rFonts w:hint="eastAsia"/>
                <w:color w:val="auto"/>
                <w:highlight w:val="none"/>
              </w:rPr>
              <w:t>文件应答</w:t>
            </w:r>
          </w:p>
        </w:tc>
        <w:tc>
          <w:tcPr>
            <w:tcW w:w="1756" w:type="dxa"/>
            <w:vAlign w:val="center"/>
          </w:tcPr>
          <w:p w14:paraId="7F41EAB7">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14:paraId="6EB05B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B77698C">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7A16635">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4243C119">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506929D0">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22B3725F">
            <w:pPr>
              <w:adjustRightInd w:val="0"/>
              <w:snapToGrid w:val="0"/>
              <w:spacing w:before="50" w:line="360" w:lineRule="auto"/>
              <w:ind w:left="-88" w:leftChars="-42"/>
              <w:jc w:val="center"/>
              <w:rPr>
                <w:rFonts w:ascii="宋体" w:hAnsi="宋体"/>
                <w:color w:val="auto"/>
                <w:szCs w:val="21"/>
                <w:highlight w:val="none"/>
              </w:rPr>
            </w:pPr>
          </w:p>
        </w:tc>
      </w:tr>
      <w:tr w14:paraId="67A4D6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523072C">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667B0F0D">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6D453D96">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06D82950">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0EEABCCB">
            <w:pPr>
              <w:adjustRightInd w:val="0"/>
              <w:snapToGrid w:val="0"/>
              <w:spacing w:before="50" w:line="360" w:lineRule="auto"/>
              <w:ind w:left="-88" w:leftChars="-42"/>
              <w:jc w:val="center"/>
              <w:rPr>
                <w:rFonts w:ascii="宋体" w:hAnsi="宋体"/>
                <w:color w:val="auto"/>
                <w:szCs w:val="21"/>
                <w:highlight w:val="none"/>
              </w:rPr>
            </w:pPr>
          </w:p>
        </w:tc>
      </w:tr>
      <w:tr w14:paraId="69D172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BBF911D">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5A3969D7">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5257F251">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1FA6F7F9">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5CB25C7F">
            <w:pPr>
              <w:adjustRightInd w:val="0"/>
              <w:snapToGrid w:val="0"/>
              <w:spacing w:before="50" w:line="360" w:lineRule="auto"/>
              <w:ind w:left="-88" w:leftChars="-42"/>
              <w:jc w:val="center"/>
              <w:rPr>
                <w:rFonts w:ascii="宋体" w:hAnsi="宋体"/>
                <w:color w:val="auto"/>
                <w:szCs w:val="21"/>
                <w:highlight w:val="none"/>
              </w:rPr>
            </w:pPr>
          </w:p>
        </w:tc>
      </w:tr>
      <w:tr w14:paraId="4D8884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C50B208">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243E84DB">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0CE8234C">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5A98211C">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2792118C">
            <w:pPr>
              <w:adjustRightInd w:val="0"/>
              <w:snapToGrid w:val="0"/>
              <w:spacing w:before="50" w:line="360" w:lineRule="auto"/>
              <w:ind w:left="-88" w:leftChars="-42"/>
              <w:jc w:val="center"/>
              <w:rPr>
                <w:rFonts w:ascii="宋体" w:hAnsi="宋体"/>
                <w:color w:val="auto"/>
                <w:szCs w:val="21"/>
                <w:highlight w:val="none"/>
              </w:rPr>
            </w:pPr>
          </w:p>
        </w:tc>
      </w:tr>
      <w:tr w14:paraId="2E7669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2584A53">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539FDBAA">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16C274D4">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14:paraId="49CC046A">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14:paraId="4BC11F19">
            <w:pPr>
              <w:adjustRightInd w:val="0"/>
              <w:snapToGrid w:val="0"/>
              <w:spacing w:before="50" w:line="360" w:lineRule="auto"/>
              <w:ind w:left="-88" w:leftChars="-42"/>
              <w:jc w:val="center"/>
              <w:rPr>
                <w:rFonts w:ascii="宋体" w:hAnsi="宋体"/>
                <w:color w:val="auto"/>
                <w:szCs w:val="21"/>
                <w:highlight w:val="none"/>
              </w:rPr>
            </w:pPr>
          </w:p>
        </w:tc>
      </w:tr>
      <w:tr w14:paraId="62C7F1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A6E3089">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14:paraId="31FD214A">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14:paraId="0334C375">
            <w:pPr>
              <w:adjustRightInd w:val="0"/>
              <w:snapToGrid w:val="0"/>
              <w:spacing w:before="50" w:line="360" w:lineRule="auto"/>
              <w:ind w:left="-88" w:leftChars="-42"/>
              <w:jc w:val="center"/>
              <w:rPr>
                <w:rFonts w:ascii="宋体" w:hAnsi="宋体"/>
                <w:color w:val="auto"/>
                <w:szCs w:val="21"/>
                <w:highlight w:val="none"/>
              </w:rPr>
            </w:pPr>
          </w:p>
        </w:tc>
        <w:tc>
          <w:tcPr>
            <w:tcW w:w="3882" w:type="dxa"/>
            <w:gridSpan w:val="2"/>
            <w:tcBorders>
              <w:left w:val="single" w:color="auto" w:sz="4" w:space="0"/>
            </w:tcBorders>
            <w:vAlign w:val="center"/>
          </w:tcPr>
          <w:p w14:paraId="394D8666">
            <w:pPr>
              <w:adjustRightInd w:val="0"/>
              <w:snapToGrid w:val="0"/>
              <w:spacing w:before="50" w:line="360" w:lineRule="auto"/>
              <w:ind w:firstLine="420" w:firstLineChars="200"/>
              <w:rPr>
                <w:rFonts w:ascii="宋体" w:hAnsi="宋体"/>
                <w:color w:val="auto"/>
                <w:szCs w:val="21"/>
                <w:highlight w:val="none"/>
              </w:rPr>
            </w:pPr>
            <w:r>
              <w:rPr>
                <w:rFonts w:hint="eastAsia" w:ascii="宋体" w:hAnsi="宋体"/>
                <w:b/>
                <w:color w:val="auto"/>
                <w:szCs w:val="21"/>
                <w:highlight w:val="none"/>
              </w:rPr>
              <w:t>供应商保证：除本采购需求偏离表列出的偏离外，我单位对谈判文件的其他采购需求条款完全响应，无偏离。</w:t>
            </w:r>
          </w:p>
        </w:tc>
      </w:tr>
    </w:tbl>
    <w:p w14:paraId="40BCCE98">
      <w:pPr>
        <w:adjustRightInd w:val="0"/>
        <w:snapToGrid w:val="0"/>
        <w:spacing w:before="50" w:line="360" w:lineRule="auto"/>
        <w:ind w:left="-88" w:leftChars="-42"/>
        <w:rPr>
          <w:rFonts w:ascii="宋体" w:hAnsi="宋体"/>
          <w:color w:val="auto"/>
          <w:szCs w:val="21"/>
          <w:highlight w:val="none"/>
        </w:rPr>
      </w:pPr>
      <w:r>
        <w:rPr>
          <w:rFonts w:hint="eastAsia" w:ascii="宋体" w:hAnsi="宋体"/>
          <w:b w:val="0"/>
          <w:bCs/>
          <w:color w:val="auto"/>
          <w:szCs w:val="21"/>
          <w:highlight w:val="none"/>
        </w:rPr>
        <w:t>注：</w:t>
      </w:r>
      <w:r>
        <w:rPr>
          <w:rFonts w:hint="eastAsia" w:ascii="宋体" w:hAnsi="宋体"/>
          <w:color w:val="auto"/>
          <w:szCs w:val="21"/>
          <w:highlight w:val="none"/>
          <w:lang w:val="en-US" w:eastAsia="zh-CN"/>
        </w:rPr>
        <w:t>1.</w:t>
      </w:r>
      <w:r>
        <w:rPr>
          <w:rFonts w:hint="eastAsia" w:ascii="宋体" w:hAnsi="宋体"/>
          <w:color w:val="auto"/>
          <w:szCs w:val="21"/>
          <w:highlight w:val="none"/>
        </w:rPr>
        <w:t>供应商应根据谈判文件第三章“采购需求”填写本表；</w:t>
      </w:r>
    </w:p>
    <w:p w14:paraId="5D374FE3">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lang w:val="en-US" w:eastAsia="zh-CN"/>
        </w:rPr>
        <w:t>2.</w:t>
      </w:r>
      <w:r>
        <w:rPr>
          <w:rFonts w:hint="eastAsia" w:ascii="宋体" w:hAnsi="宋体"/>
          <w:b/>
          <w:color w:val="auto"/>
          <w:szCs w:val="21"/>
          <w:highlight w:val="none"/>
        </w:rPr>
        <w:t>供应商如果对谈判文件第三章“采购需求”的响应有偏离，应将偏离条款逐条如实应答，并作出说明；</w:t>
      </w:r>
    </w:p>
    <w:p w14:paraId="19736A20">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b/>
          <w:color w:val="auto"/>
          <w:szCs w:val="21"/>
          <w:highlight w:val="none"/>
          <w:lang w:val="en-US" w:eastAsia="zh-CN"/>
        </w:rPr>
        <w:t>3.</w:t>
      </w:r>
      <w:r>
        <w:rPr>
          <w:rFonts w:hint="eastAsia" w:ascii="宋体" w:hAnsi="宋体"/>
          <w:b/>
          <w:color w:val="auto"/>
          <w:szCs w:val="21"/>
          <w:highlight w:val="none"/>
        </w:rPr>
        <w:t>如不提供此表，则视为供应商不满足谈判文件第三章的所有条款要求，其响应无效。</w:t>
      </w:r>
    </w:p>
    <w:p w14:paraId="2BB88A17">
      <w:pPr>
        <w:adjustRightInd w:val="0"/>
        <w:snapToGrid w:val="0"/>
        <w:spacing w:before="50" w:line="360" w:lineRule="auto"/>
        <w:ind w:left="-88" w:leftChars="-42" w:firstLine="420" w:firstLineChars="200"/>
        <w:rPr>
          <w:rFonts w:ascii="宋体" w:hAnsi="宋体" w:eastAsia="宋体"/>
          <w:color w:val="auto"/>
          <w:szCs w:val="21"/>
          <w:highlight w:val="none"/>
        </w:rPr>
      </w:pPr>
      <w:r>
        <w:rPr>
          <w:rFonts w:hint="eastAsia" w:ascii="宋体" w:hAnsi="宋体"/>
          <w:color w:val="auto"/>
          <w:szCs w:val="21"/>
          <w:highlight w:val="none"/>
          <w:lang w:val="en-US" w:eastAsia="zh-CN"/>
        </w:rPr>
        <w:t>4.</w:t>
      </w:r>
      <w:r>
        <w:rPr>
          <w:rFonts w:hint="eastAsia" w:ascii="宋体" w:hAnsi="宋体" w:eastAsia="宋体"/>
          <w:color w:val="auto"/>
          <w:szCs w:val="21"/>
          <w:highlight w:val="none"/>
        </w:rPr>
        <w:t>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50B95B23">
      <w:pPr>
        <w:adjustRightInd w:val="0"/>
        <w:snapToGrid w:val="0"/>
        <w:spacing w:before="50" w:line="360" w:lineRule="auto"/>
        <w:ind w:left="-88" w:leftChars="-42" w:firstLine="420" w:firstLineChars="200"/>
        <w:rPr>
          <w:rFonts w:ascii="宋体" w:hAnsi="宋体" w:eastAsia="宋体"/>
          <w:color w:val="auto"/>
          <w:szCs w:val="21"/>
          <w:highlight w:val="none"/>
        </w:rPr>
      </w:pPr>
      <w:r>
        <w:rPr>
          <w:rFonts w:hint="eastAsia" w:ascii="宋体" w:hAnsi="宋体"/>
          <w:color w:val="auto"/>
          <w:szCs w:val="21"/>
          <w:highlight w:val="none"/>
          <w:lang w:val="en-US" w:eastAsia="zh-CN"/>
        </w:rPr>
        <w:t>5.</w:t>
      </w:r>
      <w:r>
        <w:rPr>
          <w:rFonts w:hint="eastAsia" w:ascii="宋体" w:hAnsi="宋体" w:eastAsia="宋体"/>
          <w:color w:val="auto"/>
          <w:szCs w:val="21"/>
          <w:highlight w:val="none"/>
        </w:rPr>
        <w:t>本表偏离表与本章第六节“采购需求响应”不一致时，以“采购需求响应”为准。</w:t>
      </w:r>
    </w:p>
    <w:p w14:paraId="58EDF9EC">
      <w:pPr>
        <w:adjustRightInd w:val="0"/>
        <w:snapToGrid w:val="0"/>
        <w:spacing w:before="50" w:line="360" w:lineRule="auto"/>
        <w:rPr>
          <w:rFonts w:ascii="宋体" w:hAnsi="宋体"/>
          <w:color w:val="auto"/>
          <w:szCs w:val="21"/>
          <w:highlight w:val="none"/>
        </w:rPr>
      </w:pPr>
    </w:p>
    <w:p w14:paraId="75701BEC">
      <w:pPr>
        <w:adjustRightInd w:val="0"/>
        <w:snapToGrid w:val="0"/>
        <w:spacing w:before="50" w:line="360" w:lineRule="auto"/>
        <w:rPr>
          <w:rFonts w:ascii="宋体" w:hAnsi="宋体"/>
          <w:color w:val="auto"/>
          <w:szCs w:val="21"/>
          <w:highlight w:val="none"/>
        </w:rPr>
      </w:pPr>
    </w:p>
    <w:p w14:paraId="3BF7B751">
      <w:pPr>
        <w:adjustRightInd w:val="0"/>
        <w:snapToGrid w:val="0"/>
        <w:spacing w:before="50" w:line="360" w:lineRule="auto"/>
        <w:rPr>
          <w:rFonts w:ascii="宋体" w:hAnsi="宋体"/>
          <w:color w:val="auto"/>
          <w:szCs w:val="21"/>
          <w:highlight w:val="none"/>
        </w:rPr>
      </w:pPr>
    </w:p>
    <w:p w14:paraId="1219C7C6">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7ADA5C66">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7FC4280E">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日      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3BE2A9DF">
      <w:pPr>
        <w:rPr>
          <w:color w:val="auto"/>
          <w:highlight w:val="none"/>
        </w:rPr>
      </w:pPr>
    </w:p>
    <w:p w14:paraId="0C56E2C5">
      <w:pPr>
        <w:rPr>
          <w:color w:val="auto"/>
          <w:highlight w:val="none"/>
        </w:rPr>
        <w:sectPr>
          <w:footerReference r:id="rId9" w:type="even"/>
          <w:pgSz w:w="11906" w:h="16838"/>
          <w:pgMar w:top="1418" w:right="1418" w:bottom="1134" w:left="1418" w:header="851" w:footer="992" w:gutter="0"/>
          <w:pgNumType w:fmt="decimal"/>
          <w:cols w:space="720" w:num="1"/>
          <w:docGrid w:type="linesAndChars" w:linePitch="312" w:charSpace="0"/>
        </w:sectPr>
      </w:pPr>
    </w:p>
    <w:p w14:paraId="3BC68E7E">
      <w:pPr>
        <w:keepNext/>
        <w:keepLines/>
        <w:spacing w:line="360" w:lineRule="auto"/>
        <w:jc w:val="center"/>
        <w:outlineLvl w:val="1"/>
        <w:rPr>
          <w:rFonts w:ascii="黑体" w:hAnsi="黑体" w:eastAsia="黑体"/>
          <w:b/>
          <w:bCs/>
          <w:color w:val="auto"/>
          <w:sz w:val="28"/>
          <w:szCs w:val="28"/>
          <w:highlight w:val="none"/>
        </w:rPr>
      </w:pPr>
      <w:bookmarkStart w:id="167" w:name="_Toc22201161"/>
      <w:bookmarkStart w:id="168" w:name="_Toc107998049"/>
      <w:bookmarkStart w:id="169" w:name="_Toc22239"/>
      <w:r>
        <w:rPr>
          <w:rFonts w:ascii="Arial" w:hAnsi="Arial"/>
          <w:b/>
          <w:bCs/>
          <w:color w:val="auto"/>
          <w:sz w:val="24"/>
          <w:szCs w:val="32"/>
          <w:highlight w:val="none"/>
        </w:rPr>
        <w:t>九</w:t>
      </w:r>
      <w:r>
        <w:rPr>
          <w:rFonts w:hint="eastAsia" w:ascii="黑体" w:hAnsi="黑体" w:eastAsia="黑体"/>
          <w:b/>
          <w:bCs/>
          <w:color w:val="auto"/>
          <w:sz w:val="28"/>
          <w:szCs w:val="28"/>
          <w:highlight w:val="none"/>
        </w:rPr>
        <w:t>、享受政府采购政策优惠的证明资料</w:t>
      </w:r>
      <w:bookmarkEnd w:id="167"/>
      <w:bookmarkEnd w:id="168"/>
      <w:bookmarkEnd w:id="169"/>
    </w:p>
    <w:p w14:paraId="65937523">
      <w:pPr>
        <w:adjustRightInd w:val="0"/>
        <w:snapToGrid w:val="0"/>
        <w:spacing w:line="360" w:lineRule="auto"/>
        <w:rPr>
          <w:rFonts w:ascii="黑体" w:hAnsi="华文中宋" w:eastAsia="黑体" w:cs="宋体"/>
          <w:bCs/>
          <w:color w:val="auto"/>
          <w:spacing w:val="6"/>
          <w:kern w:val="0"/>
          <w:szCs w:val="21"/>
          <w:highlight w:val="none"/>
        </w:rPr>
      </w:pPr>
    </w:p>
    <w:p w14:paraId="0F1B47D3">
      <w:pPr>
        <w:adjustRightInd w:val="0"/>
        <w:snapToGrid w:val="0"/>
        <w:spacing w:line="360" w:lineRule="auto"/>
        <w:ind w:firstLine="444" w:firstLineChars="200"/>
        <w:rPr>
          <w:rFonts w:ascii="宋体" w:hAnsi="宋体" w:cs="宋体"/>
          <w:bCs/>
          <w:color w:val="auto"/>
          <w:spacing w:val="6"/>
          <w:kern w:val="0"/>
          <w:szCs w:val="21"/>
          <w:highlight w:val="none"/>
        </w:rPr>
      </w:pPr>
      <w:r>
        <w:rPr>
          <w:rFonts w:hint="eastAsia" w:ascii="宋体" w:hAnsi="宋体" w:cs="宋体"/>
          <w:bCs/>
          <w:color w:val="auto"/>
          <w:spacing w:val="6"/>
          <w:kern w:val="0"/>
          <w:szCs w:val="21"/>
          <w:highlight w:val="none"/>
        </w:rPr>
        <w:t>供应商符合第二章第38条、第39条、第40条、第41条要求的，应提供下列证明资料，并填写相关数据。</w:t>
      </w:r>
    </w:p>
    <w:p w14:paraId="200AD4DF">
      <w:pPr>
        <w:adjustRightInd w:val="0"/>
        <w:snapToGrid w:val="0"/>
        <w:spacing w:line="360" w:lineRule="auto"/>
        <w:rPr>
          <w:rFonts w:ascii="黑体" w:hAnsi="华文中宋" w:eastAsia="黑体" w:cs="宋体"/>
          <w:bCs/>
          <w:color w:val="auto"/>
          <w:spacing w:val="6"/>
          <w:kern w:val="0"/>
          <w:szCs w:val="21"/>
          <w:highlight w:val="none"/>
        </w:rPr>
      </w:pPr>
    </w:p>
    <w:p w14:paraId="0382E8C9">
      <w:pPr>
        <w:adjustRightInd w:val="0"/>
        <w:snapToGrid w:val="0"/>
        <w:spacing w:line="360" w:lineRule="auto"/>
        <w:jc w:val="center"/>
        <w:rPr>
          <w:rFonts w:hint="eastAsia" w:ascii="宋体" w:hAnsi="宋体"/>
          <w:b/>
          <w:bCs/>
          <w:color w:val="auto"/>
          <w:szCs w:val="21"/>
          <w:highlight w:val="none"/>
        </w:rPr>
      </w:pPr>
      <w:bookmarkStart w:id="170" w:name="_Toc1869"/>
    </w:p>
    <w:p w14:paraId="4A48E485">
      <w:pPr>
        <w:adjustRightInd w:val="0"/>
        <w:snapToGrid w:val="0"/>
        <w:spacing w:line="360" w:lineRule="auto"/>
        <w:jc w:val="center"/>
        <w:rPr>
          <w:rFonts w:hint="eastAsia" w:ascii="宋体" w:hAnsi="宋体"/>
          <w:b/>
          <w:bCs/>
          <w:color w:val="auto"/>
          <w:szCs w:val="21"/>
          <w:highlight w:val="none"/>
        </w:rPr>
      </w:pPr>
    </w:p>
    <w:p w14:paraId="5ECE30D9">
      <w:pPr>
        <w:adjustRightInd w:val="0"/>
        <w:snapToGrid w:val="0"/>
        <w:spacing w:line="360" w:lineRule="auto"/>
        <w:jc w:val="center"/>
        <w:rPr>
          <w:rFonts w:hint="eastAsia" w:ascii="黑体" w:hAnsi="黑体" w:eastAsia="黑体" w:cs="Times New Roman"/>
          <w:b/>
          <w:color w:val="auto"/>
          <w:spacing w:val="6"/>
          <w:sz w:val="28"/>
          <w:szCs w:val="28"/>
          <w:highlight w:val="none"/>
        </w:rPr>
      </w:pPr>
      <w:r>
        <w:rPr>
          <w:rFonts w:hint="eastAsia" w:ascii="宋体" w:hAnsi="宋体"/>
          <w:b/>
          <w:bCs/>
          <w:color w:val="auto"/>
          <w:szCs w:val="21"/>
          <w:highlight w:val="none"/>
        </w:rPr>
        <w:t>附件9-1</w:t>
      </w:r>
      <w:bookmarkEnd w:id="170"/>
      <w:r>
        <w:rPr>
          <w:rFonts w:hint="eastAsia" w:ascii="黑体" w:hAnsi="黑体" w:eastAsia="黑体" w:cs="Times New Roman"/>
          <w:b/>
          <w:color w:val="auto"/>
          <w:spacing w:val="6"/>
          <w:sz w:val="28"/>
          <w:szCs w:val="28"/>
          <w:highlight w:val="none"/>
          <w:lang w:val="en-US" w:eastAsia="zh-CN"/>
        </w:rPr>
        <w:t>中小企业声明函</w:t>
      </w:r>
    </w:p>
    <w:p w14:paraId="1C0796EE">
      <w:pPr>
        <w:widowControl/>
        <w:adjustRightInd w:val="0"/>
        <w:snapToGrid w:val="0"/>
        <w:spacing w:line="360" w:lineRule="auto"/>
        <w:ind w:firstLine="444" w:firstLineChars="200"/>
        <w:jc w:val="left"/>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本公司（联合体）郑重声明，根据《政府采购促进中小企业发展管理办法》（财库﹝2020﹞46 号）的规定，本公司</w:t>
      </w:r>
      <w:r>
        <w:rPr>
          <w:rFonts w:hint="eastAsia" w:ascii="宋体" w:hAnsi="宋体" w:cs="宋体"/>
          <w:color w:val="auto"/>
          <w:spacing w:val="6"/>
          <w:kern w:val="0"/>
          <w:szCs w:val="21"/>
          <w:highlight w:val="none"/>
          <w:u w:val="single"/>
          <w:lang w:val="en-US" w:eastAsia="zh-CN"/>
        </w:rPr>
        <w:t xml:space="preserve">        </w:t>
      </w:r>
      <w:r>
        <w:rPr>
          <w:rFonts w:hint="eastAsia" w:ascii="宋体" w:hAnsi="宋体" w:cs="宋体"/>
          <w:color w:val="auto"/>
          <w:spacing w:val="6"/>
          <w:kern w:val="0"/>
          <w:szCs w:val="21"/>
          <w:highlight w:val="none"/>
          <w:u w:val="none"/>
          <w:lang w:val="en-US" w:eastAsia="zh-CN"/>
        </w:rPr>
        <w:t>（单位名称）参加</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（单位名称）的</w:t>
      </w:r>
      <w:r>
        <w:rPr>
          <w:rFonts w:hint="eastAsia" w:ascii="宋体" w:hAnsi="宋体" w:cs="宋体"/>
          <w:color w:val="auto"/>
          <w:spacing w:val="6"/>
          <w:kern w:val="0"/>
          <w:szCs w:val="21"/>
          <w:highlight w:val="none"/>
          <w:u w:val="single"/>
          <w:lang w:val="en-US" w:eastAsia="zh-CN"/>
        </w:rPr>
        <w:t xml:space="preserve">      </w:t>
      </w:r>
      <w:r>
        <w:rPr>
          <w:rFonts w:hint="eastAsia" w:ascii="宋体" w:hAnsi="宋体" w:cs="宋体"/>
          <w:color w:val="auto"/>
          <w:spacing w:val="6"/>
          <w:kern w:val="0"/>
          <w:szCs w:val="21"/>
          <w:highlight w:val="none"/>
          <w:u w:val="none"/>
          <w:lang w:val="en-US" w:eastAsia="zh-CN"/>
        </w:rPr>
        <w:t>（项目名称）采购活动，提供的货物全部由符合政策要求的中小企业制造。相关企业（含联合体中的中小企业、签订分包意向协议的中小企业)的具体情况如下：</w:t>
      </w:r>
    </w:p>
    <w:p w14:paraId="75634D2F">
      <w:pPr>
        <w:widowControl/>
        <w:adjustRightInd w:val="0"/>
        <w:snapToGrid w:val="0"/>
        <w:spacing w:line="360" w:lineRule="auto"/>
        <w:ind w:firstLine="444" w:firstLineChars="200"/>
        <w:jc w:val="left"/>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1.</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（标的名称），属于</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（采购文件中明确的所属行业）；制造商为</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（企业名称），从业人员</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人，营业收入为</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万元，资产总额为</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万元，属于</w:t>
      </w:r>
      <w:r>
        <w:rPr>
          <w:rFonts w:hint="eastAsia" w:ascii="宋体" w:hAnsi="宋体" w:cs="宋体"/>
          <w:color w:val="auto"/>
          <w:spacing w:val="6"/>
          <w:kern w:val="0"/>
          <w:szCs w:val="21"/>
          <w:highlight w:val="none"/>
          <w:u w:val="single"/>
          <w:lang w:val="en-US" w:eastAsia="zh-CN"/>
        </w:rPr>
        <w:t>     </w:t>
      </w:r>
      <w:r>
        <w:rPr>
          <w:rFonts w:hint="eastAsia" w:ascii="宋体" w:hAnsi="宋体" w:cs="宋体"/>
          <w:color w:val="auto"/>
          <w:spacing w:val="6"/>
          <w:kern w:val="0"/>
          <w:szCs w:val="21"/>
          <w:highlight w:val="none"/>
          <w:u w:val="none"/>
          <w:lang w:val="en-US" w:eastAsia="zh-CN"/>
        </w:rPr>
        <w:t>（中型企业、小型企业、微型企业）；</w:t>
      </w:r>
    </w:p>
    <w:p w14:paraId="0C6BD595">
      <w:pPr>
        <w:widowControl/>
        <w:adjustRightInd w:val="0"/>
        <w:snapToGrid w:val="0"/>
        <w:spacing w:line="360" w:lineRule="auto"/>
        <w:ind w:firstLine="444" w:firstLineChars="200"/>
        <w:jc w:val="left"/>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w:t>
      </w:r>
    </w:p>
    <w:p w14:paraId="5AF9A580">
      <w:pPr>
        <w:widowControl/>
        <w:adjustRightInd w:val="0"/>
        <w:snapToGrid w:val="0"/>
        <w:spacing w:line="360" w:lineRule="auto"/>
        <w:ind w:firstLine="444" w:firstLineChars="200"/>
        <w:jc w:val="left"/>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以上企业，不属于大企业的分支机构，不存在控股股东为大企业的情形，也不存在与大企业的负责人为同一人的情形。</w:t>
      </w:r>
    </w:p>
    <w:p w14:paraId="52538320">
      <w:pPr>
        <w:widowControl/>
        <w:adjustRightInd w:val="0"/>
        <w:snapToGrid w:val="0"/>
        <w:spacing w:line="360" w:lineRule="auto"/>
        <w:ind w:firstLine="444" w:firstLineChars="200"/>
        <w:jc w:val="left"/>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本企业对上述声明内容的真实性负责。如有虚假，将依法承担相应责任。</w:t>
      </w:r>
    </w:p>
    <w:p w14:paraId="7C7706BD">
      <w:pPr>
        <w:widowControl/>
        <w:adjustRightInd w:val="0"/>
        <w:snapToGrid w:val="0"/>
        <w:spacing w:line="360" w:lineRule="auto"/>
        <w:ind w:firstLine="444" w:firstLineChars="200"/>
        <w:jc w:val="center"/>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 </w:t>
      </w:r>
    </w:p>
    <w:p w14:paraId="7838F205">
      <w:pPr>
        <w:widowControl/>
        <w:adjustRightInd w:val="0"/>
        <w:snapToGrid w:val="0"/>
        <w:spacing w:line="360" w:lineRule="auto"/>
        <w:ind w:firstLine="444" w:firstLineChars="200"/>
        <w:jc w:val="center"/>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 </w:t>
      </w:r>
    </w:p>
    <w:p w14:paraId="28044C58">
      <w:pPr>
        <w:widowControl/>
        <w:adjustRightInd w:val="0"/>
        <w:snapToGrid w:val="0"/>
        <w:spacing w:line="360" w:lineRule="auto"/>
        <w:ind w:firstLine="444" w:firstLineChars="200"/>
        <w:jc w:val="center"/>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企业名称（盖章）：</w:t>
      </w:r>
    </w:p>
    <w:p w14:paraId="2A24051C">
      <w:pPr>
        <w:widowControl/>
        <w:adjustRightInd w:val="0"/>
        <w:snapToGrid w:val="0"/>
        <w:spacing w:line="360" w:lineRule="auto"/>
        <w:ind w:firstLine="444" w:firstLineChars="200"/>
        <w:jc w:val="center"/>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 </w:t>
      </w:r>
    </w:p>
    <w:p w14:paraId="354D80FE">
      <w:pPr>
        <w:widowControl/>
        <w:adjustRightInd w:val="0"/>
        <w:snapToGrid w:val="0"/>
        <w:spacing w:line="360" w:lineRule="auto"/>
        <w:ind w:firstLine="444" w:firstLineChars="200"/>
        <w:jc w:val="center"/>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日 期：</w:t>
      </w:r>
    </w:p>
    <w:p w14:paraId="05CE84BB">
      <w:pPr>
        <w:widowControl/>
        <w:adjustRightInd w:val="0"/>
        <w:snapToGrid w:val="0"/>
        <w:spacing w:line="360" w:lineRule="auto"/>
        <w:ind w:firstLine="444" w:firstLineChars="200"/>
        <w:jc w:val="center"/>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 </w:t>
      </w:r>
    </w:p>
    <w:p w14:paraId="20BA7A49">
      <w:pPr>
        <w:widowControl/>
        <w:adjustRightInd w:val="0"/>
        <w:snapToGrid w:val="0"/>
        <w:spacing w:line="360" w:lineRule="auto"/>
        <w:ind w:firstLine="444" w:firstLineChars="200"/>
        <w:jc w:val="center"/>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  </w:t>
      </w:r>
    </w:p>
    <w:p w14:paraId="4BFED581">
      <w:pPr>
        <w:widowControl/>
        <w:adjustRightInd w:val="0"/>
        <w:snapToGrid w:val="0"/>
        <w:spacing w:line="360" w:lineRule="auto"/>
        <w:ind w:firstLine="444" w:firstLineChars="200"/>
        <w:jc w:val="both"/>
        <w:rPr>
          <w:rFonts w:hint="default" w:ascii="宋体" w:hAnsi="宋体" w:cs="宋体"/>
          <w:color w:val="auto"/>
          <w:spacing w:val="6"/>
          <w:kern w:val="0"/>
          <w:szCs w:val="21"/>
          <w:highlight w:val="none"/>
          <w:u w:val="none"/>
        </w:rPr>
      </w:pPr>
      <w:r>
        <w:rPr>
          <w:rFonts w:hint="eastAsia" w:ascii="宋体" w:hAnsi="宋体" w:cs="宋体"/>
          <w:color w:val="auto"/>
          <w:spacing w:val="6"/>
          <w:kern w:val="0"/>
          <w:szCs w:val="21"/>
          <w:highlight w:val="none"/>
          <w:u w:val="none"/>
          <w:lang w:val="en-US" w:eastAsia="zh-CN"/>
        </w:rPr>
        <w:t>              </w:t>
      </w:r>
    </w:p>
    <w:p w14:paraId="6CBD64DA">
      <w:pPr>
        <w:adjustRightInd w:val="0"/>
        <w:snapToGrid w:val="0"/>
        <w:spacing w:line="360" w:lineRule="auto"/>
        <w:ind w:firstLine="444" w:firstLineChars="200"/>
        <w:rPr>
          <w:rFonts w:ascii="宋体" w:hAnsi="宋体"/>
          <w:color w:val="auto"/>
          <w:highlight w:val="none"/>
        </w:rPr>
      </w:pPr>
      <w:r>
        <w:rPr>
          <w:rFonts w:hint="eastAsia" w:ascii="宋体" w:hAnsi="宋体" w:cs="宋体"/>
          <w:b/>
          <w:bCs/>
          <w:color w:val="auto"/>
          <w:spacing w:val="6"/>
          <w:kern w:val="0"/>
          <w:szCs w:val="21"/>
          <w:highlight w:val="none"/>
          <w:u w:val="none"/>
          <w:lang w:val="en-US" w:eastAsia="zh-CN"/>
        </w:rPr>
        <w:t>注：从业人员、营业收入、资产总额填报上一年度数据，无上一年度数据的新成立企业可不填报</w:t>
      </w:r>
      <w:r>
        <w:rPr>
          <w:rFonts w:hint="eastAsia" w:ascii="宋体" w:hAnsi="宋体"/>
          <w:color w:val="auto"/>
          <w:highlight w:val="none"/>
        </w:rPr>
        <w:t>。</w:t>
      </w:r>
    </w:p>
    <w:p w14:paraId="6E4B2578">
      <w:pPr>
        <w:adjustRightInd w:val="0"/>
        <w:snapToGrid w:val="0"/>
        <w:spacing w:line="360" w:lineRule="auto"/>
        <w:ind w:firstLine="420" w:firstLineChars="200"/>
        <w:jc w:val="left"/>
        <w:rPr>
          <w:rFonts w:ascii="宋体" w:hAnsi="宋体"/>
          <w:color w:val="auto"/>
          <w:szCs w:val="21"/>
          <w:highlight w:val="none"/>
        </w:rPr>
        <w:sectPr>
          <w:pgSz w:w="11906" w:h="16838"/>
          <w:pgMar w:top="1418" w:right="1418" w:bottom="1134" w:left="1418" w:header="851" w:footer="992" w:gutter="0"/>
          <w:pgNumType w:fmt="decimal"/>
          <w:cols w:space="720" w:num="1"/>
          <w:docGrid w:type="linesAndChars" w:linePitch="312" w:charSpace="0"/>
        </w:sectPr>
      </w:pPr>
    </w:p>
    <w:p w14:paraId="366D9F59">
      <w:pPr>
        <w:keepNext/>
        <w:keepLines/>
        <w:adjustRightInd w:val="0"/>
        <w:snapToGrid w:val="0"/>
        <w:spacing w:line="360" w:lineRule="auto"/>
        <w:outlineLvl w:val="2"/>
        <w:rPr>
          <w:rFonts w:ascii="宋体" w:hAnsi="宋体"/>
          <w:b/>
          <w:bCs/>
          <w:color w:val="auto"/>
          <w:spacing w:val="6"/>
          <w:szCs w:val="32"/>
          <w:highlight w:val="none"/>
        </w:rPr>
      </w:pPr>
      <w:bookmarkStart w:id="171" w:name="_Toc20023"/>
      <w:bookmarkStart w:id="172" w:name="_Toc107998054"/>
      <w:bookmarkStart w:id="173" w:name="_Toc62225534"/>
      <w:r>
        <w:rPr>
          <w:rFonts w:hint="eastAsia" w:ascii="宋体" w:hAnsi="宋体" w:cs="宋体"/>
          <w:b/>
          <w:bCs/>
          <w:color w:val="auto"/>
          <w:spacing w:val="6"/>
          <w:kern w:val="0"/>
          <w:szCs w:val="32"/>
          <w:highlight w:val="none"/>
        </w:rPr>
        <w:t>附件9-2</w:t>
      </w:r>
      <w:r>
        <w:rPr>
          <w:rFonts w:hint="eastAsia" w:ascii="宋体" w:hAnsi="宋体"/>
          <w:b/>
          <w:bCs/>
          <w:color w:val="auto"/>
          <w:spacing w:val="6"/>
          <w:szCs w:val="32"/>
          <w:highlight w:val="none"/>
        </w:rPr>
        <w:t>残疾人福利性单位声明函</w:t>
      </w:r>
      <w:bookmarkEnd w:id="171"/>
    </w:p>
    <w:p w14:paraId="7AD78FB5">
      <w:pPr>
        <w:adjustRightInd w:val="0"/>
        <w:snapToGrid w:val="0"/>
        <w:spacing w:line="360" w:lineRule="auto"/>
        <w:jc w:val="center"/>
        <w:rPr>
          <w:rFonts w:ascii="黑体" w:hAnsi="黑体" w:eastAsia="黑体"/>
          <w:b/>
          <w:color w:val="auto"/>
          <w:spacing w:val="6"/>
          <w:sz w:val="28"/>
          <w:szCs w:val="28"/>
          <w:highlight w:val="none"/>
        </w:rPr>
      </w:pPr>
      <w:r>
        <w:rPr>
          <w:rFonts w:hint="eastAsia" w:ascii="黑体" w:hAnsi="黑体" w:eastAsia="黑体"/>
          <w:b/>
          <w:color w:val="auto"/>
          <w:spacing w:val="6"/>
          <w:sz w:val="28"/>
          <w:szCs w:val="28"/>
          <w:highlight w:val="none"/>
        </w:rPr>
        <w:t>残疾人福利性单位声明函</w:t>
      </w:r>
    </w:p>
    <w:p w14:paraId="6B5D58F9">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56365DD2">
      <w:pPr>
        <w:adjustRightInd w:val="0"/>
        <w:snapToGrid w:val="0"/>
        <w:spacing w:line="360" w:lineRule="auto"/>
        <w:ind w:firstLine="444" w:firstLineChars="200"/>
        <w:rPr>
          <w:rFonts w:ascii="宋体" w:hAnsi="宋体"/>
          <w:color w:val="auto"/>
          <w:spacing w:val="6"/>
          <w:szCs w:val="21"/>
          <w:highlight w:val="none"/>
        </w:rPr>
      </w:pPr>
    </w:p>
    <w:p w14:paraId="1064B6BB">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 民政部 中国残疾人联合会关于促进残疾人就业政府采购政策的通知》（财库</w:t>
      </w:r>
      <w:r>
        <w:rPr>
          <w:rFonts w:hint="eastAsia" w:ascii="宋体" w:hAnsi="宋体"/>
          <w:color w:val="auto"/>
          <w:szCs w:val="21"/>
          <w:highlight w:val="none"/>
        </w:rPr>
        <w:t>〔2017〕141</w:t>
      </w:r>
      <w:r>
        <w:rPr>
          <w:rFonts w:hint="eastAsia" w:ascii="宋体" w:hAnsi="宋体"/>
          <w:color w:val="auto"/>
          <w:spacing w:val="6"/>
          <w:szCs w:val="21"/>
          <w:highlight w:val="none"/>
        </w:rPr>
        <w:t>号）的规定，本单位为符合条件的残疾人福利性单位，且本单位参加</w:t>
      </w:r>
      <w:r>
        <w:rPr>
          <w:rFonts w:hint="eastAsia" w:ascii="宋体" w:hAnsi="宋体"/>
          <w:color w:val="auto"/>
          <w:spacing w:val="6"/>
          <w:szCs w:val="21"/>
          <w:highlight w:val="none"/>
          <w:u w:val="single"/>
        </w:rPr>
        <w:t xml:space="preserve">             </w:t>
      </w:r>
      <w:r>
        <w:rPr>
          <w:rFonts w:hint="eastAsia" w:ascii="宋体" w:hAnsi="宋体"/>
          <w:color w:val="auto"/>
          <w:spacing w:val="6"/>
          <w:szCs w:val="21"/>
          <w:highlight w:val="none"/>
        </w:rPr>
        <w:t>单位的</w:t>
      </w:r>
      <w:r>
        <w:rPr>
          <w:rFonts w:hint="eastAsia" w:ascii="宋体" w:hAnsi="宋体"/>
          <w:color w:val="auto"/>
          <w:spacing w:val="6"/>
          <w:szCs w:val="21"/>
          <w:highlight w:val="none"/>
          <w:u w:val="single"/>
        </w:rPr>
        <w:t xml:space="preserve">               </w:t>
      </w:r>
      <w:r>
        <w:rPr>
          <w:rFonts w:hint="eastAsia" w:ascii="宋体" w:hAnsi="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2516299F">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14:paraId="2D828312">
      <w:pPr>
        <w:adjustRightInd w:val="0"/>
        <w:snapToGrid w:val="0"/>
        <w:spacing w:line="360" w:lineRule="auto"/>
        <w:ind w:firstLine="444" w:firstLineChars="200"/>
        <w:rPr>
          <w:rFonts w:ascii="宋体" w:hAnsi="宋体"/>
          <w:color w:val="auto"/>
          <w:spacing w:val="6"/>
          <w:szCs w:val="21"/>
          <w:highlight w:val="none"/>
        </w:rPr>
      </w:pPr>
    </w:p>
    <w:p w14:paraId="316A4817">
      <w:pPr>
        <w:adjustRightInd w:val="0"/>
        <w:snapToGrid w:val="0"/>
        <w:spacing w:line="360" w:lineRule="auto"/>
        <w:ind w:firstLine="444" w:firstLineChars="200"/>
        <w:rPr>
          <w:rFonts w:ascii="宋体" w:hAnsi="宋体"/>
          <w:color w:val="auto"/>
          <w:spacing w:val="6"/>
          <w:szCs w:val="21"/>
          <w:highlight w:val="none"/>
        </w:rPr>
      </w:pPr>
    </w:p>
    <w:p w14:paraId="11A1D32D">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单位名称（盖章）：</w:t>
      </w:r>
    </w:p>
    <w:p w14:paraId="24D905FA">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rPr>
      </w:pPr>
      <w:r>
        <w:rPr>
          <w:rFonts w:hint="eastAsia" w:ascii="宋体" w:hAnsi="宋体"/>
          <w:color w:val="auto"/>
          <w:spacing w:val="6"/>
          <w:szCs w:val="21"/>
          <w:highlight w:val="none"/>
        </w:rPr>
        <w:t xml:space="preserve">       日  期：</w:t>
      </w:r>
    </w:p>
    <w:p w14:paraId="14CBC49E">
      <w:pPr>
        <w:widowControl/>
        <w:adjustRightInd w:val="0"/>
        <w:snapToGrid w:val="0"/>
        <w:spacing w:line="360" w:lineRule="auto"/>
        <w:jc w:val="left"/>
        <w:rPr>
          <w:rFonts w:ascii="宋体" w:hAnsi="宋体" w:cs="宋体"/>
          <w:color w:val="auto"/>
          <w:kern w:val="0"/>
          <w:szCs w:val="21"/>
          <w:highlight w:val="none"/>
        </w:rPr>
        <w:sectPr>
          <w:pgSz w:w="11906" w:h="16838"/>
          <w:pgMar w:top="1418" w:right="1418" w:bottom="1134" w:left="1418" w:header="851" w:footer="992" w:gutter="0"/>
          <w:pgNumType w:fmt="decimal"/>
          <w:cols w:space="720" w:num="1"/>
          <w:docGrid w:type="linesAndChars" w:linePitch="312" w:charSpace="0"/>
        </w:sectPr>
      </w:pPr>
    </w:p>
    <w:p w14:paraId="17406471">
      <w:pPr>
        <w:keepNext/>
        <w:keepLines/>
        <w:adjustRightInd w:val="0"/>
        <w:snapToGrid w:val="0"/>
        <w:spacing w:line="360" w:lineRule="auto"/>
        <w:outlineLvl w:val="2"/>
        <w:rPr>
          <w:rFonts w:ascii="宋体" w:hAnsi="宋体"/>
          <w:b/>
          <w:bCs/>
          <w:color w:val="auto"/>
          <w:szCs w:val="21"/>
          <w:highlight w:val="none"/>
        </w:rPr>
      </w:pPr>
      <w:bookmarkStart w:id="174" w:name="_Toc30665"/>
      <w:r>
        <w:rPr>
          <w:rFonts w:hint="eastAsia" w:ascii="宋体" w:hAnsi="宋体" w:cs="宋体"/>
          <w:b/>
          <w:bCs/>
          <w:color w:val="auto"/>
          <w:kern w:val="0"/>
          <w:szCs w:val="21"/>
          <w:highlight w:val="none"/>
        </w:rPr>
        <w:t>附件9-3</w:t>
      </w:r>
      <w:r>
        <w:rPr>
          <w:rFonts w:hint="eastAsia" w:ascii="宋体" w:hAnsi="宋体"/>
          <w:b/>
          <w:bCs/>
          <w:color w:val="auto"/>
          <w:szCs w:val="21"/>
          <w:highlight w:val="none"/>
        </w:rPr>
        <w:t>监狱企业证明资料</w:t>
      </w:r>
      <w:bookmarkEnd w:id="174"/>
    </w:p>
    <w:p w14:paraId="309D3852">
      <w:pPr>
        <w:adjustRightInd w:val="0"/>
        <w:snapToGrid w:val="0"/>
        <w:spacing w:line="360" w:lineRule="auto"/>
        <w:jc w:val="center"/>
        <w:rPr>
          <w:rFonts w:ascii="黑体" w:hAnsi="宋体"/>
          <w:b/>
          <w:color w:val="auto"/>
          <w:sz w:val="28"/>
          <w:szCs w:val="28"/>
          <w:highlight w:val="none"/>
        </w:rPr>
      </w:pPr>
      <w:r>
        <w:rPr>
          <w:rFonts w:hint="eastAsia" w:ascii="黑体" w:hAnsi="宋体"/>
          <w:b/>
          <w:color w:val="auto"/>
          <w:sz w:val="28"/>
          <w:szCs w:val="28"/>
          <w:highlight w:val="none"/>
        </w:rPr>
        <w:t>监狱企业证明资料</w:t>
      </w:r>
    </w:p>
    <w:p w14:paraId="48F9E125">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(不符合政策要求的无需提供)</w:t>
      </w:r>
    </w:p>
    <w:p w14:paraId="3F3C11BF">
      <w:pPr>
        <w:adjustRightInd w:val="0"/>
        <w:snapToGrid w:val="0"/>
        <w:spacing w:line="360" w:lineRule="auto"/>
        <w:rPr>
          <w:rFonts w:ascii="宋体" w:hAnsi="宋体"/>
          <w:color w:val="auto"/>
          <w:szCs w:val="21"/>
          <w:highlight w:val="none"/>
        </w:rPr>
      </w:pPr>
    </w:p>
    <w:p w14:paraId="758D47D3">
      <w:pPr>
        <w:adjustRightInd w:val="0"/>
        <w:snapToGrid w:val="0"/>
        <w:spacing w:line="360" w:lineRule="auto"/>
        <w:ind w:firstLine="420" w:firstLineChars="200"/>
        <w:rPr>
          <w:rFonts w:ascii="宋体" w:hAnsi="宋体"/>
          <w:color w:val="auto"/>
          <w:szCs w:val="21"/>
          <w:highlight w:val="none"/>
        </w:rPr>
      </w:pPr>
      <w:r>
        <w:rPr>
          <w:rFonts w:hint="eastAsia" w:ascii="宋体" w:hAnsi="宋体" w:eastAsia="宋体"/>
          <w:b w:val="0"/>
          <w:bCs/>
          <w:color w:val="auto"/>
          <w:szCs w:val="21"/>
          <w:highlight w:val="none"/>
        </w:rPr>
        <w:t>注</w:t>
      </w:r>
      <w:r>
        <w:rPr>
          <w:rFonts w:hint="eastAsia" w:ascii="宋体" w:hAnsi="宋体" w:cs="宋体"/>
          <w:b w:val="0"/>
          <w:bCs/>
          <w:color w:val="auto"/>
          <w:spacing w:val="6"/>
          <w:kern w:val="0"/>
          <w:szCs w:val="21"/>
          <w:highlight w:val="none"/>
        </w:rPr>
        <w:t>：</w:t>
      </w:r>
      <w:r>
        <w:rPr>
          <w:rFonts w:hint="eastAsia" w:ascii="宋体" w:hAnsi="宋体"/>
          <w:b w:val="0"/>
          <w:bCs/>
          <w:color w:val="auto"/>
          <w:szCs w:val="21"/>
          <w:highlight w:val="none"/>
        </w:rPr>
        <w:t>按</w:t>
      </w:r>
      <w:r>
        <w:rPr>
          <w:rFonts w:hint="eastAsia" w:ascii="宋体" w:hAnsi="宋体"/>
          <w:b w:val="0"/>
          <w:bCs/>
          <w:color w:val="auto"/>
          <w:spacing w:val="6"/>
          <w:szCs w:val="21"/>
          <w:highlight w:val="none"/>
        </w:rPr>
        <w:t>《</w:t>
      </w:r>
      <w:r>
        <w:rPr>
          <w:rFonts w:hint="eastAsia" w:ascii="宋体" w:hAnsi="宋体"/>
          <w:color w:val="auto"/>
          <w:szCs w:val="21"/>
          <w:highlight w:val="none"/>
        </w:rPr>
        <w:t>财政部 司法部关于政府采购支持监狱企业发展有关问题的通知</w:t>
      </w:r>
      <w:r>
        <w:rPr>
          <w:rFonts w:hint="eastAsia" w:ascii="宋体" w:hAnsi="宋体"/>
          <w:color w:val="auto"/>
          <w:spacing w:val="6"/>
          <w:szCs w:val="21"/>
          <w:highlight w:val="none"/>
        </w:rPr>
        <w:t>》</w:t>
      </w:r>
      <w:r>
        <w:rPr>
          <w:rFonts w:hint="eastAsia" w:ascii="宋体" w:hAnsi="宋体"/>
          <w:color w:val="auto"/>
          <w:szCs w:val="21"/>
          <w:highlight w:val="none"/>
        </w:rPr>
        <w:t>(财库〔2014〕68号)文件规定提供证明文件（复印件）。</w:t>
      </w:r>
    </w:p>
    <w:p w14:paraId="204406A0">
      <w:pPr>
        <w:adjustRightInd w:val="0"/>
        <w:snapToGrid w:val="0"/>
        <w:spacing w:line="360" w:lineRule="auto"/>
        <w:ind w:firstLine="420" w:firstLineChars="200"/>
        <w:rPr>
          <w:rFonts w:ascii="宋体" w:hAnsi="宋体"/>
          <w:color w:val="auto"/>
          <w:szCs w:val="21"/>
          <w:highlight w:val="none"/>
        </w:rPr>
      </w:pPr>
    </w:p>
    <w:p w14:paraId="66FC29A8">
      <w:pPr>
        <w:adjustRightInd w:val="0"/>
        <w:snapToGrid w:val="0"/>
        <w:spacing w:line="360" w:lineRule="auto"/>
        <w:ind w:firstLine="420" w:firstLineChars="200"/>
        <w:rPr>
          <w:rFonts w:ascii="宋体" w:hAnsi="宋体"/>
          <w:color w:val="auto"/>
          <w:szCs w:val="21"/>
          <w:highlight w:val="none"/>
        </w:rPr>
        <w:sectPr>
          <w:pgSz w:w="11906" w:h="16838"/>
          <w:pgMar w:top="1418" w:right="1418" w:bottom="1134" w:left="1418" w:header="851" w:footer="992" w:gutter="0"/>
          <w:pgNumType w:fmt="decimal"/>
          <w:cols w:space="720" w:num="1"/>
          <w:docGrid w:type="linesAndChars" w:linePitch="312" w:charSpace="0"/>
        </w:sectPr>
      </w:pPr>
    </w:p>
    <w:p w14:paraId="2E27C773">
      <w:pPr>
        <w:keepNext/>
        <w:keepLines/>
        <w:adjustRightInd w:val="0"/>
        <w:snapToGrid w:val="0"/>
        <w:spacing w:line="360" w:lineRule="auto"/>
        <w:outlineLvl w:val="2"/>
        <w:rPr>
          <w:rFonts w:ascii="宋体" w:hAnsi="宋体"/>
          <w:b/>
          <w:bCs/>
          <w:color w:val="auto"/>
          <w:szCs w:val="21"/>
          <w:highlight w:val="none"/>
        </w:rPr>
      </w:pPr>
      <w:bookmarkStart w:id="175" w:name="_Toc11088"/>
      <w:bookmarkStart w:id="176" w:name="_Toc62225533"/>
      <w:bookmarkStart w:id="177" w:name="_Toc107998053"/>
      <w:r>
        <w:rPr>
          <w:rFonts w:hint="eastAsia" w:ascii="宋体" w:hAnsi="宋体" w:cs="宋体"/>
          <w:b/>
          <w:bCs/>
          <w:color w:val="auto"/>
          <w:spacing w:val="6"/>
          <w:kern w:val="0"/>
          <w:szCs w:val="21"/>
          <w:highlight w:val="none"/>
        </w:rPr>
        <w:t xml:space="preserve">附件9-4 </w:t>
      </w:r>
      <w:r>
        <w:rPr>
          <w:rFonts w:hint="eastAsia" w:ascii="宋体" w:hAnsi="宋体"/>
          <w:b/>
          <w:bCs/>
          <w:color w:val="auto"/>
          <w:szCs w:val="21"/>
          <w:highlight w:val="none"/>
        </w:rPr>
        <w:t>强制采购或者优先采购产品的证明材料</w:t>
      </w:r>
      <w:bookmarkEnd w:id="175"/>
      <w:bookmarkEnd w:id="176"/>
      <w:bookmarkEnd w:id="177"/>
    </w:p>
    <w:p w14:paraId="7B6DD86F">
      <w:pPr>
        <w:adjustRightInd w:val="0"/>
        <w:snapToGrid w:val="0"/>
        <w:spacing w:before="156"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强制采购或者优先采购产品</w:t>
      </w:r>
      <w:r>
        <w:rPr>
          <w:rFonts w:hint="eastAsia" w:ascii="黑体" w:hAnsi="黑体" w:eastAsia="黑体"/>
          <w:b/>
          <w:bCs/>
          <w:color w:val="auto"/>
          <w:sz w:val="28"/>
          <w:szCs w:val="28"/>
          <w:highlight w:val="none"/>
        </w:rPr>
        <w:t>的</w:t>
      </w:r>
      <w:r>
        <w:rPr>
          <w:rFonts w:hint="eastAsia" w:ascii="黑体" w:hAnsi="黑体" w:eastAsia="黑体"/>
          <w:b/>
          <w:color w:val="auto"/>
          <w:sz w:val="28"/>
          <w:szCs w:val="28"/>
          <w:highlight w:val="none"/>
        </w:rPr>
        <w:t>证明材料</w:t>
      </w:r>
    </w:p>
    <w:p w14:paraId="6A3E8B8C">
      <w:pPr>
        <w:adjustRightInd w:val="0"/>
        <w:snapToGrid w:val="0"/>
        <w:spacing w:before="156" w:beforeLines="50"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(不属于强制采购或者优先采购产品的无需提供)</w:t>
      </w:r>
    </w:p>
    <w:p w14:paraId="614B0601">
      <w:pPr>
        <w:adjustRightInd w:val="0"/>
        <w:snapToGrid w:val="0"/>
        <w:spacing w:line="360" w:lineRule="auto"/>
        <w:ind w:firstLine="420" w:firstLineChars="200"/>
        <w:jc w:val="left"/>
        <w:rPr>
          <w:rFonts w:ascii="宋体" w:hAnsi="宋体"/>
          <w:color w:val="auto"/>
          <w:szCs w:val="21"/>
          <w:highlight w:val="none"/>
        </w:rPr>
      </w:pPr>
    </w:p>
    <w:p w14:paraId="306AA3EE">
      <w:pPr>
        <w:adjustRightInd w:val="0"/>
        <w:snapToGrid w:val="0"/>
        <w:spacing w:line="360" w:lineRule="auto"/>
        <w:jc w:val="left"/>
        <w:rPr>
          <w:rFonts w:ascii="宋体" w:hAnsi="宋体"/>
          <w:color w:val="auto"/>
          <w:szCs w:val="21"/>
          <w:highlight w:val="none"/>
        </w:rPr>
      </w:pPr>
      <w:r>
        <w:rPr>
          <w:rFonts w:hint="eastAsia" w:ascii="宋体" w:hAnsi="宋体" w:eastAsia="宋体"/>
          <w:b w:val="0"/>
          <w:bCs/>
          <w:color w:val="auto"/>
          <w:szCs w:val="21"/>
          <w:highlight w:val="none"/>
        </w:rPr>
        <w:t>注</w:t>
      </w:r>
      <w:r>
        <w:rPr>
          <w:rFonts w:hint="eastAsia" w:ascii="宋体" w:hAnsi="宋体"/>
          <w:b w:val="0"/>
          <w:bCs/>
          <w:color w:val="auto"/>
          <w:szCs w:val="21"/>
          <w:highlight w:val="none"/>
        </w:rPr>
        <w:t>：</w:t>
      </w:r>
      <w:r>
        <w:rPr>
          <w:rFonts w:hint="eastAsia" w:ascii="宋体" w:hAnsi="宋体"/>
          <w:color w:val="auto"/>
          <w:szCs w:val="21"/>
          <w:highlight w:val="none"/>
        </w:rPr>
        <w:t>1</w:t>
      </w:r>
      <w:r>
        <w:rPr>
          <w:rFonts w:hint="eastAsia" w:ascii="宋体" w:hAnsi="宋体"/>
          <w:color w:val="auto"/>
          <w:szCs w:val="21"/>
          <w:highlight w:val="none"/>
          <w:lang w:val="en-US" w:eastAsia="zh-CN"/>
        </w:rPr>
        <w:t>.</w:t>
      </w:r>
      <w:r>
        <w:rPr>
          <w:rFonts w:hint="eastAsia" w:ascii="宋体" w:hAnsi="宋体"/>
          <w:color w:val="auto"/>
          <w:szCs w:val="21"/>
          <w:highlight w:val="none"/>
        </w:rPr>
        <w:t>供应商提供的产品</w:t>
      </w:r>
      <w:r>
        <w:rPr>
          <w:rFonts w:hint="eastAsia" w:ascii="宋体" w:hAnsi="宋体"/>
          <w:bCs/>
          <w:color w:val="auto"/>
          <w:szCs w:val="21"/>
          <w:highlight w:val="none"/>
        </w:rPr>
        <w:t>属于优先采购的</w:t>
      </w:r>
      <w:r>
        <w:rPr>
          <w:rFonts w:hint="eastAsia" w:ascii="宋体" w:hAnsi="宋体"/>
          <w:color w:val="auto"/>
          <w:szCs w:val="21"/>
          <w:highlight w:val="none"/>
        </w:rPr>
        <w:t>，应按第二章第4</w:t>
      </w:r>
      <w:r>
        <w:rPr>
          <w:rFonts w:hint="eastAsia" w:ascii="宋体" w:hAnsi="宋体"/>
          <w:color w:val="auto"/>
          <w:szCs w:val="21"/>
          <w:highlight w:val="none"/>
          <w:lang w:val="en-US" w:eastAsia="zh-CN"/>
        </w:rPr>
        <w:t>3</w:t>
      </w:r>
      <w:r>
        <w:rPr>
          <w:rFonts w:hint="eastAsia" w:ascii="宋体" w:hAnsi="宋体"/>
          <w:color w:val="auto"/>
          <w:szCs w:val="21"/>
          <w:highlight w:val="none"/>
        </w:rPr>
        <w:t>条规定提供证明材料和本章本节附页</w:t>
      </w:r>
      <w:r>
        <w:rPr>
          <w:rFonts w:hint="eastAsia" w:ascii="宋体" w:hAnsi="宋体"/>
          <w:color w:val="auto"/>
          <w:szCs w:val="21"/>
          <w:highlight w:val="none"/>
          <w:lang w:val="en-US" w:eastAsia="zh-CN"/>
        </w:rPr>
        <w:t>1</w:t>
      </w:r>
      <w:r>
        <w:rPr>
          <w:rFonts w:hint="eastAsia" w:ascii="宋体" w:hAnsi="宋体"/>
          <w:color w:val="auto"/>
          <w:szCs w:val="21"/>
          <w:highlight w:val="none"/>
        </w:rPr>
        <w:t>“优先采购产品清单”，并加盖供应商单位公章。</w:t>
      </w:r>
    </w:p>
    <w:p w14:paraId="7C14395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节能产品、环境标志产品(强制采购或者优先采购产品)认证证书内容</w:t>
      </w:r>
      <w:r>
        <w:rPr>
          <w:rFonts w:hint="eastAsia" w:ascii="宋体" w:hAnsi="宋体" w:eastAsia="宋体"/>
          <w:color w:val="auto"/>
          <w:szCs w:val="21"/>
          <w:highlight w:val="none"/>
        </w:rPr>
        <w:t>注明“详见证</w:t>
      </w:r>
      <w:r>
        <w:rPr>
          <w:rFonts w:hint="eastAsia" w:ascii="宋体" w:hAnsi="宋体"/>
          <w:color w:val="auto"/>
          <w:szCs w:val="21"/>
          <w:highlight w:val="none"/>
        </w:rPr>
        <w:t>书附件</w:t>
      </w:r>
      <w:r>
        <w:rPr>
          <w:rFonts w:hint="eastAsia" w:ascii="华文中宋" w:hAnsi="华文中宋" w:eastAsia="华文中宋"/>
          <w:color w:val="auto"/>
          <w:szCs w:val="21"/>
          <w:highlight w:val="none"/>
        </w:rPr>
        <w:t>”</w:t>
      </w:r>
      <w:r>
        <w:rPr>
          <w:rFonts w:hint="eastAsia" w:ascii="宋体" w:hAnsi="宋体"/>
          <w:color w:val="auto"/>
          <w:szCs w:val="21"/>
          <w:highlight w:val="none"/>
        </w:rPr>
        <w:t>的，应提供其附件，以证明认证证书与响应文件一致。</w:t>
      </w:r>
    </w:p>
    <w:p w14:paraId="6E3AFC4B">
      <w:pPr>
        <w:rPr>
          <w:rFonts w:hint="eastAsia" w:ascii="宋体" w:hAnsi="宋体" w:cs="宋体"/>
          <w:b/>
          <w:bCs/>
          <w:color w:val="auto"/>
          <w:spacing w:val="6"/>
          <w:kern w:val="0"/>
          <w:szCs w:val="21"/>
          <w:highlight w:val="none"/>
        </w:rPr>
      </w:pPr>
      <w:r>
        <w:rPr>
          <w:rFonts w:hint="eastAsia" w:ascii="宋体" w:hAnsi="宋体" w:cs="宋体"/>
          <w:b/>
          <w:bCs/>
          <w:color w:val="auto"/>
          <w:spacing w:val="6"/>
          <w:kern w:val="0"/>
          <w:szCs w:val="21"/>
          <w:highlight w:val="none"/>
        </w:rPr>
        <w:br w:type="page"/>
      </w:r>
    </w:p>
    <w:p w14:paraId="0EC6E87C">
      <w:pPr>
        <w:keepNext/>
        <w:keepLines/>
        <w:adjustRightInd w:val="0"/>
        <w:snapToGrid w:val="0"/>
        <w:spacing w:line="360" w:lineRule="auto"/>
        <w:outlineLvl w:val="3"/>
        <w:rPr>
          <w:rFonts w:ascii="宋体" w:hAnsi="宋体"/>
          <w:b/>
          <w:bCs/>
          <w:color w:val="auto"/>
          <w:szCs w:val="21"/>
          <w:highlight w:val="none"/>
        </w:rPr>
      </w:pPr>
      <w:r>
        <w:rPr>
          <w:rFonts w:hint="eastAsia" w:ascii="宋体" w:hAnsi="宋体" w:cs="宋体"/>
          <w:b/>
          <w:bCs/>
          <w:color w:val="auto"/>
          <w:spacing w:val="6"/>
          <w:kern w:val="0"/>
          <w:szCs w:val="21"/>
          <w:highlight w:val="none"/>
        </w:rPr>
        <w:t>附页1</w:t>
      </w:r>
      <w:r>
        <w:rPr>
          <w:rFonts w:hint="eastAsia" w:ascii="宋体" w:hAnsi="宋体"/>
          <w:b/>
          <w:bCs/>
          <w:color w:val="auto"/>
          <w:szCs w:val="21"/>
          <w:highlight w:val="none"/>
        </w:rPr>
        <w:t>优先采购产品清单</w:t>
      </w:r>
      <w:bookmarkEnd w:id="172"/>
      <w:bookmarkEnd w:id="173"/>
    </w:p>
    <w:p w14:paraId="57A8D92D">
      <w:pPr>
        <w:adjustRightInd w:val="0"/>
        <w:snapToGrid w:val="0"/>
        <w:spacing w:line="360" w:lineRule="auto"/>
        <w:jc w:val="center"/>
        <w:rPr>
          <w:rFonts w:ascii="宋体" w:hAnsi="宋体"/>
          <w:b/>
          <w:color w:val="auto"/>
          <w:spacing w:val="6"/>
          <w:szCs w:val="21"/>
          <w:highlight w:val="none"/>
        </w:rPr>
      </w:pPr>
      <w:r>
        <w:rPr>
          <w:rFonts w:hint="eastAsia" w:ascii="黑体" w:hAnsi="宋体" w:eastAsia="黑体"/>
          <w:b/>
          <w:color w:val="auto"/>
          <w:sz w:val="28"/>
          <w:szCs w:val="28"/>
          <w:highlight w:val="none"/>
        </w:rPr>
        <w:t>优先采购产品清单</w:t>
      </w:r>
    </w:p>
    <w:p w14:paraId="0F2DAE82">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 xml:space="preserve">政府采购计划编号: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2D2D8A7D">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包名称：</w:t>
      </w:r>
      <w:r>
        <w:rPr>
          <w:rFonts w:hint="eastAsia" w:ascii="宋体" w:hAnsi="宋体"/>
          <w:color w:val="auto"/>
          <w:szCs w:val="21"/>
          <w:highlight w:val="none"/>
          <w:u w:val="single"/>
        </w:rPr>
        <w:t xml:space="preserve">                   </w:t>
      </w:r>
    </w:p>
    <w:tbl>
      <w:tblPr>
        <w:tblStyle w:val="20"/>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2C65CE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6BDF097C">
            <w:pPr>
              <w:widowControl/>
              <w:adjustRightInd w:val="0"/>
              <w:snapToGrid w:val="0"/>
              <w:spacing w:line="360" w:lineRule="auto"/>
              <w:ind w:firstLine="480" w:firstLineChars="200"/>
              <w:jc w:val="left"/>
              <w:rPr>
                <w:rFonts w:ascii="黑体" w:hAnsi="黑体" w:eastAsia="黑体"/>
                <w:color w:val="auto"/>
                <w:kern w:val="0"/>
                <w:sz w:val="24"/>
                <w:highlight w:val="none"/>
              </w:rPr>
            </w:pPr>
            <w:r>
              <w:rPr>
                <w:rFonts w:hint="eastAsia" w:ascii="黑体" w:hAnsi="宋体" w:eastAsia="黑体"/>
                <w:color w:val="auto"/>
                <w:kern w:val="0"/>
                <w:sz w:val="24"/>
                <w:highlight w:val="none"/>
              </w:rPr>
              <w:t>以下为供应商提供的政府采购优先采购产品，供应商对本表的真实性负责。如有虚假，将依法承担相应责任。</w:t>
            </w:r>
          </w:p>
        </w:tc>
      </w:tr>
      <w:tr w14:paraId="01EEBC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7B2C60E7">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739" w:type="dxa"/>
            <w:vAlign w:val="center"/>
          </w:tcPr>
          <w:p w14:paraId="1790F710">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2</w:t>
            </w:r>
          </w:p>
        </w:tc>
        <w:tc>
          <w:tcPr>
            <w:tcW w:w="1134" w:type="dxa"/>
            <w:tcBorders>
              <w:right w:val="single" w:color="auto" w:sz="4" w:space="0"/>
            </w:tcBorders>
            <w:vAlign w:val="center"/>
          </w:tcPr>
          <w:p w14:paraId="3922A0D8">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3</w:t>
            </w:r>
          </w:p>
        </w:tc>
        <w:tc>
          <w:tcPr>
            <w:tcW w:w="1418" w:type="dxa"/>
            <w:tcBorders>
              <w:left w:val="single" w:color="auto" w:sz="4" w:space="0"/>
            </w:tcBorders>
            <w:vAlign w:val="center"/>
          </w:tcPr>
          <w:p w14:paraId="797599F9">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4</w:t>
            </w:r>
          </w:p>
        </w:tc>
        <w:tc>
          <w:tcPr>
            <w:tcW w:w="1984" w:type="dxa"/>
            <w:vAlign w:val="center"/>
          </w:tcPr>
          <w:p w14:paraId="339192AD">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5</w:t>
            </w:r>
          </w:p>
        </w:tc>
        <w:tc>
          <w:tcPr>
            <w:tcW w:w="1843" w:type="dxa"/>
            <w:vAlign w:val="center"/>
          </w:tcPr>
          <w:p w14:paraId="6F519869">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6</w:t>
            </w:r>
          </w:p>
        </w:tc>
      </w:tr>
      <w:tr w14:paraId="670FA9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37723309">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39" w:type="dxa"/>
            <w:vAlign w:val="center"/>
          </w:tcPr>
          <w:p w14:paraId="4FFE5B3E">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1134" w:type="dxa"/>
            <w:tcBorders>
              <w:right w:val="single" w:color="auto" w:sz="4" w:space="0"/>
            </w:tcBorders>
            <w:vAlign w:val="center"/>
          </w:tcPr>
          <w:p w14:paraId="4AAE693A">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规格型号</w:t>
            </w:r>
          </w:p>
        </w:tc>
        <w:tc>
          <w:tcPr>
            <w:tcW w:w="1418" w:type="dxa"/>
            <w:tcBorders>
              <w:left w:val="single" w:color="auto" w:sz="4" w:space="0"/>
            </w:tcBorders>
            <w:vAlign w:val="center"/>
          </w:tcPr>
          <w:p w14:paraId="5449CD85">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价格（元）</w:t>
            </w:r>
          </w:p>
        </w:tc>
        <w:tc>
          <w:tcPr>
            <w:tcW w:w="1984" w:type="dxa"/>
            <w:vAlign w:val="center"/>
          </w:tcPr>
          <w:p w14:paraId="35B157E6">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1843" w:type="dxa"/>
            <w:vAlign w:val="center"/>
          </w:tcPr>
          <w:p w14:paraId="057CC450">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政策功能编码</w:t>
            </w:r>
          </w:p>
        </w:tc>
      </w:tr>
      <w:tr w14:paraId="725CCB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725BD347">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节能产品</w:t>
            </w:r>
          </w:p>
        </w:tc>
      </w:tr>
      <w:tr w14:paraId="3E2F26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389BAA4">
            <w:pPr>
              <w:adjustRightInd w:val="0"/>
              <w:snapToGrid w:val="0"/>
              <w:spacing w:line="360" w:lineRule="auto"/>
              <w:jc w:val="center"/>
              <w:rPr>
                <w:rFonts w:ascii="宋体" w:hAnsi="宋体"/>
                <w:b/>
                <w:color w:val="auto"/>
                <w:szCs w:val="21"/>
                <w:highlight w:val="none"/>
              </w:rPr>
            </w:pPr>
          </w:p>
        </w:tc>
        <w:tc>
          <w:tcPr>
            <w:tcW w:w="1739" w:type="dxa"/>
            <w:vAlign w:val="center"/>
          </w:tcPr>
          <w:p w14:paraId="112D507D">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vAlign w:val="center"/>
          </w:tcPr>
          <w:p w14:paraId="71134580">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7D932544">
            <w:pPr>
              <w:adjustRightInd w:val="0"/>
              <w:snapToGrid w:val="0"/>
              <w:spacing w:line="360" w:lineRule="auto"/>
              <w:jc w:val="left"/>
              <w:rPr>
                <w:rFonts w:ascii="宋体" w:hAnsi="宋体"/>
                <w:b/>
                <w:color w:val="auto"/>
                <w:szCs w:val="21"/>
                <w:highlight w:val="none"/>
              </w:rPr>
            </w:pPr>
          </w:p>
        </w:tc>
        <w:tc>
          <w:tcPr>
            <w:tcW w:w="1984" w:type="dxa"/>
            <w:vAlign w:val="center"/>
          </w:tcPr>
          <w:p w14:paraId="5D7C5472">
            <w:pPr>
              <w:adjustRightInd w:val="0"/>
              <w:snapToGrid w:val="0"/>
              <w:spacing w:line="360" w:lineRule="auto"/>
              <w:jc w:val="center"/>
              <w:rPr>
                <w:rFonts w:ascii="宋体" w:hAnsi="宋体"/>
                <w:b/>
                <w:color w:val="auto"/>
                <w:szCs w:val="21"/>
                <w:highlight w:val="none"/>
              </w:rPr>
            </w:pPr>
          </w:p>
        </w:tc>
        <w:tc>
          <w:tcPr>
            <w:tcW w:w="1843" w:type="dxa"/>
            <w:vAlign w:val="top"/>
          </w:tcPr>
          <w:p w14:paraId="771F7818">
            <w:pPr>
              <w:adjustRightInd w:val="0"/>
              <w:snapToGrid w:val="0"/>
              <w:spacing w:line="360" w:lineRule="auto"/>
              <w:jc w:val="center"/>
              <w:rPr>
                <w:rFonts w:ascii="宋体" w:hAnsi="宋体"/>
                <w:b/>
                <w:color w:val="auto"/>
                <w:szCs w:val="21"/>
                <w:highlight w:val="none"/>
              </w:rPr>
            </w:pPr>
          </w:p>
        </w:tc>
      </w:tr>
      <w:tr w14:paraId="63B4FE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E16F155">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vAlign w:val="center"/>
          </w:tcPr>
          <w:p w14:paraId="7B6E2F48">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vAlign w:val="center"/>
          </w:tcPr>
          <w:p w14:paraId="59F3B880">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7D87662F">
            <w:pPr>
              <w:adjustRightInd w:val="0"/>
              <w:snapToGrid w:val="0"/>
              <w:spacing w:line="360" w:lineRule="auto"/>
              <w:jc w:val="left"/>
              <w:rPr>
                <w:rFonts w:ascii="宋体" w:hAnsi="宋体"/>
                <w:b/>
                <w:color w:val="auto"/>
                <w:szCs w:val="21"/>
                <w:highlight w:val="none"/>
              </w:rPr>
            </w:pPr>
          </w:p>
        </w:tc>
        <w:tc>
          <w:tcPr>
            <w:tcW w:w="1984" w:type="dxa"/>
            <w:vAlign w:val="center"/>
          </w:tcPr>
          <w:p w14:paraId="3BF54EF9">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vAlign w:val="top"/>
          </w:tcPr>
          <w:p w14:paraId="1C510AD6">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14:paraId="4C7F36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1E05536C">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环境标志产品</w:t>
            </w:r>
          </w:p>
        </w:tc>
      </w:tr>
      <w:tr w14:paraId="12661F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3F7574E">
            <w:pPr>
              <w:adjustRightInd w:val="0"/>
              <w:snapToGrid w:val="0"/>
              <w:spacing w:line="360" w:lineRule="auto"/>
              <w:jc w:val="center"/>
              <w:rPr>
                <w:rFonts w:ascii="宋体" w:hAnsi="宋体"/>
                <w:b/>
                <w:color w:val="auto"/>
                <w:szCs w:val="21"/>
                <w:highlight w:val="none"/>
              </w:rPr>
            </w:pPr>
          </w:p>
        </w:tc>
        <w:tc>
          <w:tcPr>
            <w:tcW w:w="1739" w:type="dxa"/>
            <w:vAlign w:val="center"/>
          </w:tcPr>
          <w:p w14:paraId="5CAEAE81">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vAlign w:val="center"/>
          </w:tcPr>
          <w:p w14:paraId="4DD38435">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7CEE77EE">
            <w:pPr>
              <w:adjustRightInd w:val="0"/>
              <w:snapToGrid w:val="0"/>
              <w:spacing w:line="360" w:lineRule="auto"/>
              <w:jc w:val="left"/>
              <w:rPr>
                <w:rFonts w:ascii="宋体" w:hAnsi="宋体"/>
                <w:b/>
                <w:color w:val="auto"/>
                <w:szCs w:val="21"/>
                <w:highlight w:val="none"/>
              </w:rPr>
            </w:pPr>
          </w:p>
        </w:tc>
        <w:tc>
          <w:tcPr>
            <w:tcW w:w="1984" w:type="dxa"/>
            <w:vAlign w:val="center"/>
          </w:tcPr>
          <w:p w14:paraId="47B333A5">
            <w:pPr>
              <w:adjustRightInd w:val="0"/>
              <w:snapToGrid w:val="0"/>
              <w:spacing w:line="360" w:lineRule="auto"/>
              <w:jc w:val="center"/>
              <w:rPr>
                <w:rFonts w:ascii="宋体" w:hAnsi="宋体"/>
                <w:b/>
                <w:color w:val="auto"/>
                <w:szCs w:val="21"/>
                <w:highlight w:val="none"/>
              </w:rPr>
            </w:pPr>
          </w:p>
        </w:tc>
        <w:tc>
          <w:tcPr>
            <w:tcW w:w="1843" w:type="dxa"/>
            <w:vAlign w:val="top"/>
          </w:tcPr>
          <w:p w14:paraId="48521C67">
            <w:pPr>
              <w:adjustRightInd w:val="0"/>
              <w:snapToGrid w:val="0"/>
              <w:spacing w:line="360" w:lineRule="auto"/>
              <w:jc w:val="center"/>
              <w:rPr>
                <w:rFonts w:ascii="宋体" w:hAnsi="宋体"/>
                <w:b/>
                <w:color w:val="auto"/>
                <w:szCs w:val="21"/>
                <w:highlight w:val="none"/>
              </w:rPr>
            </w:pPr>
          </w:p>
        </w:tc>
      </w:tr>
      <w:tr w14:paraId="68977C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25F18195">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vAlign w:val="center"/>
          </w:tcPr>
          <w:p w14:paraId="09FC7A1B">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vAlign w:val="center"/>
          </w:tcPr>
          <w:p w14:paraId="1CF4FCB4">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14:paraId="0B24AA70">
            <w:pPr>
              <w:adjustRightInd w:val="0"/>
              <w:snapToGrid w:val="0"/>
              <w:spacing w:line="360" w:lineRule="auto"/>
              <w:jc w:val="left"/>
              <w:rPr>
                <w:rFonts w:ascii="宋体" w:hAnsi="宋体"/>
                <w:b/>
                <w:color w:val="auto"/>
                <w:szCs w:val="21"/>
                <w:highlight w:val="none"/>
              </w:rPr>
            </w:pPr>
          </w:p>
        </w:tc>
        <w:tc>
          <w:tcPr>
            <w:tcW w:w="1984" w:type="dxa"/>
            <w:vAlign w:val="center"/>
          </w:tcPr>
          <w:p w14:paraId="1767A37A">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vAlign w:val="top"/>
          </w:tcPr>
          <w:p w14:paraId="30D00BDE">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bl>
    <w:p w14:paraId="23FDF453">
      <w:pPr>
        <w:adjustRightInd w:val="0"/>
        <w:snapToGrid w:val="0"/>
        <w:spacing w:line="360" w:lineRule="auto"/>
        <w:jc w:val="left"/>
        <w:rPr>
          <w:rFonts w:hint="eastAsia" w:ascii="宋体" w:hAnsi="宋体"/>
          <w:color w:val="auto"/>
          <w:szCs w:val="21"/>
          <w:highlight w:val="none"/>
        </w:rPr>
      </w:pPr>
      <w:r>
        <w:rPr>
          <w:rFonts w:hint="eastAsia" w:ascii="宋体" w:hAnsi="宋体" w:eastAsia="宋体"/>
          <w:b w:val="0"/>
          <w:bCs/>
          <w:color w:val="auto"/>
          <w:szCs w:val="21"/>
          <w:highlight w:val="none"/>
        </w:rPr>
        <w:t>注</w:t>
      </w:r>
      <w:r>
        <w:rPr>
          <w:rFonts w:hint="eastAsia" w:ascii="宋体" w:hAnsi="宋体"/>
          <w:b w:val="0"/>
          <w:bCs/>
          <w:color w:val="auto"/>
          <w:szCs w:val="21"/>
          <w:highlight w:val="none"/>
        </w:rPr>
        <w:t>：1</w:t>
      </w:r>
      <w:r>
        <w:rPr>
          <w:rFonts w:hint="eastAsia" w:ascii="宋体" w:hAnsi="宋体"/>
          <w:bCs/>
          <w:color w:val="auto"/>
          <w:szCs w:val="21"/>
          <w:highlight w:val="none"/>
          <w:lang w:val="en-US" w:eastAsia="zh-CN"/>
        </w:rPr>
        <w:t>.</w:t>
      </w:r>
      <w:r>
        <w:rPr>
          <w:rFonts w:hint="eastAsia" w:ascii="宋体" w:hAnsi="宋体"/>
          <w:color w:val="auto"/>
          <w:szCs w:val="21"/>
          <w:highlight w:val="none"/>
        </w:rPr>
        <w:t>本表用于计算政府采购优先采购产品（节能产品或者环境标志产品）的政府采购政策价格扣除。</w:t>
      </w:r>
    </w:p>
    <w:p w14:paraId="5E5AD8A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栏目4“价格”为综合单价，包含货物所有隐含的内容，如运输费、保险费、管理费和利润等。</w:t>
      </w:r>
    </w:p>
    <w:p w14:paraId="30DE7DCE">
      <w:pPr>
        <w:adjustRightInd w:val="0"/>
        <w:snapToGrid w:val="0"/>
        <w:spacing w:line="360" w:lineRule="auto"/>
        <w:ind w:left="0" w:leftChars="0" w:firstLine="420" w:firstLineChars="200"/>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w:t>
      </w:r>
      <w:r>
        <w:rPr>
          <w:rFonts w:hint="eastAsia" w:ascii="宋体" w:hAnsi="宋体"/>
          <w:color w:val="auto"/>
          <w:szCs w:val="21"/>
          <w:highlight w:val="none"/>
        </w:rPr>
        <w:t>栏目6“政策功能编码”是指货物的中国环境标志认证证书编号、中国节能标志认证证书号。</w:t>
      </w:r>
    </w:p>
    <w:p w14:paraId="034413F2">
      <w:pPr>
        <w:adjustRightInd w:val="0"/>
        <w:snapToGrid w:val="0"/>
        <w:spacing w:line="360" w:lineRule="auto"/>
        <w:ind w:left="0" w:leftChars="0"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w:t>
      </w:r>
      <w:r>
        <w:rPr>
          <w:rFonts w:hint="eastAsia" w:ascii="宋体" w:hAnsi="宋体"/>
          <w:color w:val="auto"/>
          <w:szCs w:val="21"/>
          <w:highlight w:val="none"/>
        </w:rPr>
        <w:t>货物同时属于节能产品、环境标志产品的，只需填写一种。</w:t>
      </w:r>
    </w:p>
    <w:p w14:paraId="6F0F67F2">
      <w:pPr>
        <w:adjustRightInd w:val="0"/>
        <w:snapToGrid w:val="0"/>
        <w:spacing w:line="360" w:lineRule="auto"/>
        <w:rPr>
          <w:rFonts w:ascii="宋体" w:hAnsi="宋体"/>
          <w:bCs/>
          <w:color w:val="auto"/>
          <w:szCs w:val="21"/>
          <w:highlight w:val="none"/>
        </w:rPr>
      </w:pPr>
    </w:p>
    <w:p w14:paraId="4C127B37">
      <w:pPr>
        <w:adjustRightInd w:val="0"/>
        <w:snapToGrid w:val="0"/>
        <w:spacing w:line="360" w:lineRule="auto"/>
        <w:rPr>
          <w:rFonts w:ascii="宋体" w:hAnsi="宋体"/>
          <w:color w:val="auto"/>
          <w:szCs w:val="21"/>
          <w:highlight w:val="none"/>
        </w:rPr>
      </w:pPr>
    </w:p>
    <w:p w14:paraId="51C959E7">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076B6B6A">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或者其委托代理人（签字或者印章）：</w:t>
      </w:r>
    </w:p>
    <w:p w14:paraId="63312547">
      <w:pPr>
        <w:rPr>
          <w:color w:val="auto"/>
          <w:highlight w:val="none"/>
        </w:rPr>
      </w:pPr>
      <w:r>
        <w:rPr>
          <w:rFonts w:hint="eastAsia"/>
          <w:color w:val="auto"/>
          <w:highlight w:val="none"/>
        </w:rPr>
        <w:t>日期：年月日</w:t>
      </w:r>
    </w:p>
    <w:p w14:paraId="1FEF4C82">
      <w:pPr>
        <w:rPr>
          <w:color w:val="auto"/>
          <w:highlight w:val="none"/>
        </w:rPr>
      </w:pPr>
    </w:p>
    <w:p w14:paraId="574E6D29">
      <w:pPr>
        <w:widowControl/>
        <w:jc w:val="left"/>
        <w:rPr>
          <w:rFonts w:ascii="宋体" w:hAnsi="宋体" w:cs="宋体"/>
          <w:b/>
          <w:bCs/>
          <w:color w:val="auto"/>
          <w:spacing w:val="6"/>
          <w:kern w:val="0"/>
          <w:szCs w:val="21"/>
          <w:highlight w:val="none"/>
        </w:rPr>
      </w:pPr>
      <w:r>
        <w:rPr>
          <w:rFonts w:ascii="宋体" w:hAnsi="宋体" w:cs="宋体"/>
          <w:color w:val="auto"/>
          <w:spacing w:val="6"/>
          <w:kern w:val="0"/>
          <w:szCs w:val="21"/>
          <w:highlight w:val="none"/>
        </w:rPr>
        <w:br w:type="page"/>
      </w:r>
    </w:p>
    <w:p w14:paraId="179AE4B5">
      <w:pPr>
        <w:keepNext/>
        <w:keepLines/>
        <w:spacing w:line="360" w:lineRule="auto"/>
        <w:jc w:val="center"/>
        <w:outlineLvl w:val="1"/>
        <w:rPr>
          <w:rFonts w:ascii="黑体" w:hAnsi="黑体" w:eastAsia="黑体"/>
          <w:b/>
          <w:bCs/>
          <w:color w:val="auto"/>
          <w:sz w:val="28"/>
          <w:szCs w:val="28"/>
          <w:highlight w:val="none"/>
        </w:rPr>
      </w:pPr>
      <w:bookmarkStart w:id="178" w:name="_Toc15988"/>
      <w:bookmarkStart w:id="179" w:name="_Toc107998055"/>
      <w:r>
        <w:rPr>
          <w:rFonts w:hint="eastAsia" w:ascii="黑体" w:hAnsi="黑体" w:eastAsia="黑体"/>
          <w:b/>
          <w:bCs/>
          <w:color w:val="auto"/>
          <w:sz w:val="28"/>
          <w:szCs w:val="28"/>
          <w:highlight w:val="none"/>
        </w:rPr>
        <w:t>十、响应标的符合谈判文件规定的证明文件</w:t>
      </w:r>
      <w:bookmarkEnd w:id="178"/>
      <w:bookmarkEnd w:id="179"/>
    </w:p>
    <w:p w14:paraId="5F154AAC">
      <w:pPr>
        <w:adjustRightInd w:val="0"/>
        <w:snapToGrid w:val="0"/>
        <w:spacing w:line="360" w:lineRule="auto"/>
        <w:rPr>
          <w:rFonts w:ascii="宋体" w:hAnsi="宋体"/>
          <w:color w:val="auto"/>
          <w:szCs w:val="21"/>
          <w:highlight w:val="none"/>
        </w:rPr>
      </w:pPr>
    </w:p>
    <w:p w14:paraId="327B9BC4">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注：提供第三章规定的证明材料复印件。</w:t>
      </w:r>
    </w:p>
    <w:p w14:paraId="20EE93AA">
      <w:pPr>
        <w:adjustRightInd w:val="0"/>
        <w:snapToGrid w:val="0"/>
        <w:spacing w:line="360" w:lineRule="auto"/>
        <w:rPr>
          <w:rFonts w:ascii="宋体" w:hAnsi="宋体"/>
          <w:color w:val="auto"/>
          <w:highlight w:val="none"/>
        </w:rPr>
        <w:sectPr>
          <w:pgSz w:w="11906" w:h="16838"/>
          <w:pgMar w:top="1418" w:right="1418" w:bottom="1134" w:left="1418" w:header="851" w:footer="992" w:gutter="0"/>
          <w:pgNumType w:fmt="decimal"/>
          <w:cols w:space="720" w:num="1"/>
          <w:docGrid w:type="linesAndChars" w:linePitch="312" w:charSpace="0"/>
        </w:sectPr>
      </w:pPr>
    </w:p>
    <w:p w14:paraId="2B0E8B9B">
      <w:pPr>
        <w:keepNext/>
        <w:keepLines/>
        <w:spacing w:line="360" w:lineRule="auto"/>
        <w:jc w:val="center"/>
        <w:outlineLvl w:val="1"/>
        <w:rPr>
          <w:rFonts w:ascii="黑体" w:hAnsi="黑体" w:eastAsia="黑体"/>
          <w:b/>
          <w:bCs/>
          <w:color w:val="auto"/>
          <w:sz w:val="28"/>
          <w:szCs w:val="28"/>
          <w:highlight w:val="none"/>
        </w:rPr>
      </w:pPr>
      <w:bookmarkStart w:id="180" w:name="_Toc107998056"/>
      <w:bookmarkStart w:id="181" w:name="_Toc142"/>
      <w:r>
        <w:rPr>
          <w:rFonts w:hint="eastAsia" w:ascii="黑体" w:hAnsi="黑体" w:eastAsia="黑体"/>
          <w:b/>
          <w:bCs/>
          <w:color w:val="auto"/>
          <w:sz w:val="28"/>
          <w:szCs w:val="28"/>
          <w:highlight w:val="none"/>
        </w:rPr>
        <w:t>十一、供应商认为需提供的其他资料</w:t>
      </w:r>
      <w:bookmarkEnd w:id="180"/>
      <w:bookmarkEnd w:id="181"/>
    </w:p>
    <w:p w14:paraId="3DE32234">
      <w:pPr>
        <w:adjustRightInd w:val="0"/>
        <w:snapToGrid w:val="0"/>
        <w:spacing w:before="156" w:beforeLines="50" w:line="360" w:lineRule="auto"/>
        <w:rPr>
          <w:rFonts w:ascii="宋体" w:hAnsi="宋体"/>
          <w:color w:val="auto"/>
          <w:highlight w:val="none"/>
        </w:rPr>
      </w:pPr>
    </w:p>
    <w:p w14:paraId="34AB66F2">
      <w:pPr>
        <w:adjustRightInd w:val="0"/>
        <w:snapToGrid w:val="0"/>
        <w:spacing w:before="156" w:beforeLines="50" w:line="360" w:lineRule="auto"/>
        <w:rPr>
          <w:rFonts w:ascii="宋体" w:hAnsi="宋体"/>
          <w:color w:val="auto"/>
          <w:highlight w:val="none"/>
        </w:rPr>
      </w:pPr>
      <w:r>
        <w:rPr>
          <w:rFonts w:hint="eastAsia" w:ascii="宋体" w:hAnsi="宋体"/>
          <w:color w:val="auto"/>
          <w:highlight w:val="none"/>
        </w:rPr>
        <w:t>注：供应商认为需提供的其他资料包括：</w:t>
      </w:r>
    </w:p>
    <w:p w14:paraId="1FA945B0">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lang w:val="en-US" w:eastAsia="zh-CN"/>
        </w:rPr>
        <w:t>1.</w:t>
      </w:r>
      <w:r>
        <w:rPr>
          <w:rFonts w:hint="eastAsia" w:ascii="宋体" w:hAnsi="宋体"/>
          <w:color w:val="auto"/>
          <w:highlight w:val="none"/>
        </w:rPr>
        <w:t>谈判文件第三章采购需求要求的其他资料；</w:t>
      </w:r>
    </w:p>
    <w:p w14:paraId="48C366BF">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lang w:val="en-US" w:eastAsia="zh-CN"/>
        </w:rPr>
        <w:t>2.</w:t>
      </w:r>
      <w:r>
        <w:rPr>
          <w:rFonts w:hint="eastAsia" w:ascii="宋体" w:hAnsi="宋体"/>
          <w:color w:val="auto"/>
          <w:highlight w:val="none"/>
        </w:rPr>
        <w:t>谈判文件要求的其他相关资料。</w:t>
      </w:r>
    </w:p>
    <w:p w14:paraId="6EAB06A7">
      <w:pPr>
        <w:adjustRightInd w:val="0"/>
        <w:snapToGrid w:val="0"/>
        <w:spacing w:before="156" w:beforeLines="50" w:line="360" w:lineRule="auto"/>
        <w:rPr>
          <w:rFonts w:ascii="宋体" w:hAnsi="宋体"/>
          <w:color w:val="auto"/>
          <w:highlight w:val="none"/>
        </w:rPr>
        <w:sectPr>
          <w:pgSz w:w="11906" w:h="16838"/>
          <w:pgMar w:top="1418" w:right="1418" w:bottom="1134" w:left="1418" w:header="851" w:footer="992" w:gutter="0"/>
          <w:pgNumType w:fmt="decimal"/>
          <w:cols w:space="720" w:num="1"/>
          <w:docGrid w:type="linesAndChars" w:linePitch="312" w:charSpace="0"/>
        </w:sectPr>
      </w:pPr>
    </w:p>
    <w:p w14:paraId="57615155">
      <w:pPr>
        <w:keepNext/>
        <w:keepLines/>
        <w:spacing w:line="360" w:lineRule="auto"/>
        <w:jc w:val="center"/>
        <w:outlineLvl w:val="1"/>
        <w:rPr>
          <w:rFonts w:ascii="Arial" w:hAnsi="Arial"/>
          <w:b/>
          <w:bCs/>
          <w:color w:val="auto"/>
          <w:sz w:val="32"/>
          <w:szCs w:val="32"/>
          <w:highlight w:val="none"/>
        </w:rPr>
      </w:pPr>
      <w:bookmarkStart w:id="182" w:name="_Toc107998057"/>
      <w:bookmarkStart w:id="183" w:name="_Toc31140"/>
      <w:r>
        <w:rPr>
          <w:rFonts w:hint="eastAsia" w:ascii="Arial" w:hAnsi="Arial"/>
          <w:b/>
          <w:bCs/>
          <w:color w:val="auto"/>
          <w:sz w:val="32"/>
          <w:szCs w:val="32"/>
          <w:highlight w:val="none"/>
        </w:rPr>
        <w:t>十二、最后报价</w:t>
      </w:r>
      <w:bookmarkEnd w:id="182"/>
      <w:bookmarkEnd w:id="183"/>
    </w:p>
    <w:p w14:paraId="139EC923">
      <w:pPr>
        <w:adjustRightInd w:val="0"/>
        <w:snapToGrid w:val="0"/>
        <w:spacing w:line="360" w:lineRule="auto"/>
        <w:rPr>
          <w:rFonts w:ascii="宋体" w:hAnsi="宋体"/>
          <w:color w:val="auto"/>
          <w:szCs w:val="21"/>
          <w:highlight w:val="none"/>
        </w:rPr>
      </w:pPr>
    </w:p>
    <w:p w14:paraId="1E0AA86A">
      <w:pPr>
        <w:keepNext/>
        <w:keepLines/>
        <w:adjustRightInd w:val="0"/>
        <w:snapToGrid w:val="0"/>
        <w:spacing w:before="156" w:beforeLines="50" w:line="360" w:lineRule="auto"/>
        <w:outlineLvl w:val="2"/>
        <w:rPr>
          <w:rFonts w:ascii="宋体" w:hAnsi="宋体"/>
          <w:b/>
          <w:bCs/>
          <w:color w:val="auto"/>
          <w:szCs w:val="21"/>
          <w:highlight w:val="none"/>
        </w:rPr>
      </w:pPr>
      <w:bookmarkStart w:id="184" w:name="_Toc107998058"/>
      <w:bookmarkStart w:id="185" w:name="_Toc108015410"/>
      <w:bookmarkStart w:id="186" w:name="_Toc31330"/>
      <w:r>
        <w:rPr>
          <w:rFonts w:hint="eastAsia" w:ascii="宋体" w:hAnsi="宋体"/>
          <w:b/>
          <w:bCs/>
          <w:color w:val="auto"/>
          <w:szCs w:val="21"/>
          <w:highlight w:val="none"/>
        </w:rPr>
        <w:t>附件</w:t>
      </w:r>
      <w:r>
        <w:rPr>
          <w:rFonts w:ascii="宋体" w:hAnsi="宋体"/>
          <w:b/>
          <w:bCs/>
          <w:color w:val="auto"/>
          <w:szCs w:val="21"/>
          <w:highlight w:val="none"/>
        </w:rPr>
        <w:t>12</w:t>
      </w:r>
      <w:r>
        <w:rPr>
          <w:rFonts w:hint="eastAsia" w:ascii="宋体" w:hAnsi="宋体"/>
          <w:b/>
          <w:bCs/>
          <w:color w:val="auto"/>
          <w:szCs w:val="21"/>
          <w:highlight w:val="none"/>
        </w:rPr>
        <w:t>-1 报价表</w:t>
      </w:r>
      <w:bookmarkEnd w:id="184"/>
      <w:bookmarkEnd w:id="185"/>
      <w:bookmarkEnd w:id="186"/>
    </w:p>
    <w:p w14:paraId="07298A28">
      <w:pPr>
        <w:tabs>
          <w:tab w:val="left" w:pos="1680"/>
        </w:tabs>
        <w:adjustRightInd w:val="0"/>
        <w:snapToGrid w:val="0"/>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报价表（最后报价）</w:t>
      </w:r>
    </w:p>
    <w:p w14:paraId="56901569">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423DC057">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2"/>
        <w:tblW w:w="8699" w:type="dxa"/>
        <w:tblInd w:w="4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09"/>
        <w:gridCol w:w="3090"/>
      </w:tblGrid>
      <w:tr w14:paraId="38955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609" w:type="dxa"/>
            <w:tcBorders>
              <w:bottom w:val="single" w:color="000000" w:sz="4" w:space="0"/>
              <w:right w:val="single" w:color="000000" w:sz="4" w:space="0"/>
            </w:tcBorders>
            <w:vAlign w:val="top"/>
          </w:tcPr>
          <w:p w14:paraId="1CD68AC6">
            <w:pPr>
              <w:pStyle w:val="41"/>
              <w:spacing w:before="290" w:line="226" w:lineRule="auto"/>
              <w:ind w:left="2638"/>
              <w:rPr>
                <w:color w:val="auto"/>
              </w:rPr>
            </w:pPr>
            <w:r>
              <w:rPr>
                <w:b/>
                <w:bCs/>
                <w:color w:val="auto"/>
                <w:spacing w:val="4"/>
              </w:rPr>
              <w:t>报价</w:t>
            </w:r>
          </w:p>
        </w:tc>
        <w:tc>
          <w:tcPr>
            <w:tcW w:w="3090" w:type="dxa"/>
            <w:tcBorders>
              <w:left w:val="single" w:color="000000" w:sz="4" w:space="0"/>
              <w:bottom w:val="single" w:color="000000" w:sz="4" w:space="0"/>
            </w:tcBorders>
            <w:vAlign w:val="top"/>
          </w:tcPr>
          <w:p w14:paraId="2A0EE279">
            <w:pPr>
              <w:pStyle w:val="41"/>
              <w:spacing w:before="289" w:line="228" w:lineRule="auto"/>
              <w:ind w:left="1143"/>
              <w:rPr>
                <w:color w:val="auto"/>
              </w:rPr>
            </w:pPr>
            <w:r>
              <w:rPr>
                <w:b/>
                <w:bCs/>
                <w:color w:val="auto"/>
                <w:spacing w:val="6"/>
              </w:rPr>
              <w:t>其他内容</w:t>
            </w:r>
          </w:p>
        </w:tc>
      </w:tr>
      <w:tr w14:paraId="5DA7F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5609" w:type="dxa"/>
            <w:tcBorders>
              <w:top w:val="single" w:color="000000" w:sz="4" w:space="0"/>
              <w:right w:val="single" w:color="000000" w:sz="4" w:space="0"/>
            </w:tcBorders>
            <w:vAlign w:val="top"/>
          </w:tcPr>
          <w:p w14:paraId="43BCE4F1">
            <w:pPr>
              <w:pStyle w:val="41"/>
              <w:spacing w:before="187" w:line="506" w:lineRule="auto"/>
              <w:ind w:left="931" w:right="925" w:firstLine="55"/>
              <w:rPr>
                <w:color w:val="auto"/>
              </w:rPr>
            </w:pPr>
            <w:r>
              <w:rPr>
                <w:color w:val="auto"/>
                <w:spacing w:val="10"/>
              </w:rPr>
              <w:t>小写金额</w:t>
            </w:r>
            <w:r>
              <w:rPr>
                <w:color w:val="auto"/>
                <w:spacing w:val="-2"/>
              </w:rPr>
              <w:t>：</w:t>
            </w:r>
            <w:r>
              <w:rPr>
                <w:color w:val="auto"/>
                <w:spacing w:val="4"/>
                <w:u w:val="single" w:color="auto"/>
              </w:rPr>
              <w:t xml:space="preserve">              </w:t>
            </w:r>
            <w:r>
              <w:rPr>
                <w:color w:val="auto"/>
                <w:spacing w:val="-2"/>
              </w:rPr>
              <w:t>（</w:t>
            </w:r>
            <w:r>
              <w:rPr>
                <w:color w:val="auto"/>
                <w:spacing w:val="10"/>
                <w:sz w:val="19"/>
                <w:szCs w:val="19"/>
              </w:rPr>
              <w:t>人民币元</w:t>
            </w:r>
            <w:r>
              <w:rPr>
                <w:color w:val="auto"/>
                <w:spacing w:val="10"/>
              </w:rPr>
              <w:t>）</w:t>
            </w:r>
            <w:r>
              <w:rPr>
                <w:color w:val="auto"/>
                <w:spacing w:val="13"/>
              </w:rPr>
              <w:t xml:space="preserve"> </w:t>
            </w:r>
            <w:r>
              <w:rPr>
                <w:color w:val="auto"/>
                <w:spacing w:val="9"/>
              </w:rPr>
              <w:t>大写金额</w:t>
            </w:r>
            <w:r>
              <w:rPr>
                <w:color w:val="auto"/>
                <w:spacing w:val="-1"/>
              </w:rPr>
              <w:t>：</w:t>
            </w:r>
            <w:r>
              <w:rPr>
                <w:color w:val="auto"/>
                <w:spacing w:val="5"/>
                <w:u w:val="single" w:color="auto"/>
              </w:rPr>
              <w:t xml:space="preserve">               </w:t>
            </w:r>
            <w:r>
              <w:rPr>
                <w:color w:val="auto"/>
                <w:spacing w:val="-1"/>
              </w:rPr>
              <w:t>（</w:t>
            </w:r>
            <w:r>
              <w:rPr>
                <w:color w:val="auto"/>
                <w:spacing w:val="9"/>
                <w:sz w:val="19"/>
                <w:szCs w:val="19"/>
              </w:rPr>
              <w:t>人民币元</w:t>
            </w:r>
            <w:r>
              <w:rPr>
                <w:color w:val="auto"/>
                <w:spacing w:val="9"/>
              </w:rPr>
              <w:t>）</w:t>
            </w:r>
          </w:p>
          <w:p w14:paraId="1898698B">
            <w:pPr>
              <w:pStyle w:val="41"/>
              <w:spacing w:before="36" w:line="219" w:lineRule="auto"/>
              <w:ind w:left="135"/>
              <w:rPr>
                <w:color w:val="auto"/>
              </w:rPr>
            </w:pPr>
            <w:r>
              <w:rPr>
                <w:color w:val="auto"/>
                <w:spacing w:val="-1"/>
              </w:rPr>
              <w:t>（</w:t>
            </w:r>
            <w:r>
              <w:rPr>
                <w:color w:val="auto"/>
                <w:spacing w:val="-1"/>
                <w:sz w:val="24"/>
                <w:szCs w:val="24"/>
              </w:rPr>
              <w:t>大写金额与小写金额不一致时，以大写金额为准</w:t>
            </w:r>
            <w:r>
              <w:rPr>
                <w:color w:val="auto"/>
                <w:spacing w:val="-1"/>
              </w:rPr>
              <w:t>）</w:t>
            </w:r>
          </w:p>
        </w:tc>
        <w:tc>
          <w:tcPr>
            <w:tcW w:w="3090" w:type="dxa"/>
            <w:tcBorders>
              <w:top w:val="single" w:color="000000" w:sz="4" w:space="0"/>
              <w:left w:val="single" w:color="000000" w:sz="4" w:space="0"/>
            </w:tcBorders>
            <w:vAlign w:val="top"/>
          </w:tcPr>
          <w:p w14:paraId="57DFA9CA">
            <w:pPr>
              <w:rPr>
                <w:rFonts w:ascii="Arial"/>
                <w:color w:val="auto"/>
                <w:sz w:val="21"/>
              </w:rPr>
            </w:pPr>
          </w:p>
        </w:tc>
      </w:tr>
    </w:tbl>
    <w:p w14:paraId="7AEE5FD6">
      <w:pPr>
        <w:adjustRightInd w:val="0"/>
        <w:snapToGrid w:val="0"/>
        <w:spacing w:before="156" w:beforeLines="50" w:line="360" w:lineRule="auto"/>
        <w:rPr>
          <w:rFonts w:ascii="宋体" w:hAnsi="宋体"/>
          <w:color w:val="auto"/>
          <w:szCs w:val="21"/>
          <w:highlight w:val="none"/>
        </w:rPr>
      </w:pPr>
      <w:r>
        <w:rPr>
          <w:rFonts w:hint="eastAsia" w:ascii="宋体" w:hAnsi="宋体"/>
          <w:b w:val="0"/>
          <w:bCs/>
          <w:color w:val="auto"/>
          <w:szCs w:val="21"/>
          <w:highlight w:val="none"/>
        </w:rPr>
        <w:t>注：本</w:t>
      </w:r>
      <w:r>
        <w:rPr>
          <w:rFonts w:hint="eastAsia" w:ascii="宋体" w:hAnsi="宋体"/>
          <w:color w:val="auto"/>
          <w:szCs w:val="21"/>
          <w:highlight w:val="none"/>
        </w:rPr>
        <w:t>表须按包填写，一个“包号”一份。</w:t>
      </w:r>
    </w:p>
    <w:p w14:paraId="52A2724E">
      <w:pPr>
        <w:adjustRightInd w:val="0"/>
        <w:snapToGrid w:val="0"/>
        <w:spacing w:before="156" w:beforeLines="50" w:line="360" w:lineRule="auto"/>
        <w:ind w:firstLine="420" w:firstLineChars="200"/>
        <w:rPr>
          <w:rFonts w:ascii="宋体" w:hAnsi="宋体"/>
          <w:color w:val="auto"/>
          <w:szCs w:val="21"/>
          <w:highlight w:val="none"/>
        </w:rPr>
      </w:pPr>
    </w:p>
    <w:p w14:paraId="55D9E05D">
      <w:pPr>
        <w:adjustRightInd w:val="0"/>
        <w:snapToGrid w:val="0"/>
        <w:spacing w:before="156" w:beforeLines="50" w:line="360" w:lineRule="auto"/>
        <w:ind w:firstLine="420" w:firstLineChars="200"/>
        <w:rPr>
          <w:rFonts w:ascii="宋体" w:hAnsi="宋体"/>
          <w:color w:val="auto"/>
          <w:szCs w:val="21"/>
          <w:highlight w:val="none"/>
        </w:rPr>
      </w:pPr>
    </w:p>
    <w:p w14:paraId="647B8A9D">
      <w:pPr>
        <w:adjustRightInd w:val="0"/>
        <w:snapToGrid w:val="0"/>
        <w:spacing w:before="156" w:beforeLines="50" w:line="360" w:lineRule="auto"/>
        <w:ind w:firstLine="420" w:firstLineChars="200"/>
        <w:rPr>
          <w:rFonts w:ascii="宋体" w:hAnsi="宋体"/>
          <w:color w:val="auto"/>
          <w:szCs w:val="21"/>
          <w:highlight w:val="none"/>
        </w:rPr>
      </w:pPr>
    </w:p>
    <w:p w14:paraId="773897D6">
      <w:pPr>
        <w:adjustRightInd w:val="0"/>
        <w:snapToGrid w:val="0"/>
        <w:spacing w:line="360" w:lineRule="auto"/>
        <w:rPr>
          <w:rFonts w:ascii="宋体" w:hAnsi="宋体"/>
          <w:color w:val="auto"/>
          <w:szCs w:val="21"/>
          <w:highlight w:val="none"/>
        </w:rPr>
      </w:pPr>
    </w:p>
    <w:p w14:paraId="64E32A7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07BDB6C6">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18D6F79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28BB65A5">
      <w:pPr>
        <w:adjustRightInd w:val="0"/>
        <w:snapToGrid w:val="0"/>
        <w:spacing w:line="360" w:lineRule="auto"/>
        <w:rPr>
          <w:rFonts w:ascii="宋体" w:hAnsi="宋体" w:cs="宋体"/>
          <w:color w:val="auto"/>
          <w:szCs w:val="21"/>
          <w:highlight w:val="none"/>
        </w:rPr>
      </w:pPr>
    </w:p>
    <w:p w14:paraId="1B8E086F">
      <w:pPr>
        <w:adjustRightInd w:val="0"/>
        <w:snapToGrid w:val="0"/>
        <w:spacing w:line="360" w:lineRule="auto"/>
        <w:ind w:left="-88" w:leftChars="-42" w:firstLine="525" w:firstLineChars="250"/>
        <w:rPr>
          <w:rFonts w:ascii="宋体" w:hAnsi="宋体" w:cs="宋体"/>
          <w:color w:val="auto"/>
          <w:kern w:val="0"/>
          <w:szCs w:val="21"/>
          <w:highlight w:val="none"/>
        </w:rPr>
      </w:pPr>
    </w:p>
    <w:p w14:paraId="430D9108">
      <w:pPr>
        <w:adjustRightInd w:val="0"/>
        <w:snapToGrid w:val="0"/>
        <w:spacing w:line="360" w:lineRule="auto"/>
        <w:ind w:left="-88" w:leftChars="-42" w:firstLine="525" w:firstLineChars="250"/>
        <w:rPr>
          <w:rFonts w:ascii="宋体" w:hAnsi="宋体" w:cs="宋体"/>
          <w:color w:val="auto"/>
          <w:kern w:val="0"/>
          <w:szCs w:val="21"/>
          <w:highlight w:val="none"/>
        </w:rPr>
      </w:pPr>
    </w:p>
    <w:p w14:paraId="2C8EBE64">
      <w:pPr>
        <w:adjustRightInd w:val="0"/>
        <w:snapToGrid w:val="0"/>
        <w:spacing w:line="360" w:lineRule="auto"/>
        <w:ind w:left="-88" w:leftChars="-42" w:firstLine="525" w:firstLineChars="25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说明</w:t>
      </w:r>
      <w:r>
        <w:rPr>
          <w:rFonts w:hint="eastAsia" w:ascii="宋体" w:hAnsi="宋体" w:cs="宋体"/>
          <w:color w:val="auto"/>
          <w:kern w:val="0"/>
          <w:szCs w:val="21"/>
          <w:highlight w:val="none"/>
        </w:rPr>
        <w:t>：最后报价</w:t>
      </w:r>
      <w:r>
        <w:rPr>
          <w:rFonts w:hint="eastAsia" w:ascii="宋体" w:hAnsi="宋体" w:cs="宋体"/>
          <w:color w:val="auto"/>
          <w:kern w:val="0"/>
          <w:szCs w:val="21"/>
          <w:highlight w:val="none"/>
          <w:lang w:val="en-US" w:eastAsia="zh-CN"/>
        </w:rPr>
        <w:t>相关内容和</w:t>
      </w:r>
      <w:r>
        <w:rPr>
          <w:rFonts w:hint="eastAsia" w:ascii="宋体" w:hAnsi="宋体" w:cs="宋体"/>
          <w:color w:val="auto"/>
          <w:kern w:val="0"/>
          <w:szCs w:val="21"/>
          <w:highlight w:val="none"/>
        </w:rPr>
        <w:t>表格不得装订在响应文件中，供应商需单独准备，谈判现场进行最后报价。</w:t>
      </w:r>
    </w:p>
    <w:p w14:paraId="1EFE1D6C">
      <w:pPr>
        <w:rPr>
          <w:rFonts w:hint="eastAsia" w:ascii="宋体" w:hAnsi="宋体" w:cs="宋体"/>
          <w:color w:val="auto"/>
          <w:kern w:val="0"/>
          <w:szCs w:val="21"/>
          <w:highlight w:val="none"/>
        </w:rPr>
      </w:pPr>
      <w:r>
        <w:rPr>
          <w:rFonts w:hint="eastAsia" w:ascii="宋体" w:hAnsi="宋体" w:cs="宋体"/>
          <w:color w:val="auto"/>
          <w:kern w:val="0"/>
          <w:szCs w:val="21"/>
          <w:highlight w:val="none"/>
        </w:rPr>
        <w:br w:type="page"/>
      </w:r>
    </w:p>
    <w:p w14:paraId="4343A16D">
      <w:pPr>
        <w:adjustRightInd w:val="0"/>
        <w:snapToGrid w:val="0"/>
        <w:spacing w:before="156" w:beforeLines="50" w:line="360" w:lineRule="auto"/>
        <w:jc w:val="center"/>
        <w:rPr>
          <w:rFonts w:hint="eastAsia" w:ascii="黑体" w:hAnsi="宋体" w:eastAsia="黑体" w:cs="微软雅黑"/>
          <w:b/>
          <w:color w:val="auto"/>
          <w:spacing w:val="-2"/>
          <w:kern w:val="0"/>
          <w:position w:val="-3"/>
          <w:sz w:val="28"/>
          <w:szCs w:val="28"/>
          <w:highlight w:val="none"/>
        </w:rPr>
      </w:pPr>
    </w:p>
    <w:p w14:paraId="18DD8E7B">
      <w:pPr>
        <w:adjustRightInd w:val="0"/>
        <w:snapToGrid w:val="0"/>
        <w:spacing w:before="156" w:beforeLines="50" w:line="360" w:lineRule="auto"/>
        <w:jc w:val="center"/>
        <w:rPr>
          <w:rFonts w:hint="eastAsia" w:ascii="黑体" w:hAnsi="宋体" w:eastAsia="黑体" w:cs="微软雅黑"/>
          <w:b/>
          <w:color w:val="auto"/>
          <w:kern w:val="0"/>
          <w:position w:val="-3"/>
          <w:sz w:val="28"/>
          <w:szCs w:val="28"/>
          <w:highlight w:val="none"/>
          <w:lang w:eastAsia="zh-CN"/>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r>
        <w:rPr>
          <w:rFonts w:hint="eastAsia" w:ascii="黑体" w:hAnsi="宋体" w:eastAsia="黑体" w:cs="微软雅黑"/>
          <w:b/>
          <w:color w:val="auto"/>
          <w:kern w:val="0"/>
          <w:position w:val="-3"/>
          <w:sz w:val="28"/>
          <w:szCs w:val="28"/>
          <w:highlight w:val="none"/>
          <w:lang w:eastAsia="zh-CN"/>
        </w:rPr>
        <w:t>（</w:t>
      </w:r>
      <w:r>
        <w:rPr>
          <w:rFonts w:hint="eastAsia" w:ascii="黑体" w:hAnsi="宋体" w:eastAsia="黑体" w:cs="微软雅黑"/>
          <w:b/>
          <w:color w:val="auto"/>
          <w:kern w:val="0"/>
          <w:position w:val="-3"/>
          <w:sz w:val="28"/>
          <w:szCs w:val="28"/>
          <w:highlight w:val="none"/>
          <w:lang w:val="en-US" w:eastAsia="zh-CN"/>
        </w:rPr>
        <w:t>最后报价</w:t>
      </w:r>
      <w:r>
        <w:rPr>
          <w:rFonts w:hint="eastAsia" w:ascii="黑体" w:hAnsi="宋体" w:eastAsia="黑体" w:cs="微软雅黑"/>
          <w:b/>
          <w:color w:val="auto"/>
          <w:kern w:val="0"/>
          <w:position w:val="-3"/>
          <w:sz w:val="28"/>
          <w:szCs w:val="28"/>
          <w:highlight w:val="none"/>
          <w:lang w:eastAsia="zh-CN"/>
        </w:rPr>
        <w:t>）</w:t>
      </w:r>
    </w:p>
    <w:p w14:paraId="79865681">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政府采购计划编号：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14:paraId="69233797">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2"/>
        <w:tblW w:w="909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3"/>
        <w:gridCol w:w="1222"/>
        <w:gridCol w:w="2050"/>
        <w:gridCol w:w="1400"/>
        <w:gridCol w:w="1257"/>
        <w:gridCol w:w="930"/>
        <w:gridCol w:w="937"/>
        <w:gridCol w:w="947"/>
      </w:tblGrid>
      <w:tr w14:paraId="1E849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1575" w:type="dxa"/>
            <w:gridSpan w:val="2"/>
            <w:vMerge w:val="restart"/>
            <w:tcBorders>
              <w:top w:val="single" w:color="000000" w:sz="2" w:space="0"/>
              <w:left w:val="single" w:color="000000" w:sz="2" w:space="0"/>
              <w:bottom w:val="nil"/>
            </w:tcBorders>
            <w:vAlign w:val="top"/>
          </w:tcPr>
          <w:p w14:paraId="6F205989">
            <w:pPr>
              <w:spacing w:line="385" w:lineRule="auto"/>
              <w:jc w:val="center"/>
              <w:rPr>
                <w:rFonts w:ascii="Arial"/>
                <w:color w:val="auto"/>
                <w:sz w:val="21"/>
              </w:rPr>
            </w:pPr>
          </w:p>
          <w:p w14:paraId="1C44C6BA">
            <w:pPr>
              <w:pStyle w:val="41"/>
              <w:spacing w:before="65" w:line="227" w:lineRule="auto"/>
              <w:jc w:val="center"/>
              <w:rPr>
                <w:color w:val="auto"/>
              </w:rPr>
            </w:pPr>
            <w:r>
              <w:rPr>
                <w:color w:val="auto"/>
                <w:spacing w:val="6"/>
              </w:rPr>
              <w:t>货物名称</w:t>
            </w:r>
          </w:p>
        </w:tc>
        <w:tc>
          <w:tcPr>
            <w:tcW w:w="2050" w:type="dxa"/>
            <w:vMerge w:val="restart"/>
            <w:tcBorders>
              <w:top w:val="single" w:color="000000" w:sz="2" w:space="0"/>
              <w:bottom w:val="nil"/>
              <w:right w:val="single" w:color="000000" w:sz="2" w:space="0"/>
            </w:tcBorders>
            <w:vAlign w:val="top"/>
          </w:tcPr>
          <w:p w14:paraId="277126F3">
            <w:pPr>
              <w:spacing w:line="384" w:lineRule="auto"/>
              <w:jc w:val="center"/>
              <w:rPr>
                <w:rFonts w:ascii="Arial"/>
                <w:color w:val="auto"/>
                <w:sz w:val="21"/>
              </w:rPr>
            </w:pPr>
          </w:p>
          <w:p w14:paraId="776E18AB">
            <w:pPr>
              <w:pStyle w:val="41"/>
              <w:spacing w:before="65" w:line="228" w:lineRule="auto"/>
              <w:jc w:val="center"/>
              <w:rPr>
                <w:color w:val="auto"/>
              </w:rPr>
            </w:pPr>
            <w:r>
              <w:rPr>
                <w:color w:val="auto"/>
                <w:spacing w:val="7"/>
              </w:rPr>
              <w:t>规格型号</w:t>
            </w:r>
          </w:p>
        </w:tc>
        <w:tc>
          <w:tcPr>
            <w:tcW w:w="1400" w:type="dxa"/>
            <w:vMerge w:val="restart"/>
            <w:tcBorders>
              <w:top w:val="single" w:color="000000" w:sz="2" w:space="0"/>
              <w:left w:val="single" w:color="000000" w:sz="2" w:space="0"/>
              <w:bottom w:val="nil"/>
            </w:tcBorders>
            <w:vAlign w:val="top"/>
          </w:tcPr>
          <w:p w14:paraId="59184E67">
            <w:pPr>
              <w:spacing w:line="384" w:lineRule="auto"/>
              <w:jc w:val="center"/>
              <w:rPr>
                <w:rFonts w:ascii="Arial"/>
                <w:color w:val="auto"/>
                <w:sz w:val="21"/>
              </w:rPr>
            </w:pPr>
          </w:p>
          <w:p w14:paraId="6CC1FF22">
            <w:pPr>
              <w:pStyle w:val="41"/>
              <w:spacing w:before="65" w:line="228" w:lineRule="auto"/>
              <w:jc w:val="center"/>
              <w:rPr>
                <w:color w:val="auto"/>
              </w:rPr>
            </w:pPr>
            <w:r>
              <w:rPr>
                <w:color w:val="auto"/>
                <w:spacing w:val="3"/>
              </w:rPr>
              <w:t>品牌/产地</w:t>
            </w:r>
          </w:p>
        </w:tc>
        <w:tc>
          <w:tcPr>
            <w:tcW w:w="1257" w:type="dxa"/>
            <w:vMerge w:val="restart"/>
            <w:tcBorders>
              <w:top w:val="single" w:color="000000" w:sz="2" w:space="0"/>
              <w:bottom w:val="nil"/>
              <w:right w:val="single" w:color="000000" w:sz="2" w:space="0"/>
            </w:tcBorders>
            <w:vAlign w:val="top"/>
          </w:tcPr>
          <w:p w14:paraId="547B1AA0">
            <w:pPr>
              <w:spacing w:line="384" w:lineRule="auto"/>
              <w:jc w:val="center"/>
              <w:rPr>
                <w:rFonts w:ascii="Arial"/>
                <w:color w:val="auto"/>
                <w:sz w:val="21"/>
              </w:rPr>
            </w:pPr>
          </w:p>
          <w:p w14:paraId="2B2D04B0">
            <w:pPr>
              <w:pStyle w:val="41"/>
              <w:spacing w:before="65" w:line="228" w:lineRule="auto"/>
              <w:jc w:val="center"/>
              <w:rPr>
                <w:color w:val="auto"/>
              </w:rPr>
            </w:pPr>
            <w:r>
              <w:rPr>
                <w:color w:val="auto"/>
                <w:spacing w:val="6"/>
              </w:rPr>
              <w:t>数量/单位</w:t>
            </w:r>
          </w:p>
        </w:tc>
        <w:tc>
          <w:tcPr>
            <w:tcW w:w="1867" w:type="dxa"/>
            <w:gridSpan w:val="2"/>
            <w:tcBorders>
              <w:top w:val="single" w:color="000000" w:sz="2" w:space="0"/>
              <w:left w:val="single" w:color="000000" w:sz="2" w:space="0"/>
            </w:tcBorders>
            <w:vAlign w:val="top"/>
          </w:tcPr>
          <w:p w14:paraId="6CB0F910">
            <w:pPr>
              <w:pStyle w:val="41"/>
              <w:spacing w:before="56" w:line="228" w:lineRule="auto"/>
              <w:jc w:val="center"/>
              <w:rPr>
                <w:color w:val="auto"/>
              </w:rPr>
            </w:pPr>
            <w:r>
              <w:rPr>
                <w:color w:val="auto"/>
                <w:spacing w:val="5"/>
              </w:rPr>
              <w:t>金额（元）</w:t>
            </w:r>
          </w:p>
        </w:tc>
        <w:tc>
          <w:tcPr>
            <w:tcW w:w="947" w:type="dxa"/>
            <w:vMerge w:val="restart"/>
            <w:tcBorders>
              <w:top w:val="single" w:color="000000" w:sz="2" w:space="0"/>
              <w:bottom w:val="nil"/>
              <w:right w:val="single" w:color="000000" w:sz="2" w:space="0"/>
            </w:tcBorders>
            <w:vAlign w:val="top"/>
          </w:tcPr>
          <w:p w14:paraId="249D2333">
            <w:pPr>
              <w:spacing w:line="385" w:lineRule="auto"/>
              <w:rPr>
                <w:rFonts w:ascii="Arial"/>
                <w:color w:val="auto"/>
                <w:sz w:val="21"/>
              </w:rPr>
            </w:pPr>
          </w:p>
          <w:p w14:paraId="3B4A494B">
            <w:pPr>
              <w:pStyle w:val="41"/>
              <w:spacing w:before="65" w:line="229" w:lineRule="auto"/>
              <w:ind w:left="297"/>
              <w:rPr>
                <w:color w:val="auto"/>
              </w:rPr>
            </w:pPr>
            <w:r>
              <w:rPr>
                <w:color w:val="auto"/>
                <w:spacing w:val="3"/>
              </w:rPr>
              <w:t>备注</w:t>
            </w:r>
          </w:p>
        </w:tc>
      </w:tr>
      <w:tr w14:paraId="65E46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1575" w:type="dxa"/>
            <w:gridSpan w:val="2"/>
            <w:vMerge w:val="continue"/>
            <w:tcBorders>
              <w:top w:val="nil"/>
              <w:left w:val="single" w:color="000000" w:sz="2" w:space="0"/>
            </w:tcBorders>
            <w:vAlign w:val="top"/>
          </w:tcPr>
          <w:p w14:paraId="68E5D755">
            <w:pPr>
              <w:jc w:val="center"/>
              <w:rPr>
                <w:rFonts w:ascii="Arial"/>
                <w:color w:val="auto"/>
                <w:sz w:val="21"/>
              </w:rPr>
            </w:pPr>
          </w:p>
        </w:tc>
        <w:tc>
          <w:tcPr>
            <w:tcW w:w="2050" w:type="dxa"/>
            <w:vMerge w:val="continue"/>
            <w:tcBorders>
              <w:top w:val="nil"/>
              <w:right w:val="single" w:color="000000" w:sz="2" w:space="0"/>
            </w:tcBorders>
            <w:vAlign w:val="top"/>
          </w:tcPr>
          <w:p w14:paraId="6B03E0A2">
            <w:pPr>
              <w:jc w:val="center"/>
              <w:rPr>
                <w:rFonts w:ascii="Arial"/>
                <w:color w:val="auto"/>
                <w:sz w:val="21"/>
              </w:rPr>
            </w:pPr>
          </w:p>
        </w:tc>
        <w:tc>
          <w:tcPr>
            <w:tcW w:w="1400" w:type="dxa"/>
            <w:vMerge w:val="continue"/>
            <w:tcBorders>
              <w:top w:val="nil"/>
              <w:left w:val="single" w:color="000000" w:sz="2" w:space="0"/>
            </w:tcBorders>
            <w:vAlign w:val="top"/>
          </w:tcPr>
          <w:p w14:paraId="33A7EE39">
            <w:pPr>
              <w:jc w:val="center"/>
              <w:rPr>
                <w:rFonts w:ascii="Arial"/>
                <w:color w:val="auto"/>
                <w:sz w:val="21"/>
              </w:rPr>
            </w:pPr>
          </w:p>
        </w:tc>
        <w:tc>
          <w:tcPr>
            <w:tcW w:w="1257" w:type="dxa"/>
            <w:vMerge w:val="continue"/>
            <w:tcBorders>
              <w:top w:val="nil"/>
              <w:right w:val="single" w:color="000000" w:sz="2" w:space="0"/>
            </w:tcBorders>
            <w:vAlign w:val="top"/>
          </w:tcPr>
          <w:p w14:paraId="05E23B6A">
            <w:pPr>
              <w:jc w:val="center"/>
              <w:rPr>
                <w:rFonts w:ascii="Arial"/>
                <w:color w:val="auto"/>
                <w:sz w:val="21"/>
              </w:rPr>
            </w:pPr>
          </w:p>
        </w:tc>
        <w:tc>
          <w:tcPr>
            <w:tcW w:w="930" w:type="dxa"/>
            <w:tcBorders>
              <w:left w:val="single" w:color="000000" w:sz="2" w:space="0"/>
              <w:right w:val="single" w:color="000000" w:sz="2" w:space="0"/>
            </w:tcBorders>
            <w:vAlign w:val="top"/>
          </w:tcPr>
          <w:p w14:paraId="2A3B84C0">
            <w:pPr>
              <w:pStyle w:val="41"/>
              <w:spacing w:before="233" w:line="226" w:lineRule="auto"/>
              <w:jc w:val="center"/>
              <w:rPr>
                <w:color w:val="auto"/>
              </w:rPr>
            </w:pPr>
            <w:r>
              <w:rPr>
                <w:color w:val="auto"/>
                <w:spacing w:val="3"/>
              </w:rPr>
              <w:t>单价</w:t>
            </w:r>
          </w:p>
        </w:tc>
        <w:tc>
          <w:tcPr>
            <w:tcW w:w="937" w:type="dxa"/>
            <w:tcBorders>
              <w:left w:val="single" w:color="000000" w:sz="2" w:space="0"/>
            </w:tcBorders>
            <w:vAlign w:val="top"/>
          </w:tcPr>
          <w:p w14:paraId="175D11FD">
            <w:pPr>
              <w:pStyle w:val="41"/>
              <w:spacing w:before="233" w:line="229" w:lineRule="auto"/>
              <w:jc w:val="center"/>
              <w:rPr>
                <w:color w:val="auto"/>
              </w:rPr>
            </w:pPr>
            <w:r>
              <w:rPr>
                <w:color w:val="auto"/>
                <w:spacing w:val="2"/>
              </w:rPr>
              <w:t>小计</w:t>
            </w:r>
          </w:p>
        </w:tc>
        <w:tc>
          <w:tcPr>
            <w:tcW w:w="947" w:type="dxa"/>
            <w:vMerge w:val="continue"/>
            <w:tcBorders>
              <w:top w:val="nil"/>
              <w:right w:val="single" w:color="000000" w:sz="2" w:space="0"/>
            </w:tcBorders>
            <w:vAlign w:val="top"/>
          </w:tcPr>
          <w:p w14:paraId="5A7CAE91">
            <w:pPr>
              <w:rPr>
                <w:rFonts w:ascii="Arial"/>
                <w:color w:val="auto"/>
                <w:sz w:val="21"/>
              </w:rPr>
            </w:pPr>
          </w:p>
        </w:tc>
      </w:tr>
      <w:tr w14:paraId="2D7BB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353" w:type="dxa"/>
            <w:tcBorders>
              <w:left w:val="single" w:color="000000" w:sz="2" w:space="0"/>
            </w:tcBorders>
            <w:vAlign w:val="top"/>
          </w:tcPr>
          <w:p w14:paraId="1F4F4C2F">
            <w:pPr>
              <w:pStyle w:val="41"/>
              <w:spacing w:before="142" w:line="189" w:lineRule="auto"/>
              <w:ind w:left="163"/>
              <w:rPr>
                <w:color w:val="auto"/>
              </w:rPr>
            </w:pPr>
            <w:r>
              <w:rPr>
                <w:color w:val="auto"/>
              </w:rPr>
              <w:t>1</w:t>
            </w:r>
          </w:p>
        </w:tc>
        <w:tc>
          <w:tcPr>
            <w:tcW w:w="1222" w:type="dxa"/>
            <w:vAlign w:val="top"/>
          </w:tcPr>
          <w:p w14:paraId="1F4044F1">
            <w:pPr>
              <w:rPr>
                <w:rFonts w:ascii="Arial"/>
                <w:color w:val="auto"/>
                <w:sz w:val="21"/>
              </w:rPr>
            </w:pPr>
          </w:p>
        </w:tc>
        <w:tc>
          <w:tcPr>
            <w:tcW w:w="2050" w:type="dxa"/>
            <w:tcBorders>
              <w:right w:val="single" w:color="000000" w:sz="2" w:space="0"/>
            </w:tcBorders>
            <w:vAlign w:val="top"/>
          </w:tcPr>
          <w:p w14:paraId="320EBA8D">
            <w:pPr>
              <w:rPr>
                <w:rFonts w:ascii="Arial"/>
                <w:color w:val="auto"/>
                <w:sz w:val="21"/>
              </w:rPr>
            </w:pPr>
          </w:p>
        </w:tc>
        <w:tc>
          <w:tcPr>
            <w:tcW w:w="1400" w:type="dxa"/>
            <w:tcBorders>
              <w:left w:val="single" w:color="000000" w:sz="2" w:space="0"/>
            </w:tcBorders>
            <w:vAlign w:val="top"/>
          </w:tcPr>
          <w:p w14:paraId="3FBA7944">
            <w:pPr>
              <w:rPr>
                <w:rFonts w:ascii="Arial"/>
                <w:color w:val="auto"/>
                <w:sz w:val="21"/>
              </w:rPr>
            </w:pPr>
          </w:p>
        </w:tc>
        <w:tc>
          <w:tcPr>
            <w:tcW w:w="1257" w:type="dxa"/>
            <w:vAlign w:val="top"/>
          </w:tcPr>
          <w:p w14:paraId="1D865467">
            <w:pPr>
              <w:rPr>
                <w:rFonts w:ascii="Arial"/>
                <w:color w:val="auto"/>
                <w:sz w:val="21"/>
              </w:rPr>
            </w:pPr>
          </w:p>
        </w:tc>
        <w:tc>
          <w:tcPr>
            <w:tcW w:w="930" w:type="dxa"/>
            <w:vAlign w:val="top"/>
          </w:tcPr>
          <w:p w14:paraId="2BD4524A">
            <w:pPr>
              <w:rPr>
                <w:rFonts w:ascii="Arial"/>
                <w:color w:val="auto"/>
                <w:sz w:val="21"/>
              </w:rPr>
            </w:pPr>
          </w:p>
        </w:tc>
        <w:tc>
          <w:tcPr>
            <w:tcW w:w="937" w:type="dxa"/>
            <w:vAlign w:val="top"/>
          </w:tcPr>
          <w:p w14:paraId="4BC8BD67">
            <w:pPr>
              <w:rPr>
                <w:rFonts w:ascii="Arial"/>
                <w:color w:val="auto"/>
                <w:sz w:val="21"/>
              </w:rPr>
            </w:pPr>
          </w:p>
        </w:tc>
        <w:tc>
          <w:tcPr>
            <w:tcW w:w="947" w:type="dxa"/>
            <w:tcBorders>
              <w:right w:val="single" w:color="000000" w:sz="2" w:space="0"/>
            </w:tcBorders>
            <w:vAlign w:val="top"/>
          </w:tcPr>
          <w:p w14:paraId="4CC20997">
            <w:pPr>
              <w:rPr>
                <w:rFonts w:ascii="Arial"/>
                <w:color w:val="auto"/>
                <w:sz w:val="21"/>
              </w:rPr>
            </w:pPr>
          </w:p>
        </w:tc>
      </w:tr>
      <w:tr w14:paraId="3D750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353" w:type="dxa"/>
            <w:tcBorders>
              <w:left w:val="single" w:color="000000" w:sz="2" w:space="0"/>
            </w:tcBorders>
            <w:vAlign w:val="top"/>
          </w:tcPr>
          <w:p w14:paraId="7947CB52">
            <w:pPr>
              <w:pStyle w:val="41"/>
              <w:spacing w:before="120" w:line="189" w:lineRule="auto"/>
              <w:ind w:left="150"/>
              <w:rPr>
                <w:color w:val="auto"/>
              </w:rPr>
            </w:pPr>
            <w:r>
              <w:rPr>
                <w:color w:val="auto"/>
              </w:rPr>
              <w:t>2</w:t>
            </w:r>
          </w:p>
        </w:tc>
        <w:tc>
          <w:tcPr>
            <w:tcW w:w="1222" w:type="dxa"/>
            <w:vAlign w:val="top"/>
          </w:tcPr>
          <w:p w14:paraId="48867A64">
            <w:pPr>
              <w:rPr>
                <w:rFonts w:ascii="Arial"/>
                <w:color w:val="auto"/>
                <w:sz w:val="21"/>
              </w:rPr>
            </w:pPr>
          </w:p>
        </w:tc>
        <w:tc>
          <w:tcPr>
            <w:tcW w:w="2050" w:type="dxa"/>
            <w:tcBorders>
              <w:right w:val="single" w:color="000000" w:sz="2" w:space="0"/>
            </w:tcBorders>
            <w:vAlign w:val="top"/>
          </w:tcPr>
          <w:p w14:paraId="605D0164">
            <w:pPr>
              <w:rPr>
                <w:rFonts w:ascii="Arial"/>
                <w:color w:val="auto"/>
                <w:sz w:val="21"/>
              </w:rPr>
            </w:pPr>
          </w:p>
        </w:tc>
        <w:tc>
          <w:tcPr>
            <w:tcW w:w="1400" w:type="dxa"/>
            <w:tcBorders>
              <w:left w:val="single" w:color="000000" w:sz="2" w:space="0"/>
            </w:tcBorders>
            <w:vAlign w:val="top"/>
          </w:tcPr>
          <w:p w14:paraId="21CDF43D">
            <w:pPr>
              <w:rPr>
                <w:rFonts w:ascii="Arial"/>
                <w:color w:val="auto"/>
                <w:sz w:val="21"/>
              </w:rPr>
            </w:pPr>
          </w:p>
        </w:tc>
        <w:tc>
          <w:tcPr>
            <w:tcW w:w="1257" w:type="dxa"/>
            <w:vAlign w:val="top"/>
          </w:tcPr>
          <w:p w14:paraId="47828184">
            <w:pPr>
              <w:rPr>
                <w:rFonts w:ascii="Arial"/>
                <w:color w:val="auto"/>
                <w:sz w:val="21"/>
              </w:rPr>
            </w:pPr>
          </w:p>
        </w:tc>
        <w:tc>
          <w:tcPr>
            <w:tcW w:w="930" w:type="dxa"/>
            <w:vAlign w:val="top"/>
          </w:tcPr>
          <w:p w14:paraId="5F3D25EB">
            <w:pPr>
              <w:rPr>
                <w:rFonts w:ascii="Arial"/>
                <w:color w:val="auto"/>
                <w:sz w:val="21"/>
              </w:rPr>
            </w:pPr>
          </w:p>
        </w:tc>
        <w:tc>
          <w:tcPr>
            <w:tcW w:w="937" w:type="dxa"/>
            <w:vAlign w:val="top"/>
          </w:tcPr>
          <w:p w14:paraId="1C90ADC3">
            <w:pPr>
              <w:rPr>
                <w:rFonts w:ascii="Arial"/>
                <w:color w:val="auto"/>
                <w:sz w:val="21"/>
              </w:rPr>
            </w:pPr>
          </w:p>
        </w:tc>
        <w:tc>
          <w:tcPr>
            <w:tcW w:w="947" w:type="dxa"/>
            <w:tcBorders>
              <w:right w:val="single" w:color="000000" w:sz="2" w:space="0"/>
            </w:tcBorders>
            <w:vAlign w:val="top"/>
          </w:tcPr>
          <w:p w14:paraId="03B2B937">
            <w:pPr>
              <w:rPr>
                <w:rFonts w:ascii="Arial"/>
                <w:color w:val="auto"/>
                <w:sz w:val="21"/>
              </w:rPr>
            </w:pPr>
          </w:p>
        </w:tc>
      </w:tr>
      <w:tr w14:paraId="1283B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53" w:type="dxa"/>
            <w:tcBorders>
              <w:left w:val="single" w:color="000000" w:sz="2" w:space="0"/>
            </w:tcBorders>
            <w:vAlign w:val="top"/>
          </w:tcPr>
          <w:p w14:paraId="5B9E4B0A">
            <w:pPr>
              <w:pStyle w:val="41"/>
              <w:spacing w:before="119" w:line="189" w:lineRule="auto"/>
              <w:ind w:left="152"/>
              <w:rPr>
                <w:color w:val="auto"/>
              </w:rPr>
            </w:pPr>
            <w:r>
              <w:rPr>
                <w:color w:val="auto"/>
              </w:rPr>
              <w:t>3</w:t>
            </w:r>
          </w:p>
        </w:tc>
        <w:tc>
          <w:tcPr>
            <w:tcW w:w="1222" w:type="dxa"/>
            <w:vAlign w:val="top"/>
          </w:tcPr>
          <w:p w14:paraId="490B27DF">
            <w:pPr>
              <w:rPr>
                <w:rFonts w:ascii="Arial"/>
                <w:color w:val="auto"/>
                <w:sz w:val="21"/>
              </w:rPr>
            </w:pPr>
          </w:p>
        </w:tc>
        <w:tc>
          <w:tcPr>
            <w:tcW w:w="2050" w:type="dxa"/>
            <w:tcBorders>
              <w:right w:val="single" w:color="000000" w:sz="2" w:space="0"/>
            </w:tcBorders>
            <w:vAlign w:val="top"/>
          </w:tcPr>
          <w:p w14:paraId="2E768FD9">
            <w:pPr>
              <w:rPr>
                <w:rFonts w:ascii="Arial"/>
                <w:color w:val="auto"/>
                <w:sz w:val="21"/>
              </w:rPr>
            </w:pPr>
          </w:p>
        </w:tc>
        <w:tc>
          <w:tcPr>
            <w:tcW w:w="1400" w:type="dxa"/>
            <w:tcBorders>
              <w:left w:val="single" w:color="000000" w:sz="2" w:space="0"/>
            </w:tcBorders>
            <w:vAlign w:val="top"/>
          </w:tcPr>
          <w:p w14:paraId="42A78A83">
            <w:pPr>
              <w:rPr>
                <w:rFonts w:ascii="Arial"/>
                <w:color w:val="auto"/>
                <w:sz w:val="21"/>
              </w:rPr>
            </w:pPr>
          </w:p>
        </w:tc>
        <w:tc>
          <w:tcPr>
            <w:tcW w:w="1257" w:type="dxa"/>
            <w:vAlign w:val="top"/>
          </w:tcPr>
          <w:p w14:paraId="28A91154">
            <w:pPr>
              <w:rPr>
                <w:rFonts w:ascii="Arial"/>
                <w:color w:val="auto"/>
                <w:sz w:val="21"/>
              </w:rPr>
            </w:pPr>
          </w:p>
        </w:tc>
        <w:tc>
          <w:tcPr>
            <w:tcW w:w="930" w:type="dxa"/>
            <w:vAlign w:val="top"/>
          </w:tcPr>
          <w:p w14:paraId="05AFBE56">
            <w:pPr>
              <w:rPr>
                <w:rFonts w:ascii="Arial"/>
                <w:color w:val="auto"/>
                <w:sz w:val="21"/>
              </w:rPr>
            </w:pPr>
          </w:p>
        </w:tc>
        <w:tc>
          <w:tcPr>
            <w:tcW w:w="937" w:type="dxa"/>
            <w:vAlign w:val="top"/>
          </w:tcPr>
          <w:p w14:paraId="35449757">
            <w:pPr>
              <w:rPr>
                <w:rFonts w:ascii="Arial"/>
                <w:color w:val="auto"/>
                <w:sz w:val="21"/>
              </w:rPr>
            </w:pPr>
          </w:p>
        </w:tc>
        <w:tc>
          <w:tcPr>
            <w:tcW w:w="947" w:type="dxa"/>
            <w:tcBorders>
              <w:right w:val="single" w:color="000000" w:sz="2" w:space="0"/>
            </w:tcBorders>
            <w:vAlign w:val="top"/>
          </w:tcPr>
          <w:p w14:paraId="516D3F8E">
            <w:pPr>
              <w:rPr>
                <w:rFonts w:ascii="Arial"/>
                <w:color w:val="auto"/>
                <w:sz w:val="21"/>
              </w:rPr>
            </w:pPr>
          </w:p>
        </w:tc>
      </w:tr>
      <w:tr w14:paraId="4F7CD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53" w:type="dxa"/>
            <w:tcBorders>
              <w:left w:val="single" w:color="000000" w:sz="2" w:space="0"/>
            </w:tcBorders>
            <w:vAlign w:val="top"/>
          </w:tcPr>
          <w:p w14:paraId="1E39EC7C">
            <w:pPr>
              <w:pStyle w:val="41"/>
              <w:spacing w:before="119" w:line="189" w:lineRule="auto"/>
              <w:ind w:left="147"/>
              <w:rPr>
                <w:color w:val="auto"/>
              </w:rPr>
            </w:pPr>
            <w:r>
              <w:rPr>
                <w:color w:val="auto"/>
              </w:rPr>
              <w:t>4</w:t>
            </w:r>
          </w:p>
        </w:tc>
        <w:tc>
          <w:tcPr>
            <w:tcW w:w="1222" w:type="dxa"/>
            <w:vAlign w:val="top"/>
          </w:tcPr>
          <w:p w14:paraId="7F22F2BF">
            <w:pPr>
              <w:rPr>
                <w:rFonts w:ascii="Arial"/>
                <w:color w:val="auto"/>
                <w:sz w:val="21"/>
              </w:rPr>
            </w:pPr>
          </w:p>
        </w:tc>
        <w:tc>
          <w:tcPr>
            <w:tcW w:w="2050" w:type="dxa"/>
            <w:tcBorders>
              <w:right w:val="single" w:color="000000" w:sz="2" w:space="0"/>
            </w:tcBorders>
            <w:vAlign w:val="top"/>
          </w:tcPr>
          <w:p w14:paraId="5E9C612E">
            <w:pPr>
              <w:rPr>
                <w:rFonts w:ascii="Arial"/>
                <w:color w:val="auto"/>
                <w:sz w:val="21"/>
              </w:rPr>
            </w:pPr>
          </w:p>
        </w:tc>
        <w:tc>
          <w:tcPr>
            <w:tcW w:w="1400" w:type="dxa"/>
            <w:tcBorders>
              <w:left w:val="single" w:color="000000" w:sz="2" w:space="0"/>
            </w:tcBorders>
            <w:vAlign w:val="top"/>
          </w:tcPr>
          <w:p w14:paraId="5103EA84">
            <w:pPr>
              <w:rPr>
                <w:rFonts w:ascii="Arial"/>
                <w:color w:val="auto"/>
                <w:sz w:val="21"/>
              </w:rPr>
            </w:pPr>
          </w:p>
        </w:tc>
        <w:tc>
          <w:tcPr>
            <w:tcW w:w="1257" w:type="dxa"/>
            <w:tcBorders>
              <w:right w:val="single" w:color="000000" w:sz="2" w:space="0"/>
            </w:tcBorders>
            <w:vAlign w:val="top"/>
          </w:tcPr>
          <w:p w14:paraId="752CD9DE">
            <w:pPr>
              <w:rPr>
                <w:rFonts w:ascii="Arial"/>
                <w:color w:val="auto"/>
                <w:sz w:val="21"/>
              </w:rPr>
            </w:pPr>
          </w:p>
        </w:tc>
        <w:tc>
          <w:tcPr>
            <w:tcW w:w="930" w:type="dxa"/>
            <w:tcBorders>
              <w:left w:val="single" w:color="000000" w:sz="2" w:space="0"/>
            </w:tcBorders>
            <w:vAlign w:val="top"/>
          </w:tcPr>
          <w:p w14:paraId="361DE9A5">
            <w:pPr>
              <w:rPr>
                <w:rFonts w:ascii="Arial"/>
                <w:color w:val="auto"/>
                <w:sz w:val="21"/>
              </w:rPr>
            </w:pPr>
          </w:p>
        </w:tc>
        <w:tc>
          <w:tcPr>
            <w:tcW w:w="937" w:type="dxa"/>
            <w:vAlign w:val="top"/>
          </w:tcPr>
          <w:p w14:paraId="6AFE82FE">
            <w:pPr>
              <w:rPr>
                <w:rFonts w:ascii="Arial"/>
                <w:color w:val="auto"/>
                <w:sz w:val="21"/>
              </w:rPr>
            </w:pPr>
          </w:p>
        </w:tc>
        <w:tc>
          <w:tcPr>
            <w:tcW w:w="947" w:type="dxa"/>
            <w:tcBorders>
              <w:right w:val="single" w:color="000000" w:sz="2" w:space="0"/>
            </w:tcBorders>
            <w:vAlign w:val="top"/>
          </w:tcPr>
          <w:p w14:paraId="2095A581">
            <w:pPr>
              <w:rPr>
                <w:rFonts w:ascii="Arial"/>
                <w:color w:val="auto"/>
                <w:sz w:val="21"/>
              </w:rPr>
            </w:pPr>
          </w:p>
        </w:tc>
      </w:tr>
      <w:tr w14:paraId="5587A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353" w:type="dxa"/>
            <w:tcBorders>
              <w:left w:val="single" w:color="000000" w:sz="2" w:space="0"/>
            </w:tcBorders>
            <w:vAlign w:val="top"/>
          </w:tcPr>
          <w:p w14:paraId="20C8D548">
            <w:pPr>
              <w:pStyle w:val="41"/>
              <w:spacing w:before="123" w:line="187" w:lineRule="auto"/>
              <w:ind w:left="152"/>
              <w:rPr>
                <w:color w:val="auto"/>
              </w:rPr>
            </w:pPr>
            <w:r>
              <w:rPr>
                <w:color w:val="auto"/>
              </w:rPr>
              <w:t>5</w:t>
            </w:r>
          </w:p>
        </w:tc>
        <w:tc>
          <w:tcPr>
            <w:tcW w:w="1222" w:type="dxa"/>
            <w:vAlign w:val="top"/>
          </w:tcPr>
          <w:p w14:paraId="4D0A84EF">
            <w:pPr>
              <w:rPr>
                <w:rFonts w:ascii="Arial"/>
                <w:color w:val="auto"/>
                <w:sz w:val="21"/>
              </w:rPr>
            </w:pPr>
          </w:p>
        </w:tc>
        <w:tc>
          <w:tcPr>
            <w:tcW w:w="2050" w:type="dxa"/>
            <w:tcBorders>
              <w:right w:val="single" w:color="000000" w:sz="2" w:space="0"/>
            </w:tcBorders>
            <w:vAlign w:val="top"/>
          </w:tcPr>
          <w:p w14:paraId="0A8618F6">
            <w:pPr>
              <w:rPr>
                <w:rFonts w:ascii="Arial"/>
                <w:color w:val="auto"/>
                <w:sz w:val="21"/>
              </w:rPr>
            </w:pPr>
          </w:p>
        </w:tc>
        <w:tc>
          <w:tcPr>
            <w:tcW w:w="1400" w:type="dxa"/>
            <w:tcBorders>
              <w:left w:val="single" w:color="000000" w:sz="2" w:space="0"/>
            </w:tcBorders>
            <w:vAlign w:val="top"/>
          </w:tcPr>
          <w:p w14:paraId="6A210369">
            <w:pPr>
              <w:rPr>
                <w:rFonts w:ascii="Arial"/>
                <w:color w:val="auto"/>
                <w:sz w:val="21"/>
              </w:rPr>
            </w:pPr>
          </w:p>
        </w:tc>
        <w:tc>
          <w:tcPr>
            <w:tcW w:w="1257" w:type="dxa"/>
            <w:tcBorders>
              <w:right w:val="single" w:color="000000" w:sz="2" w:space="0"/>
            </w:tcBorders>
            <w:vAlign w:val="top"/>
          </w:tcPr>
          <w:p w14:paraId="3ABFF5C3">
            <w:pPr>
              <w:rPr>
                <w:rFonts w:ascii="Arial"/>
                <w:color w:val="auto"/>
                <w:sz w:val="21"/>
              </w:rPr>
            </w:pPr>
          </w:p>
        </w:tc>
        <w:tc>
          <w:tcPr>
            <w:tcW w:w="930" w:type="dxa"/>
            <w:tcBorders>
              <w:left w:val="single" w:color="000000" w:sz="2" w:space="0"/>
            </w:tcBorders>
            <w:vAlign w:val="top"/>
          </w:tcPr>
          <w:p w14:paraId="3CC089DD">
            <w:pPr>
              <w:rPr>
                <w:rFonts w:ascii="Arial"/>
                <w:color w:val="auto"/>
                <w:sz w:val="21"/>
              </w:rPr>
            </w:pPr>
          </w:p>
        </w:tc>
        <w:tc>
          <w:tcPr>
            <w:tcW w:w="937" w:type="dxa"/>
            <w:vAlign w:val="top"/>
          </w:tcPr>
          <w:p w14:paraId="2509523B">
            <w:pPr>
              <w:rPr>
                <w:rFonts w:ascii="Arial"/>
                <w:color w:val="auto"/>
                <w:sz w:val="21"/>
              </w:rPr>
            </w:pPr>
          </w:p>
        </w:tc>
        <w:tc>
          <w:tcPr>
            <w:tcW w:w="947" w:type="dxa"/>
            <w:tcBorders>
              <w:right w:val="single" w:color="000000" w:sz="2" w:space="0"/>
            </w:tcBorders>
            <w:vAlign w:val="top"/>
          </w:tcPr>
          <w:p w14:paraId="2CF349BF">
            <w:pPr>
              <w:rPr>
                <w:rFonts w:ascii="Arial"/>
                <w:color w:val="auto"/>
                <w:sz w:val="21"/>
              </w:rPr>
            </w:pPr>
          </w:p>
        </w:tc>
      </w:tr>
      <w:tr w14:paraId="6CBE8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353" w:type="dxa"/>
            <w:tcBorders>
              <w:left w:val="single" w:color="000000" w:sz="2" w:space="0"/>
            </w:tcBorders>
            <w:vAlign w:val="top"/>
          </w:tcPr>
          <w:p w14:paraId="078CC901">
            <w:pPr>
              <w:pStyle w:val="41"/>
              <w:spacing w:before="87" w:line="288" w:lineRule="exact"/>
              <w:ind w:left="108"/>
              <w:rPr>
                <w:color w:val="auto"/>
              </w:rPr>
            </w:pPr>
            <w:r>
              <w:rPr>
                <w:color w:val="auto"/>
                <w:position w:val="1"/>
              </w:rPr>
              <w:t>…</w:t>
            </w:r>
          </w:p>
        </w:tc>
        <w:tc>
          <w:tcPr>
            <w:tcW w:w="1222" w:type="dxa"/>
            <w:vAlign w:val="top"/>
          </w:tcPr>
          <w:p w14:paraId="07618E9C">
            <w:pPr>
              <w:rPr>
                <w:rFonts w:ascii="Arial"/>
                <w:color w:val="auto"/>
                <w:sz w:val="21"/>
              </w:rPr>
            </w:pPr>
          </w:p>
        </w:tc>
        <w:tc>
          <w:tcPr>
            <w:tcW w:w="2050" w:type="dxa"/>
            <w:tcBorders>
              <w:right w:val="single" w:color="000000" w:sz="2" w:space="0"/>
            </w:tcBorders>
            <w:vAlign w:val="top"/>
          </w:tcPr>
          <w:p w14:paraId="31E08ADE">
            <w:pPr>
              <w:rPr>
                <w:rFonts w:ascii="Arial"/>
                <w:color w:val="auto"/>
                <w:sz w:val="21"/>
              </w:rPr>
            </w:pPr>
          </w:p>
        </w:tc>
        <w:tc>
          <w:tcPr>
            <w:tcW w:w="1400" w:type="dxa"/>
            <w:tcBorders>
              <w:left w:val="single" w:color="000000" w:sz="2" w:space="0"/>
            </w:tcBorders>
            <w:vAlign w:val="top"/>
          </w:tcPr>
          <w:p w14:paraId="72F3E4CE">
            <w:pPr>
              <w:rPr>
                <w:rFonts w:ascii="Arial"/>
                <w:color w:val="auto"/>
                <w:sz w:val="21"/>
              </w:rPr>
            </w:pPr>
          </w:p>
        </w:tc>
        <w:tc>
          <w:tcPr>
            <w:tcW w:w="1257" w:type="dxa"/>
            <w:tcBorders>
              <w:right w:val="single" w:color="000000" w:sz="2" w:space="0"/>
            </w:tcBorders>
            <w:vAlign w:val="top"/>
          </w:tcPr>
          <w:p w14:paraId="65A3E13C">
            <w:pPr>
              <w:rPr>
                <w:rFonts w:ascii="Arial"/>
                <w:color w:val="auto"/>
                <w:sz w:val="21"/>
              </w:rPr>
            </w:pPr>
          </w:p>
        </w:tc>
        <w:tc>
          <w:tcPr>
            <w:tcW w:w="930" w:type="dxa"/>
            <w:tcBorders>
              <w:left w:val="single" w:color="000000" w:sz="2" w:space="0"/>
            </w:tcBorders>
            <w:vAlign w:val="top"/>
          </w:tcPr>
          <w:p w14:paraId="5AB1FB2E">
            <w:pPr>
              <w:rPr>
                <w:rFonts w:ascii="Arial"/>
                <w:color w:val="auto"/>
                <w:sz w:val="21"/>
              </w:rPr>
            </w:pPr>
          </w:p>
        </w:tc>
        <w:tc>
          <w:tcPr>
            <w:tcW w:w="937" w:type="dxa"/>
            <w:vAlign w:val="top"/>
          </w:tcPr>
          <w:p w14:paraId="60496E57">
            <w:pPr>
              <w:rPr>
                <w:rFonts w:ascii="Arial"/>
                <w:color w:val="auto"/>
                <w:sz w:val="21"/>
              </w:rPr>
            </w:pPr>
          </w:p>
        </w:tc>
        <w:tc>
          <w:tcPr>
            <w:tcW w:w="947" w:type="dxa"/>
            <w:tcBorders>
              <w:right w:val="single" w:color="000000" w:sz="2" w:space="0"/>
            </w:tcBorders>
            <w:vAlign w:val="top"/>
          </w:tcPr>
          <w:p w14:paraId="548D9ECD">
            <w:pPr>
              <w:rPr>
                <w:rFonts w:ascii="Arial"/>
                <w:color w:val="auto"/>
                <w:sz w:val="21"/>
              </w:rPr>
            </w:pPr>
          </w:p>
        </w:tc>
      </w:tr>
      <w:tr w14:paraId="24903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7212" w:type="dxa"/>
            <w:gridSpan w:val="6"/>
            <w:tcBorders>
              <w:left w:val="single" w:color="000000" w:sz="2" w:space="0"/>
              <w:bottom w:val="single" w:color="000000" w:sz="2" w:space="0"/>
            </w:tcBorders>
            <w:vAlign w:val="top"/>
          </w:tcPr>
          <w:p w14:paraId="4BEA9F06">
            <w:pPr>
              <w:pStyle w:val="41"/>
              <w:spacing w:before="35" w:line="226" w:lineRule="auto"/>
              <w:ind w:left="3199"/>
              <w:rPr>
                <w:color w:val="auto"/>
              </w:rPr>
            </w:pPr>
            <w:r>
              <w:rPr>
                <w:color w:val="auto"/>
                <w:spacing w:val="7"/>
              </w:rPr>
              <w:t>报价（元</w:t>
            </w:r>
            <w:r>
              <w:rPr>
                <w:color w:val="auto"/>
                <w:spacing w:val="1"/>
              </w:rPr>
              <w:t>）：</w:t>
            </w:r>
          </w:p>
        </w:tc>
        <w:tc>
          <w:tcPr>
            <w:tcW w:w="937" w:type="dxa"/>
            <w:tcBorders>
              <w:bottom w:val="single" w:color="000000" w:sz="2" w:space="0"/>
            </w:tcBorders>
            <w:vAlign w:val="top"/>
          </w:tcPr>
          <w:p w14:paraId="2FE3EFC3">
            <w:pPr>
              <w:rPr>
                <w:rFonts w:ascii="Arial"/>
                <w:color w:val="auto"/>
                <w:sz w:val="21"/>
              </w:rPr>
            </w:pPr>
          </w:p>
        </w:tc>
        <w:tc>
          <w:tcPr>
            <w:tcW w:w="947" w:type="dxa"/>
            <w:tcBorders>
              <w:bottom w:val="single" w:color="000000" w:sz="2" w:space="0"/>
              <w:right w:val="single" w:color="000000" w:sz="2" w:space="0"/>
            </w:tcBorders>
            <w:vAlign w:val="top"/>
          </w:tcPr>
          <w:p w14:paraId="5BCE9F2D">
            <w:pPr>
              <w:rPr>
                <w:rFonts w:ascii="Arial"/>
                <w:color w:val="auto"/>
                <w:sz w:val="21"/>
              </w:rPr>
            </w:pPr>
          </w:p>
        </w:tc>
      </w:tr>
    </w:tbl>
    <w:p w14:paraId="61BE6FF9">
      <w:pPr>
        <w:adjustRightInd w:val="0"/>
        <w:snapToGrid w:val="0"/>
        <w:spacing w:line="360" w:lineRule="auto"/>
        <w:rPr>
          <w:rFonts w:hint="eastAsia" w:ascii="宋体" w:hAnsi="宋体"/>
          <w:color w:val="auto"/>
          <w:szCs w:val="21"/>
          <w:highlight w:val="none"/>
        </w:rPr>
      </w:pPr>
    </w:p>
    <w:p w14:paraId="104E6169">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注：</w:t>
      </w:r>
      <w:r>
        <w:rPr>
          <w:rFonts w:hint="eastAsia" w:ascii="宋体" w:hAnsi="宋体"/>
          <w:color w:val="auto"/>
          <w:szCs w:val="21"/>
          <w:highlight w:val="none"/>
          <w:lang w:val="en-US" w:eastAsia="zh-CN"/>
        </w:rPr>
        <w:t>1.</w:t>
      </w:r>
      <w:r>
        <w:rPr>
          <w:rFonts w:hint="eastAsia" w:ascii="宋体" w:hAnsi="宋体"/>
          <w:b/>
          <w:color w:val="auto"/>
          <w:szCs w:val="21"/>
          <w:highlight w:val="none"/>
        </w:rPr>
        <w:t>本表应对应</w:t>
      </w:r>
      <w:r>
        <w:rPr>
          <w:rFonts w:hint="eastAsia" w:ascii="宋体" w:hAnsi="宋体"/>
          <w:color w:val="auto"/>
          <w:szCs w:val="21"/>
          <w:highlight w:val="none"/>
        </w:rPr>
        <w:t>“</w:t>
      </w:r>
      <w:r>
        <w:rPr>
          <w:rFonts w:hint="eastAsia" w:ascii="宋体" w:hAnsi="宋体"/>
          <w:b/>
          <w:color w:val="auto"/>
          <w:szCs w:val="21"/>
          <w:highlight w:val="none"/>
        </w:rPr>
        <w:t>报价表</w:t>
      </w:r>
      <w:r>
        <w:rPr>
          <w:rFonts w:hint="eastAsia" w:ascii="宋体" w:hAnsi="宋体"/>
          <w:color w:val="auto"/>
          <w:szCs w:val="21"/>
          <w:highlight w:val="none"/>
        </w:rPr>
        <w:t>”</w:t>
      </w:r>
      <w:r>
        <w:rPr>
          <w:rFonts w:hint="eastAsia" w:ascii="宋体" w:hAnsi="宋体"/>
          <w:b/>
          <w:color w:val="auto"/>
          <w:szCs w:val="21"/>
          <w:highlight w:val="none"/>
        </w:rPr>
        <w:t>，按包填写</w:t>
      </w:r>
      <w:r>
        <w:rPr>
          <w:rFonts w:hint="eastAsia" w:ascii="宋体" w:hAnsi="宋体"/>
          <w:color w:val="auto"/>
          <w:szCs w:val="21"/>
          <w:highlight w:val="none"/>
        </w:rPr>
        <w:t>。供应商如果不提供分项报价明细表，其</w:t>
      </w:r>
      <w:r>
        <w:rPr>
          <w:rFonts w:hint="eastAsia" w:ascii="宋体" w:hAnsi="宋体"/>
          <w:b/>
          <w:color w:val="auto"/>
          <w:szCs w:val="21"/>
          <w:highlight w:val="none"/>
        </w:rPr>
        <w:t>响应无效</w:t>
      </w:r>
      <w:r>
        <w:rPr>
          <w:rFonts w:hint="eastAsia" w:ascii="宋体" w:hAnsi="宋体"/>
          <w:color w:val="auto"/>
          <w:szCs w:val="21"/>
          <w:highlight w:val="none"/>
        </w:rPr>
        <w:t>。</w:t>
      </w:r>
    </w:p>
    <w:p w14:paraId="2B5AD366">
      <w:pPr>
        <w:adjustRightInd w:val="0"/>
        <w:snapToGrid w:val="0"/>
        <w:spacing w:line="360" w:lineRule="auto"/>
        <w:ind w:left="0" w:leftChars="0"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不得填写“免费”或“赠与”，也不得进行“零”报价，否则</w:t>
      </w:r>
      <w:r>
        <w:rPr>
          <w:rFonts w:hint="eastAsia" w:ascii="宋体" w:hAnsi="宋体"/>
          <w:b/>
          <w:color w:val="auto"/>
          <w:szCs w:val="21"/>
          <w:highlight w:val="none"/>
        </w:rPr>
        <w:t>响应无效</w:t>
      </w:r>
      <w:r>
        <w:rPr>
          <w:rFonts w:hint="eastAsia" w:ascii="宋体" w:hAnsi="宋体"/>
          <w:color w:val="auto"/>
          <w:szCs w:val="21"/>
          <w:highlight w:val="none"/>
        </w:rPr>
        <w:t>。</w:t>
      </w:r>
    </w:p>
    <w:p w14:paraId="4806613F">
      <w:pPr>
        <w:adjustRightInd w:val="0"/>
        <w:snapToGrid w:val="0"/>
        <w:spacing w:line="360" w:lineRule="auto"/>
        <w:ind w:firstLine="422" w:firstLineChars="200"/>
        <w:rPr>
          <w:rFonts w:ascii="宋体" w:hAnsi="宋体"/>
          <w:b/>
          <w:color w:val="auto"/>
          <w:szCs w:val="21"/>
          <w:highlight w:val="none"/>
        </w:rPr>
      </w:pPr>
    </w:p>
    <w:p w14:paraId="0A7027D5">
      <w:pPr>
        <w:adjustRightInd w:val="0"/>
        <w:snapToGrid w:val="0"/>
        <w:spacing w:line="360" w:lineRule="auto"/>
        <w:rPr>
          <w:rFonts w:ascii="宋体" w:hAnsi="宋体"/>
          <w:color w:val="auto"/>
          <w:szCs w:val="21"/>
          <w:highlight w:val="none"/>
        </w:rPr>
      </w:pPr>
    </w:p>
    <w:p w14:paraId="424FEF5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0F44ABD6">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19AEB3AD">
      <w:pPr>
        <w:pStyle w:val="29"/>
        <w:rPr>
          <w:color w:val="auto"/>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2273FDD">
      <w:pPr>
        <w:adjustRightInd w:val="0"/>
        <w:snapToGrid w:val="0"/>
        <w:spacing w:line="360" w:lineRule="auto"/>
        <w:rPr>
          <w:rFonts w:hint="eastAsia" w:ascii="宋体" w:hAnsi="宋体"/>
          <w:color w:val="auto"/>
          <w:szCs w:val="21"/>
          <w:highlight w:val="none"/>
          <w:lang w:val="en-US" w:eastAsia="zh-CN"/>
        </w:rPr>
      </w:pPr>
    </w:p>
    <w:sectPr>
      <w:footerReference r:id="rId10" w:type="default"/>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24E37AB-F7ED-4EEE-98C4-89280D9324BC}"/>
  </w:font>
  <w:font w:name="Arial">
    <w:panose1 w:val="020B0604020202020204"/>
    <w:charset w:val="01"/>
    <w:family w:val="swiss"/>
    <w:pitch w:val="default"/>
    <w:sig w:usb0="E0002EFF" w:usb1="C000785B" w:usb2="00000009" w:usb3="00000000" w:csb0="400001FF" w:csb1="FFFF0000"/>
    <w:embedRegular r:id="rId2" w:fontKey="{2B71040B-EBE9-4A8D-A6B9-FD1429466140}"/>
  </w:font>
  <w:font w:name="黑体">
    <w:panose1 w:val="02010609060101010101"/>
    <w:charset w:val="86"/>
    <w:family w:val="auto"/>
    <w:pitch w:val="default"/>
    <w:sig w:usb0="800002BF" w:usb1="38CF7CFA" w:usb2="00000016" w:usb3="00000000" w:csb0="00040001" w:csb1="00000000"/>
    <w:embedRegular r:id="rId3" w:fontKey="{3501F1D5-98F7-4B7E-A8E3-74A00AF17554}"/>
  </w:font>
  <w:font w:name="Courier New">
    <w:panose1 w:val="02070309020205020404"/>
    <w:charset w:val="01"/>
    <w:family w:val="modern"/>
    <w:pitch w:val="default"/>
    <w:sig w:usb0="E0002EFF" w:usb1="C0007843" w:usb2="00000009" w:usb3="00000000" w:csb0="400001FF" w:csb1="FFFF0000"/>
    <w:embedRegular r:id="rId4" w:fontKey="{8000803D-DA97-42DE-9473-D0B6CF990C5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7F" w:usb3="00000000" w:csb0="203F01FF" w:csb1="DFFF0000"/>
  </w:font>
  <w:font w:name="仿宋_GB2312">
    <w:altName w:val="仿宋"/>
    <w:panose1 w:val="00000000000000000000"/>
    <w:charset w:val="86"/>
    <w:family w:val="modern"/>
    <w:pitch w:val="default"/>
    <w:sig w:usb0="00000000" w:usb1="00000000" w:usb2="00000010" w:usb3="00000000" w:csb0="00040000" w:csb1="00000000"/>
    <w:embedRegular r:id="rId5" w:fontKey="{D9818528-218B-403F-AEDA-1F88942889E3}"/>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embedRegular r:id="rId6" w:fontKey="{B01E8434-C1B4-474F-8A79-E19063908D55}"/>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Adobe 宋体 Std L">
    <w:altName w:val="宋体"/>
    <w:panose1 w:val="00000000000000000000"/>
    <w:charset w:val="86"/>
    <w:family w:val="roman"/>
    <w:pitch w:val="default"/>
    <w:sig w:usb0="00000000" w:usb1="00000000" w:usb2="00000016" w:usb3="00000000" w:csb0="00060007" w:csb1="00000000"/>
  </w:font>
  <w:font w:name="隶书">
    <w:altName w:val="微软雅黑"/>
    <w:panose1 w:val="02010509060101010101"/>
    <w:charset w:val="86"/>
    <w:family w:val="modern"/>
    <w:pitch w:val="default"/>
    <w:sig w:usb0="00000000" w:usb1="00000000" w:usb2="00000000" w:usb3="00000000" w:csb0="00040000" w:csb1="00000000"/>
    <w:embedRegular r:id="rId7" w:fontKey="{0D8F68E6-11BF-4E3A-A3EB-454ED990E254}"/>
  </w:font>
  <w:font w:name="微软雅黑">
    <w:panose1 w:val="020B0503020204020204"/>
    <w:charset w:val="86"/>
    <w:family w:val="auto"/>
    <w:pitch w:val="default"/>
    <w:sig w:usb0="80000287" w:usb1="2ACF3C50" w:usb2="00000016" w:usb3="00000000" w:csb0="0004001F" w:csb1="00000000"/>
    <w:embedRegular r:id="rId8" w:fontKey="{A704F124-B32D-4ECF-8310-DA820BF56B58}"/>
  </w:font>
  <w:font w:name="华文中宋">
    <w:panose1 w:val="02010600040101010101"/>
    <w:charset w:val="86"/>
    <w:family w:val="auto"/>
    <w:pitch w:val="default"/>
    <w:sig w:usb0="00000287" w:usb1="080F0000" w:usb2="00000000" w:usb3="00000000" w:csb0="0004009F" w:csb1="DFD70000"/>
    <w:embedRegular r:id="rId9" w:fontKey="{A070A21C-87FC-4035-BA22-87C3502CDFD6}"/>
  </w:font>
  <w:font w:name="楷体_GB2312">
    <w:altName w:val="楷体"/>
    <w:panose1 w:val="00000000000000000000"/>
    <w:charset w:val="86"/>
    <w:family w:val="modern"/>
    <w:pitch w:val="default"/>
    <w:sig w:usb0="00000000" w:usb1="00000000" w:usb2="00000010" w:usb3="00000000" w:csb0="00040000" w:csb1="00000000"/>
    <w:embedRegular r:id="rId10" w:fontKey="{FC58C265-0FB0-47A8-B693-F0150E9739E7}"/>
  </w:font>
  <w:font w:name="楷体">
    <w:panose1 w:val="02010609060101010101"/>
    <w:charset w:val="86"/>
    <w:family w:val="auto"/>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00" w:usb3="00000000" w:csb0="0004009F" w:csb1="DFD70000"/>
    <w:embedRegular r:id="rId11" w:fontKey="{B70CEF92-05FC-4EBA-951A-6F5E5AD4CE50}"/>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80730">
    <w:pPr>
      <w:pStyle w:val="15"/>
      <w:ind w:left="180" w:right="359" w:rightChars="171" w:hanging="180" w:hangingChars="100"/>
      <w:jc w:val="right"/>
      <w:rPr>
        <w:rFonts w:eastAsia="楷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642FB">
    <w:pPr>
      <w:pStyle w:val="15"/>
      <w:ind w:left="180" w:right="359" w:rightChars="171" w:hanging="180" w:hangingChars="100"/>
      <w:jc w:val="right"/>
      <w:rPr>
        <w:rFonts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0FF8FF">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D0FF8FF">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1F7AD">
    <w:pPr>
      <w:pStyle w:val="15"/>
      <w:rPr>
        <w:rFonts w:hint="default"/>
        <w:lang w:val="en-US"/>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193B0E">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A193B0E">
                    <w:pPr>
                      <w:pStyle w:val="1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49688">
    <w:pPr>
      <w:pStyle w:val="15"/>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56A4CB">
                          <w:pPr>
                            <w:pStyle w:val="1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56A4CB">
                    <w:pPr>
                      <w:pStyle w:val="15"/>
                    </w:pPr>
                    <w:r>
                      <w:fldChar w:fldCharType="begin"/>
                    </w:r>
                    <w:r>
                      <w:instrText xml:space="preserve"> PAGE  \* MERGEFORMAT </w:instrText>
                    </w:r>
                    <w:r>
                      <w:fldChar w:fldCharType="separate"/>
                    </w:r>
                    <w:r>
                      <w:t>6</w:t>
                    </w:r>
                    <w:r>
                      <w:fldChar w:fldCharType="end"/>
                    </w:r>
                  </w:p>
                </w:txbxContent>
              </v:textbox>
            </v:shape>
          </w:pict>
        </mc:Fallback>
      </mc:AlternateContent>
    </w:r>
  </w:p>
  <w:p w14:paraId="27B3FCDE">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4F97B">
    <w:pPr>
      <w:spacing w:before="101" w:line="177"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9F363">
                          <w:pPr>
                            <w:pStyle w:val="1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79F363">
                    <w:pPr>
                      <w:pStyle w:val="1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48256">
    <w:pPr>
      <w:pStyle w:val="15"/>
      <w:framePr w:wrap="around" w:vAnchor="text" w:hAnchor="margin" w:xAlign="right" w:y="1"/>
      <w:rPr>
        <w:rStyle w:val="24"/>
      </w:rPr>
    </w:pPr>
    <w:r>
      <w:fldChar w:fldCharType="begin"/>
    </w:r>
    <w:r>
      <w:rPr>
        <w:rStyle w:val="24"/>
      </w:rPr>
      <w:instrText xml:space="preserve">PAGE  </w:instrText>
    </w:r>
    <w:r>
      <w:fldChar w:fldCharType="end"/>
    </w:r>
  </w:p>
  <w:p w14:paraId="5DA3F2E9">
    <w:pPr>
      <w:pStyle w:val="1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0E9BF">
    <w:pPr>
      <w:pStyle w:val="15"/>
      <w:framePr w:wrap="around" w:vAnchor="text" w:hAnchor="margin" w:xAlign="right" w:y="1"/>
      <w:rPr>
        <w:rStyle w:val="24"/>
      </w:rPr>
    </w:pPr>
    <w:r>
      <w:fldChar w:fldCharType="begin"/>
    </w:r>
    <w:r>
      <w:rPr>
        <w:rStyle w:val="24"/>
      </w:rPr>
      <w:instrText xml:space="preserve">PAGE  </w:instrText>
    </w:r>
    <w:r>
      <w:fldChar w:fldCharType="end"/>
    </w:r>
  </w:p>
  <w:p w14:paraId="3DD6676F">
    <w:pPr>
      <w:pStyle w:val="1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D4A0D">
    <w:pPr>
      <w:pStyle w:val="15"/>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13086">
                          <w:pPr>
                            <w:pStyle w:val="1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C413086">
                    <w:pPr>
                      <w:pStyle w:val="15"/>
                    </w:pPr>
                    <w:r>
                      <w:fldChar w:fldCharType="begin"/>
                    </w:r>
                    <w:r>
                      <w:instrText xml:space="preserve"> PAGE  \* MERGEFORMAT </w:instrText>
                    </w:r>
                    <w:r>
                      <w:fldChar w:fldCharType="separate"/>
                    </w:r>
                    <w:r>
                      <w:t>52</w:t>
                    </w:r>
                    <w:r>
                      <w:fldChar w:fldCharType="end"/>
                    </w:r>
                  </w:p>
                </w:txbxContent>
              </v:textbox>
            </v:shape>
          </w:pict>
        </mc:Fallback>
      </mc:AlternateContent>
    </w:r>
  </w:p>
  <w:p w14:paraId="126721E6">
    <w:pPr>
      <w:jc w:val="center"/>
      <w:rPr>
        <w:rFonts w:hint="eastAsia" w:eastAsia="宋体"/>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F6D30"/>
    <w:multiLevelType w:val="singleLevel"/>
    <w:tmpl w:val="847F6D30"/>
    <w:lvl w:ilvl="0" w:tentative="0">
      <w:start w:val="1"/>
      <w:numFmt w:val="chineseCounting"/>
      <w:pStyle w:val="6"/>
      <w:suff w:val="nothing"/>
      <w:lvlText w:val="（%1）"/>
      <w:lvlJc w:val="left"/>
      <w:pPr>
        <w:ind w:left="0" w:firstLine="420"/>
      </w:pPr>
      <w:rPr>
        <w:rFonts w:hint="eastAsia"/>
      </w:rPr>
    </w:lvl>
  </w:abstractNum>
  <w:abstractNum w:abstractNumId="1">
    <w:nsid w:val="C6084AD2"/>
    <w:multiLevelType w:val="singleLevel"/>
    <w:tmpl w:val="C6084AD2"/>
    <w:lvl w:ilvl="0" w:tentative="0">
      <w:start w:val="1"/>
      <w:numFmt w:val="chineseCounting"/>
      <w:suff w:val="space"/>
      <w:lvlText w:val="第%1章"/>
      <w:lvlJc w:val="left"/>
      <w:rPr>
        <w:rFonts w:hint="eastAsia"/>
      </w:rPr>
    </w:lvl>
  </w:abstractNum>
  <w:abstractNum w:abstractNumId="2">
    <w:nsid w:val="E8E9B5B6"/>
    <w:multiLevelType w:val="singleLevel"/>
    <w:tmpl w:val="E8E9B5B6"/>
    <w:lvl w:ilvl="0" w:tentative="0">
      <w:start w:val="5"/>
      <w:numFmt w:val="decimal"/>
      <w:suff w:val="nothing"/>
      <w:lvlText w:val="%1、"/>
      <w:lvlJc w:val="left"/>
    </w:lvl>
  </w:abstractNum>
  <w:abstractNum w:abstractNumId="3">
    <w:nsid w:val="F0339397"/>
    <w:multiLevelType w:val="singleLevel"/>
    <w:tmpl w:val="F0339397"/>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iNjNjNjczOWJkY2Y0YzA0YTVlNzhlNDRhZmYxZWMifQ=="/>
  </w:docVars>
  <w:rsids>
    <w:rsidRoot w:val="00000000"/>
    <w:rsid w:val="002610D4"/>
    <w:rsid w:val="0098388D"/>
    <w:rsid w:val="01FF64A8"/>
    <w:rsid w:val="03422D77"/>
    <w:rsid w:val="03A30F42"/>
    <w:rsid w:val="049D76C3"/>
    <w:rsid w:val="05490A1B"/>
    <w:rsid w:val="05A220FA"/>
    <w:rsid w:val="05C42D45"/>
    <w:rsid w:val="05E5389B"/>
    <w:rsid w:val="07430351"/>
    <w:rsid w:val="082C34BA"/>
    <w:rsid w:val="082D649B"/>
    <w:rsid w:val="08E458C1"/>
    <w:rsid w:val="093D1475"/>
    <w:rsid w:val="09AB4381"/>
    <w:rsid w:val="0A3F1C1F"/>
    <w:rsid w:val="0A432ABB"/>
    <w:rsid w:val="0A794981"/>
    <w:rsid w:val="0AE90F31"/>
    <w:rsid w:val="0B4F4B0E"/>
    <w:rsid w:val="0BC23D3D"/>
    <w:rsid w:val="0D2B4A8F"/>
    <w:rsid w:val="0D323698"/>
    <w:rsid w:val="0E177FDC"/>
    <w:rsid w:val="0FD7617F"/>
    <w:rsid w:val="1175309B"/>
    <w:rsid w:val="11D64215"/>
    <w:rsid w:val="12406351"/>
    <w:rsid w:val="12C231BA"/>
    <w:rsid w:val="15EB6DE0"/>
    <w:rsid w:val="16176399"/>
    <w:rsid w:val="16945A6B"/>
    <w:rsid w:val="1764057A"/>
    <w:rsid w:val="181801C0"/>
    <w:rsid w:val="18E36AA0"/>
    <w:rsid w:val="198C1D89"/>
    <w:rsid w:val="199133CA"/>
    <w:rsid w:val="1A1340D7"/>
    <w:rsid w:val="1ADE4866"/>
    <w:rsid w:val="1B6C2C88"/>
    <w:rsid w:val="1D215F20"/>
    <w:rsid w:val="1D8A4C39"/>
    <w:rsid w:val="20481C2A"/>
    <w:rsid w:val="21B26104"/>
    <w:rsid w:val="2336719E"/>
    <w:rsid w:val="23A77CBC"/>
    <w:rsid w:val="249064A5"/>
    <w:rsid w:val="25162E4E"/>
    <w:rsid w:val="26234EB0"/>
    <w:rsid w:val="273C7056"/>
    <w:rsid w:val="2AF01862"/>
    <w:rsid w:val="2AF92FF6"/>
    <w:rsid w:val="2B0450B6"/>
    <w:rsid w:val="2B472AB6"/>
    <w:rsid w:val="2BAD46F5"/>
    <w:rsid w:val="2CC55886"/>
    <w:rsid w:val="2D6B3CB8"/>
    <w:rsid w:val="2F4D6871"/>
    <w:rsid w:val="310111F9"/>
    <w:rsid w:val="32D42F86"/>
    <w:rsid w:val="33B32AF5"/>
    <w:rsid w:val="33B815D8"/>
    <w:rsid w:val="33EA32C0"/>
    <w:rsid w:val="343706EB"/>
    <w:rsid w:val="36AB4187"/>
    <w:rsid w:val="36C77000"/>
    <w:rsid w:val="38610351"/>
    <w:rsid w:val="3AF93221"/>
    <w:rsid w:val="3C3E3B6C"/>
    <w:rsid w:val="3C805325"/>
    <w:rsid w:val="3DD24940"/>
    <w:rsid w:val="3E206C98"/>
    <w:rsid w:val="40860A30"/>
    <w:rsid w:val="409B6926"/>
    <w:rsid w:val="40C61E02"/>
    <w:rsid w:val="413C4351"/>
    <w:rsid w:val="41BB7B43"/>
    <w:rsid w:val="41EA1068"/>
    <w:rsid w:val="42680931"/>
    <w:rsid w:val="43703C42"/>
    <w:rsid w:val="437454B8"/>
    <w:rsid w:val="43FA1C50"/>
    <w:rsid w:val="442537F2"/>
    <w:rsid w:val="455A510F"/>
    <w:rsid w:val="46510AB5"/>
    <w:rsid w:val="468406E3"/>
    <w:rsid w:val="472B1AB2"/>
    <w:rsid w:val="48A04D50"/>
    <w:rsid w:val="48DF3C65"/>
    <w:rsid w:val="492519DC"/>
    <w:rsid w:val="49627B61"/>
    <w:rsid w:val="49D17D6F"/>
    <w:rsid w:val="49D44748"/>
    <w:rsid w:val="4A3F6756"/>
    <w:rsid w:val="4A9A085A"/>
    <w:rsid w:val="4AFC40AA"/>
    <w:rsid w:val="4B8342CB"/>
    <w:rsid w:val="4BC632AC"/>
    <w:rsid w:val="4D7634E5"/>
    <w:rsid w:val="4DB03590"/>
    <w:rsid w:val="4E314D77"/>
    <w:rsid w:val="4E5708B4"/>
    <w:rsid w:val="4FAD2D57"/>
    <w:rsid w:val="50355192"/>
    <w:rsid w:val="50B46C96"/>
    <w:rsid w:val="5153476A"/>
    <w:rsid w:val="5289102D"/>
    <w:rsid w:val="52A80CDA"/>
    <w:rsid w:val="533A256F"/>
    <w:rsid w:val="544179D8"/>
    <w:rsid w:val="54D41E1E"/>
    <w:rsid w:val="572969CD"/>
    <w:rsid w:val="57625AAE"/>
    <w:rsid w:val="59033389"/>
    <w:rsid w:val="5A92646A"/>
    <w:rsid w:val="5AAA5D09"/>
    <w:rsid w:val="5CBF47F4"/>
    <w:rsid w:val="5CFA0BCE"/>
    <w:rsid w:val="5D7E2D63"/>
    <w:rsid w:val="5DAE3190"/>
    <w:rsid w:val="5E455DA7"/>
    <w:rsid w:val="6017113C"/>
    <w:rsid w:val="60BC18C8"/>
    <w:rsid w:val="619076A4"/>
    <w:rsid w:val="61F30033"/>
    <w:rsid w:val="61FA5617"/>
    <w:rsid w:val="63B869CC"/>
    <w:rsid w:val="63D47C8E"/>
    <w:rsid w:val="641223B6"/>
    <w:rsid w:val="646802C9"/>
    <w:rsid w:val="646F3406"/>
    <w:rsid w:val="650F7CFD"/>
    <w:rsid w:val="65937368"/>
    <w:rsid w:val="692073C4"/>
    <w:rsid w:val="6DD94AFC"/>
    <w:rsid w:val="6DE263E4"/>
    <w:rsid w:val="6ED57ED8"/>
    <w:rsid w:val="6FA84A4C"/>
    <w:rsid w:val="6FE016ED"/>
    <w:rsid w:val="705F37A9"/>
    <w:rsid w:val="706E4681"/>
    <w:rsid w:val="714F2D5E"/>
    <w:rsid w:val="71B57E05"/>
    <w:rsid w:val="71F669E8"/>
    <w:rsid w:val="71FC58A2"/>
    <w:rsid w:val="73900545"/>
    <w:rsid w:val="73DA4614"/>
    <w:rsid w:val="73FA1B55"/>
    <w:rsid w:val="75CB5602"/>
    <w:rsid w:val="7650117C"/>
    <w:rsid w:val="77660698"/>
    <w:rsid w:val="77B46281"/>
    <w:rsid w:val="77BE53CB"/>
    <w:rsid w:val="77D90303"/>
    <w:rsid w:val="77EE066B"/>
    <w:rsid w:val="783B21F2"/>
    <w:rsid w:val="796C21B2"/>
    <w:rsid w:val="7C8104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jc w:val="center"/>
      <w:outlineLvl w:val="0"/>
    </w:pPr>
    <w:rPr>
      <w:b/>
      <w:bCs/>
      <w:sz w:val="24"/>
      <w:szCs w:val="20"/>
    </w:rPr>
  </w:style>
  <w:style w:type="paragraph" w:styleId="6">
    <w:name w:val="heading 2"/>
    <w:basedOn w:val="1"/>
    <w:next w:val="1"/>
    <w:unhideWhenUsed/>
    <w:qFormat/>
    <w:uiPriority w:val="0"/>
    <w:pPr>
      <w:keepNext/>
      <w:keepLines/>
      <w:numPr>
        <w:ilvl w:val="0"/>
        <w:numId w:val="1"/>
      </w:numPr>
      <w:spacing w:before="260" w:after="260" w:line="416" w:lineRule="auto"/>
      <w:jc w:val="center"/>
      <w:outlineLvl w:val="1"/>
    </w:pPr>
    <w:rPr>
      <w:rFonts w:ascii="Arial" w:hAnsi="Arial" w:eastAsia="宋体" w:cs="Times New Roman"/>
      <w:b/>
      <w:bCs/>
      <w:sz w:val="30"/>
      <w:szCs w:val="32"/>
    </w:rPr>
  </w:style>
  <w:style w:type="paragraph" w:styleId="7">
    <w:name w:val="heading 3"/>
    <w:basedOn w:val="1"/>
    <w:next w:val="1"/>
    <w:qFormat/>
    <w:uiPriority w:val="99"/>
    <w:pPr>
      <w:keepNext/>
      <w:keepLines/>
      <w:spacing w:before="260" w:after="260" w:line="416" w:lineRule="auto"/>
      <w:outlineLvl w:val="2"/>
    </w:pPr>
    <w:rPr>
      <w:b/>
      <w:bCs/>
      <w:sz w:val="32"/>
      <w:szCs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Body Text Indent 2"/>
    <w:basedOn w:val="1"/>
    <w:qFormat/>
    <w:uiPriority w:val="99"/>
    <w:pPr>
      <w:spacing w:after="120" w:line="480" w:lineRule="auto"/>
      <w:ind w:left="420" w:leftChars="200"/>
    </w:pPr>
    <w:rPr>
      <w:kern w:val="0"/>
      <w:sz w:val="24"/>
    </w:rPr>
  </w:style>
  <w:style w:type="paragraph" w:styleId="8">
    <w:name w:val="Normal Indent"/>
    <w:basedOn w:val="1"/>
    <w:next w:val="9"/>
    <w:qFormat/>
    <w:uiPriority w:val="0"/>
    <w:pPr>
      <w:widowControl/>
      <w:ind w:firstLine="420"/>
      <w:jc w:val="left"/>
    </w:pPr>
    <w:rPr>
      <w:kern w:val="0"/>
      <w:sz w:val="20"/>
      <w:szCs w:val="20"/>
    </w:rPr>
  </w:style>
  <w:style w:type="paragraph" w:customStyle="1" w:styleId="9">
    <w:name w:val="Default"/>
    <w:basedOn w:val="10"/>
    <w:next w:val="1"/>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0">
    <w:name w:val="纯文本1"/>
    <w:basedOn w:val="1"/>
    <w:qFormat/>
    <w:uiPriority w:val="0"/>
    <w:pPr>
      <w:adjustRightInd w:val="0"/>
    </w:pPr>
    <w:rPr>
      <w:rFonts w:ascii="宋体" w:hAnsi="Courier New"/>
      <w:szCs w:val="20"/>
    </w:rPr>
  </w:style>
  <w:style w:type="paragraph" w:styleId="11">
    <w:name w:val="Body Text"/>
    <w:basedOn w:val="1"/>
    <w:qFormat/>
    <w:uiPriority w:val="0"/>
    <w:pPr>
      <w:spacing w:after="120"/>
    </w:pPr>
    <w:rPr>
      <w:lang w:val="zh-CN"/>
    </w:rPr>
  </w:style>
  <w:style w:type="paragraph" w:styleId="12">
    <w:name w:val="toc 3"/>
    <w:basedOn w:val="1"/>
    <w:next w:val="1"/>
    <w:unhideWhenUsed/>
    <w:qFormat/>
    <w:uiPriority w:val="39"/>
    <w:pPr>
      <w:adjustRightInd w:val="0"/>
      <w:snapToGrid w:val="0"/>
      <w:spacing w:line="360" w:lineRule="auto"/>
      <w:ind w:left="400" w:leftChars="400"/>
    </w:pPr>
    <w:rPr>
      <w:rFonts w:eastAsia="宋体"/>
      <w:b/>
    </w:rPr>
  </w:style>
  <w:style w:type="paragraph" w:styleId="13">
    <w:name w:val="Plain Text"/>
    <w:basedOn w:val="1"/>
    <w:qFormat/>
    <w:uiPriority w:val="0"/>
    <w:rPr>
      <w:rFonts w:ascii="宋体" w:hAnsi="Courier New" w:cs="Courier New"/>
      <w:szCs w:val="21"/>
    </w:rPr>
  </w:style>
  <w:style w:type="paragraph" w:styleId="14">
    <w:name w:val="Date"/>
    <w:basedOn w:val="1"/>
    <w:next w:val="1"/>
    <w:qFormat/>
    <w:uiPriority w:val="99"/>
    <w:rPr>
      <w:kern w:val="0"/>
      <w:sz w:val="20"/>
      <w:szCs w:val="20"/>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39"/>
    <w:pPr>
      <w:spacing w:line="360" w:lineRule="auto"/>
    </w:pPr>
    <w:rPr>
      <w:rFonts w:ascii="宋体" w:hAnsi="宋体" w:eastAsia="宋体"/>
      <w:b/>
      <w:sz w:val="24"/>
      <w:szCs w:val="21"/>
    </w:rPr>
  </w:style>
  <w:style w:type="paragraph" w:styleId="18">
    <w:name w:val="toc 2"/>
    <w:basedOn w:val="1"/>
    <w:next w:val="1"/>
    <w:unhideWhenUsed/>
    <w:qFormat/>
    <w:uiPriority w:val="39"/>
    <w:pPr>
      <w:spacing w:line="360" w:lineRule="auto"/>
      <w:ind w:left="200" w:leftChars="200"/>
    </w:pPr>
    <w:rPr>
      <w:rFonts w:eastAsia="宋体"/>
      <w:b/>
    </w:rPr>
  </w:style>
  <w:style w:type="paragraph" w:styleId="1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character" w:styleId="24">
    <w:name w:val="page number"/>
    <w:basedOn w:val="22"/>
    <w:qFormat/>
    <w:uiPriority w:val="0"/>
  </w:style>
  <w:style w:type="paragraph" w:customStyle="1" w:styleId="25">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26">
    <w:name w:val="样式 首行缩进:  2 字符"/>
    <w:qFormat/>
    <w:uiPriority w:val="0"/>
    <w:pPr>
      <w:widowControl w:val="0"/>
      <w:ind w:firstLine="560"/>
      <w:jc w:val="both"/>
    </w:pPr>
    <w:rPr>
      <w:rFonts w:ascii="Times New Roman" w:hAnsi="Times New Roman" w:eastAsia="仿宋_GB2312" w:cs="宋体"/>
      <w:kern w:val="2"/>
      <w:sz w:val="24"/>
      <w:szCs w:val="20"/>
      <w:lang w:val="en-US" w:eastAsia="zh-CN" w:bidi="ar-SA"/>
    </w:rPr>
  </w:style>
  <w:style w:type="paragraph" w:customStyle="1" w:styleId="27">
    <w:name w:val="1"/>
    <w:basedOn w:val="28"/>
    <w:next w:val="3"/>
    <w:qFormat/>
    <w:uiPriority w:val="0"/>
    <w:pPr>
      <w:spacing w:afterLines="50" w:line="360" w:lineRule="auto"/>
    </w:pPr>
    <w:rPr>
      <w:rFonts w:ascii="宋体" w:hAnsi="宋体"/>
      <w:b/>
      <w:sz w:val="30"/>
      <w:szCs w:val="21"/>
    </w:rPr>
  </w:style>
  <w:style w:type="paragraph" w:customStyle="1" w:styleId="2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列出段落1"/>
    <w:basedOn w:val="1"/>
    <w:qFormat/>
    <w:uiPriority w:val="0"/>
    <w:pPr>
      <w:ind w:firstLine="420" w:firstLineChars="200"/>
    </w:pPr>
    <w:rPr>
      <w:szCs w:val="21"/>
    </w:rPr>
  </w:style>
  <w:style w:type="character" w:customStyle="1" w:styleId="30">
    <w:name w:val="font61"/>
    <w:basedOn w:val="22"/>
    <w:qFormat/>
    <w:uiPriority w:val="0"/>
    <w:rPr>
      <w:rFonts w:hint="eastAsia" w:ascii="宋体" w:hAnsi="宋体" w:eastAsia="宋体" w:cs="宋体"/>
      <w:color w:val="000000"/>
      <w:sz w:val="20"/>
      <w:szCs w:val="20"/>
      <w:u w:val="none"/>
    </w:rPr>
  </w:style>
  <w:style w:type="character" w:customStyle="1" w:styleId="31">
    <w:name w:val="font71"/>
    <w:basedOn w:val="22"/>
    <w:qFormat/>
    <w:uiPriority w:val="0"/>
    <w:rPr>
      <w:rFonts w:hint="default" w:ascii="Calibri" w:hAnsi="Calibri" w:cs="Calibri"/>
      <w:color w:val="000000"/>
      <w:sz w:val="20"/>
      <w:szCs w:val="20"/>
      <w:u w:val="none"/>
    </w:rPr>
  </w:style>
  <w:style w:type="character" w:customStyle="1" w:styleId="32">
    <w:name w:val="font101"/>
    <w:basedOn w:val="22"/>
    <w:qFormat/>
    <w:uiPriority w:val="0"/>
    <w:rPr>
      <w:rFonts w:hint="default" w:ascii="Tahoma" w:hAnsi="Tahoma" w:eastAsia="Tahoma" w:cs="Tahoma"/>
      <w:color w:val="000000"/>
      <w:sz w:val="24"/>
      <w:szCs w:val="24"/>
      <w:u w:val="none"/>
    </w:rPr>
  </w:style>
  <w:style w:type="character" w:customStyle="1" w:styleId="33">
    <w:name w:val="font112"/>
    <w:basedOn w:val="22"/>
    <w:qFormat/>
    <w:uiPriority w:val="0"/>
    <w:rPr>
      <w:rFonts w:hint="eastAsia" w:ascii="宋体" w:hAnsi="宋体" w:eastAsia="宋体" w:cs="宋体"/>
      <w:color w:val="000000"/>
      <w:sz w:val="24"/>
      <w:szCs w:val="24"/>
      <w:u w:val="none"/>
    </w:rPr>
  </w:style>
  <w:style w:type="character" w:customStyle="1" w:styleId="34">
    <w:name w:val="NormalCharacter"/>
    <w:link w:val="35"/>
    <w:qFormat/>
    <w:uiPriority w:val="0"/>
    <w:rPr>
      <w:rFonts w:ascii="Verdana" w:hAnsi="Verdana"/>
      <w:kern w:val="0"/>
      <w:sz w:val="20"/>
      <w:lang w:val="en-US" w:eastAsia="en-US" w:bidi="ar-SA"/>
    </w:rPr>
  </w:style>
  <w:style w:type="paragraph" w:customStyle="1" w:styleId="35">
    <w:name w:val="UserStyle_19"/>
    <w:basedOn w:val="1"/>
    <w:link w:val="34"/>
    <w:qFormat/>
    <w:uiPriority w:val="0"/>
    <w:pPr>
      <w:widowControl/>
      <w:spacing w:after="160" w:line="240" w:lineRule="exact"/>
      <w:jc w:val="left"/>
      <w:textAlignment w:val="baseline"/>
    </w:pPr>
    <w:rPr>
      <w:rFonts w:ascii="Verdana" w:hAnsi="Verdana"/>
      <w:kern w:val="0"/>
      <w:sz w:val="20"/>
      <w:lang w:val="en-US" w:eastAsia="en-US" w:bidi="ar-SA"/>
    </w:rPr>
  </w:style>
  <w:style w:type="paragraph" w:customStyle="1" w:styleId="36">
    <w:name w:val="正文格式"/>
    <w:basedOn w:val="1"/>
    <w:qFormat/>
    <w:uiPriority w:val="0"/>
    <w:pPr>
      <w:widowControl/>
      <w:adjustRightInd w:val="0"/>
      <w:spacing w:line="400" w:lineRule="atLeast"/>
      <w:ind w:firstLine="482"/>
      <w:textAlignment w:val="baseline"/>
    </w:pPr>
    <w:rPr>
      <w:kern w:val="0"/>
      <w:sz w:val="24"/>
    </w:rPr>
  </w:style>
  <w:style w:type="paragraph" w:customStyle="1" w:styleId="37">
    <w:name w:val="BodyText1I2"/>
    <w:basedOn w:val="38"/>
    <w:qFormat/>
    <w:uiPriority w:val="0"/>
    <w:pPr>
      <w:spacing w:before="0" w:after="120"/>
      <w:ind w:left="420" w:leftChars="200" w:right="0" w:firstLine="420" w:firstLineChars="200"/>
      <w:jc w:val="both"/>
      <w:textAlignment w:val="baseline"/>
    </w:pPr>
    <w:rPr>
      <w:rFonts w:ascii="Times New Roman" w:hAnsi="Times New Roman" w:eastAsia="宋体"/>
      <w:kern w:val="2"/>
      <w:sz w:val="21"/>
      <w:szCs w:val="24"/>
      <w:lang w:val="en-US" w:eastAsia="zh-CN" w:bidi="ar-SA"/>
    </w:rPr>
  </w:style>
  <w:style w:type="paragraph" w:customStyle="1" w:styleId="38">
    <w:name w:val="BodyTextIndent"/>
    <w:basedOn w:val="1"/>
    <w:next w:val="1"/>
    <w:qFormat/>
    <w:uiPriority w:val="0"/>
    <w:pPr>
      <w:spacing w:after="120"/>
      <w:ind w:left="420" w:leftChars="200"/>
      <w:jc w:val="both"/>
      <w:textAlignment w:val="baseline"/>
    </w:pPr>
    <w:rPr>
      <w:kern w:val="2"/>
      <w:sz w:val="21"/>
      <w:szCs w:val="24"/>
      <w:lang w:val="en-US" w:eastAsia="zh-CN" w:bidi="ar-SA"/>
    </w:rPr>
  </w:style>
  <w:style w:type="character" w:customStyle="1" w:styleId="39">
    <w:name w:val="title1"/>
    <w:qFormat/>
    <w:uiPriority w:val="0"/>
    <w:rPr>
      <w:rFonts w:hint="default" w:ascii="ˎ̥" w:hAnsi="ˎ̥"/>
      <w:b/>
      <w:bCs/>
      <w:color w:val="003366"/>
      <w:sz w:val="33"/>
      <w:szCs w:val="33"/>
    </w:rPr>
  </w:style>
  <w:style w:type="paragraph" w:customStyle="1" w:styleId="40">
    <w:name w:val="List Paragraph"/>
    <w:basedOn w:val="1"/>
    <w:qFormat/>
    <w:uiPriority w:val="34"/>
    <w:pPr>
      <w:ind w:firstLine="420" w:firstLineChars="200"/>
    </w:pPr>
    <w:rPr>
      <w:rFonts w:ascii="Calibri" w:hAnsi="Calibri" w:eastAsia="宋体" w:cs="Times New Roman"/>
    </w:rPr>
  </w:style>
  <w:style w:type="paragraph" w:customStyle="1" w:styleId="41">
    <w:name w:val="Table Text"/>
    <w:basedOn w:val="1"/>
    <w:semiHidden/>
    <w:qFormat/>
    <w:uiPriority w:val="0"/>
    <w:rPr>
      <w:rFonts w:ascii="宋体" w:hAnsi="宋体" w:eastAsia="宋体" w:cs="宋体"/>
      <w:sz w:val="20"/>
      <w:szCs w:val="20"/>
      <w:lang w:val="en-US" w:eastAsia="en-US" w:bidi="ar-SA"/>
    </w:rPr>
  </w:style>
  <w:style w:type="table" w:customStyle="1" w:styleId="42">
    <w:name w:val="Table Normal"/>
    <w:semiHidden/>
    <w:unhideWhenUsed/>
    <w:qFormat/>
    <w:uiPriority w:val="0"/>
    <w:tblPr>
      <w:tblCellMar>
        <w:top w:w="0" w:type="dxa"/>
        <w:left w:w="0" w:type="dxa"/>
        <w:bottom w:w="0" w:type="dxa"/>
        <w:right w:w="0" w:type="dxa"/>
      </w:tblCellMar>
    </w:tblPr>
  </w:style>
  <w:style w:type="character" w:customStyle="1" w:styleId="43">
    <w:name w:val="font21"/>
    <w:basedOn w:val="22"/>
    <w:qFormat/>
    <w:uiPriority w:val="0"/>
    <w:rPr>
      <w:rFonts w:hint="eastAsia" w:ascii="宋体" w:hAnsi="宋体" w:eastAsia="宋体" w:cs="宋体"/>
      <w:color w:val="000000"/>
      <w:sz w:val="18"/>
      <w:szCs w:val="18"/>
      <w:u w:val="none"/>
      <w:vertAlign w:val="superscript"/>
    </w:rPr>
  </w:style>
  <w:style w:type="paragraph" w:customStyle="1" w:styleId="44">
    <w:name w:val="[基本段落]"/>
    <w:basedOn w:val="1"/>
    <w:unhideWhenUsed/>
    <w:qFormat/>
    <w:uiPriority w:val="99"/>
    <w:pPr>
      <w:autoSpaceDE w:val="0"/>
      <w:autoSpaceDN w:val="0"/>
      <w:adjustRightInd w:val="0"/>
      <w:spacing w:line="288" w:lineRule="auto"/>
      <w:textAlignment w:val="center"/>
    </w:pPr>
    <w:rPr>
      <w:rFonts w:hint="eastAsia" w:ascii="Adobe 宋体 Std L" w:hAnsi="Adobe 宋体 Std L" w:eastAsia="Adobe 宋体 Std L" w:cs="Times New Roman"/>
      <w:color w:val="000000"/>
      <w:kern w:val="0"/>
      <w:sz w:val="24"/>
      <w:szCs w:val="22"/>
      <w:lang w:val="zh-CN"/>
    </w:rPr>
  </w:style>
  <w:style w:type="paragraph" w:styleId="45">
    <w:name w:val="Quote"/>
    <w:basedOn w:val="1"/>
    <w:next w:val="1"/>
    <w:qFormat/>
    <w:uiPriority w:val="29"/>
    <w:rPr>
      <w:i/>
      <w:iCs/>
      <w:color w:val="000000" w:themeColor="text1"/>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18146</Words>
  <Characters>19758</Characters>
  <Lines>0</Lines>
  <Paragraphs>0</Paragraphs>
  <TotalTime>14</TotalTime>
  <ScaleCrop>false</ScaleCrop>
  <LinksUpToDate>false</LinksUpToDate>
  <CharactersWithSpaces>20147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2022-11-19T08:04:00Z</dcterms:created>
  <dc:creator>Vous est beau</dc:creator>
  <cp:lastModifiedBy>Administrator</cp:lastModifiedBy>
  <cp:lastPrinted>2026-09-10T01:45:00Z</cp:lastPrinted>
  <dcterms:modified xsi:type="dcterms:W3CDTF">2026-09-23T07:50:27Z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6C34846DF00D426786C4C72BB7A1A2D7_13</vt:lpwstr>
  </property>
  <property fmtid="{D5CDD505-2E9C-101B-9397-08002B2CF9AE}" pid="4" name="KSOTemplateDocerSaveRecord">
    <vt:lpwstr>eyJoZGlkIjoiYTAwMGI4MTI1MjY1YTg1YTEzYTU5NTM5NDljZTAzMWUiLCJ1c2VySWQiOiI3NDgwMDIwOTIifQ==</vt:lpwstr>
  </property>
</Properties>
</file>