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B35B0">
      <w:pPr>
        <w:pStyle w:val="11"/>
        <w:jc w:val="center"/>
        <w:rPr>
          <w:rFonts w:hint="eastAsia" w:ascii="隶书" w:hAnsi="华文中宋" w:eastAsia="隶书"/>
          <w:color w:val="auto"/>
          <w:sz w:val="96"/>
          <w:szCs w:val="96"/>
          <w:highlight w:val="none"/>
        </w:rPr>
      </w:pPr>
    </w:p>
    <w:p w14:paraId="45F994F6">
      <w:pPr>
        <w:pStyle w:val="11"/>
        <w:jc w:val="center"/>
        <w:rPr>
          <w:rFonts w:ascii="隶书" w:hAnsi="华文中宋" w:eastAsia="隶书"/>
          <w:bCs/>
          <w:color w:val="auto"/>
          <w:sz w:val="96"/>
          <w:szCs w:val="96"/>
          <w:highlight w:val="none"/>
        </w:rPr>
      </w:pPr>
      <w:r>
        <w:rPr>
          <w:rFonts w:hint="eastAsia" w:ascii="隶书" w:hAnsi="华文中宋" w:eastAsia="隶书"/>
          <w:color w:val="auto"/>
          <w:sz w:val="96"/>
          <w:szCs w:val="96"/>
          <w:highlight w:val="none"/>
        </w:rPr>
        <w:t>政府采购</w:t>
      </w:r>
    </w:p>
    <w:p w14:paraId="5A37D620">
      <w:pPr>
        <w:pStyle w:val="11"/>
        <w:adjustRightInd w:val="0"/>
        <w:snapToGrid w:val="0"/>
        <w:spacing w:line="360" w:lineRule="auto"/>
        <w:jc w:val="center"/>
        <w:rPr>
          <w:rFonts w:ascii="隶书" w:hAnsi="华文中宋" w:eastAsia="隶书"/>
          <w:color w:val="auto"/>
          <w:sz w:val="96"/>
          <w:szCs w:val="96"/>
          <w:highlight w:val="none"/>
        </w:rPr>
      </w:pPr>
      <w:r>
        <w:rPr>
          <w:rFonts w:hint="eastAsia" w:ascii="隶书" w:hAnsi="华文中宋" w:eastAsia="隶书"/>
          <w:color w:val="auto"/>
          <w:sz w:val="96"/>
          <w:szCs w:val="96"/>
          <w:highlight w:val="none"/>
        </w:rPr>
        <w:t>竞争性磋商文件</w:t>
      </w:r>
    </w:p>
    <w:p w14:paraId="20B1C9F6">
      <w:pPr>
        <w:adjustRightInd w:val="0"/>
        <w:snapToGrid w:val="0"/>
        <w:spacing w:line="360" w:lineRule="auto"/>
        <w:ind w:left="421" w:leftChars="200" w:hanging="1"/>
        <w:rPr>
          <w:rFonts w:hint="eastAsia" w:ascii="宋体" w:hAnsi="宋体" w:eastAsia="宋体" w:cs="宋体"/>
          <w:b/>
          <w:color w:val="auto"/>
          <w:sz w:val="32"/>
          <w:szCs w:val="32"/>
          <w:highlight w:val="none"/>
        </w:rPr>
      </w:pPr>
    </w:p>
    <w:p w14:paraId="1E498E85">
      <w:pPr>
        <w:adjustRightInd w:val="0"/>
        <w:snapToGrid w:val="0"/>
        <w:spacing w:line="360" w:lineRule="auto"/>
        <w:ind w:left="2669" w:leftChars="200" w:hanging="2249" w:hangingChars="700"/>
        <w:rPr>
          <w:rFonts w:hint="eastAsia" w:ascii="宋体" w:hAnsi="宋体" w:eastAsia="宋体" w:cs="宋体"/>
          <w:b/>
          <w:color w:val="auto"/>
          <w:sz w:val="32"/>
          <w:szCs w:val="32"/>
          <w:highlight w:val="none"/>
        </w:rPr>
      </w:pPr>
    </w:p>
    <w:p w14:paraId="32273D87">
      <w:pPr>
        <w:adjustRightInd w:val="0"/>
        <w:snapToGrid w:val="0"/>
        <w:spacing w:line="360" w:lineRule="auto"/>
        <w:ind w:left="2669" w:leftChars="200" w:hanging="2249" w:hangingChars="700"/>
        <w:rPr>
          <w:rFonts w:hint="eastAsia" w:ascii="宋体" w:hAnsi="宋体" w:eastAsia="宋体" w:cs="宋体"/>
          <w:b/>
          <w:color w:val="auto"/>
          <w:sz w:val="32"/>
          <w:szCs w:val="32"/>
          <w:highlight w:val="none"/>
        </w:rPr>
      </w:pPr>
    </w:p>
    <w:p w14:paraId="41A6150A">
      <w:pPr>
        <w:adjustRightInd w:val="0"/>
        <w:snapToGrid w:val="0"/>
        <w:spacing w:line="360" w:lineRule="auto"/>
        <w:ind w:left="2669" w:leftChars="200" w:hanging="2249" w:hangingChars="700"/>
        <w:rPr>
          <w:rFonts w:hint="eastAsia" w:ascii="宋体" w:hAnsi="宋体" w:eastAsia="宋体" w:cs="宋体"/>
          <w:b/>
          <w:color w:val="auto"/>
          <w:sz w:val="32"/>
          <w:szCs w:val="32"/>
          <w:highlight w:val="none"/>
        </w:rPr>
      </w:pPr>
    </w:p>
    <w:p w14:paraId="5AFEBC74">
      <w:pPr>
        <w:adjustRightInd w:val="0"/>
        <w:snapToGrid w:val="0"/>
        <w:spacing w:line="360" w:lineRule="auto"/>
        <w:ind w:left="2669" w:leftChars="200" w:hanging="2249" w:hangingChars="70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采购项目名称：</w:t>
      </w:r>
      <w:r>
        <w:rPr>
          <w:rFonts w:hint="eastAsia" w:ascii="宋体" w:hAnsi="宋体" w:cs="宋体"/>
          <w:b/>
          <w:color w:val="auto"/>
          <w:sz w:val="32"/>
          <w:szCs w:val="32"/>
          <w:highlight w:val="none"/>
          <w:u w:val="single"/>
          <w:lang w:eastAsia="zh-CN"/>
        </w:rPr>
        <w:t>张家界市原警卫处综合楼维修改造项目</w:t>
      </w:r>
    </w:p>
    <w:p w14:paraId="73B925D6">
      <w:pPr>
        <w:adjustRightInd w:val="0"/>
        <w:snapToGrid w:val="0"/>
        <w:spacing w:line="360" w:lineRule="auto"/>
        <w:ind w:left="421" w:leftChars="200" w:hanging="1"/>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采购项目编号</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u w:val="single"/>
        </w:rPr>
        <w:t>CGXM2026430800000040</w:t>
      </w:r>
      <w:r>
        <w:rPr>
          <w:rFonts w:hint="eastAsia" w:ascii="宋体" w:hAnsi="宋体" w:cs="宋体"/>
          <w:b/>
          <w:color w:val="auto"/>
          <w:sz w:val="32"/>
          <w:szCs w:val="32"/>
          <w:highlight w:val="none"/>
          <w:lang w:val="en-US" w:eastAsia="zh-CN"/>
        </w:rPr>
        <w:t xml:space="preserve"> </w:t>
      </w:r>
    </w:p>
    <w:p w14:paraId="5E5F1998">
      <w:pPr>
        <w:adjustRightInd w:val="0"/>
        <w:snapToGrid w:val="0"/>
        <w:spacing w:line="360" w:lineRule="auto"/>
        <w:ind w:left="421" w:leftChars="200" w:hanging="1"/>
        <w:rPr>
          <w:rFonts w:hint="eastAsia" w:ascii="宋体" w:hAnsi="宋体" w:eastAsia="宋体" w:cs="宋体"/>
          <w:b/>
          <w:color w:val="auto"/>
          <w:sz w:val="32"/>
          <w:szCs w:val="32"/>
          <w:highlight w:val="none"/>
        </w:rPr>
      </w:pPr>
      <w:r>
        <w:rPr>
          <w:rFonts w:hint="eastAsia" w:ascii="宋体" w:hAnsi="宋体" w:cs="宋体"/>
          <w:b/>
          <w:color w:val="auto"/>
          <w:sz w:val="32"/>
          <w:szCs w:val="32"/>
          <w:highlight w:val="none"/>
          <w:lang w:val="en-US" w:eastAsia="zh-CN"/>
        </w:rPr>
        <w:t>采购计划编号：</w:t>
      </w:r>
      <w:r>
        <w:rPr>
          <w:rFonts w:hint="eastAsia" w:ascii="宋体" w:hAnsi="宋体" w:cs="宋体"/>
          <w:b/>
          <w:color w:val="auto"/>
          <w:sz w:val="32"/>
          <w:szCs w:val="32"/>
          <w:highlight w:val="none"/>
          <w:u w:val="single"/>
          <w:lang w:val="en-US" w:eastAsia="zh-CN"/>
        </w:rPr>
        <w:t>(2026)430800000029-1</w:t>
      </w:r>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ab/>
      </w:r>
    </w:p>
    <w:p w14:paraId="17E969BD">
      <w:pPr>
        <w:adjustRightInd w:val="0"/>
        <w:snapToGrid w:val="0"/>
        <w:spacing w:line="360" w:lineRule="auto"/>
        <w:ind w:left="421" w:leftChars="200" w:hanging="1"/>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代理机构编号：</w:t>
      </w:r>
      <w:r>
        <w:rPr>
          <w:rFonts w:hint="eastAsia" w:ascii="宋体" w:hAnsi="宋体" w:cs="宋体"/>
          <w:b/>
          <w:color w:val="auto"/>
          <w:sz w:val="32"/>
          <w:szCs w:val="32"/>
          <w:highlight w:val="none"/>
          <w:u w:val="single"/>
          <w:lang w:val="en-US" w:eastAsia="zh-CN"/>
        </w:rPr>
        <w:t>ZJJFZZB-2026-205</w:t>
      </w:r>
      <w:r>
        <w:rPr>
          <w:rFonts w:hint="eastAsia" w:ascii="宋体" w:hAnsi="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 xml:space="preserve"> </w:t>
      </w:r>
    </w:p>
    <w:p w14:paraId="217BEBB0">
      <w:pPr>
        <w:adjustRightInd w:val="0"/>
        <w:snapToGrid w:val="0"/>
        <w:spacing w:line="360" w:lineRule="auto"/>
        <w:ind w:left="421" w:leftChars="200" w:hanging="1"/>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   购   人：</w:t>
      </w:r>
      <w:r>
        <w:rPr>
          <w:rFonts w:hint="eastAsia" w:ascii="宋体" w:hAnsi="宋体" w:cs="宋体"/>
          <w:b/>
          <w:color w:val="auto"/>
          <w:sz w:val="32"/>
          <w:szCs w:val="32"/>
          <w:highlight w:val="none"/>
          <w:u w:val="single"/>
          <w:lang w:eastAsia="zh-CN"/>
        </w:rPr>
        <w:t>张家界市机关事务管理局</w:t>
      </w:r>
    </w:p>
    <w:p w14:paraId="1AEEA50D">
      <w:pPr>
        <w:adjustRightInd w:val="0"/>
        <w:snapToGrid w:val="0"/>
        <w:spacing w:line="360" w:lineRule="auto"/>
        <w:ind w:left="421" w:leftChars="200" w:hanging="1"/>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采购代理机构：</w:t>
      </w:r>
      <w:r>
        <w:rPr>
          <w:rFonts w:hint="eastAsia" w:ascii="宋体" w:hAnsi="宋体" w:eastAsia="宋体" w:cs="宋体"/>
          <w:b/>
          <w:color w:val="auto"/>
          <w:sz w:val="32"/>
          <w:szCs w:val="32"/>
          <w:highlight w:val="none"/>
          <w:u w:val="single"/>
          <w:lang w:val="en-US" w:eastAsia="zh-CN"/>
        </w:rPr>
        <w:t>张家界方正建设项目管理有限公司</w:t>
      </w:r>
      <w:r>
        <w:rPr>
          <w:rFonts w:hint="eastAsia" w:ascii="宋体" w:hAnsi="宋体" w:cs="宋体"/>
          <w:b/>
          <w:color w:val="auto"/>
          <w:sz w:val="32"/>
          <w:szCs w:val="32"/>
          <w:highlight w:val="none"/>
          <w:lang w:val="en-US" w:eastAsia="zh-CN"/>
        </w:rPr>
        <w:t xml:space="preserve"> </w:t>
      </w:r>
    </w:p>
    <w:p w14:paraId="447E7499">
      <w:pPr>
        <w:pStyle w:val="11"/>
        <w:adjustRightInd w:val="0"/>
        <w:snapToGrid w:val="0"/>
        <w:spacing w:line="360" w:lineRule="auto"/>
        <w:ind w:left="645" w:leftChars="307"/>
        <w:jc w:val="center"/>
        <w:rPr>
          <w:b/>
          <w:color w:val="auto"/>
          <w:sz w:val="32"/>
          <w:szCs w:val="32"/>
          <w:highlight w:val="none"/>
        </w:rPr>
      </w:pPr>
    </w:p>
    <w:p w14:paraId="555EC0E9">
      <w:pPr>
        <w:pStyle w:val="11"/>
        <w:adjustRightInd w:val="0"/>
        <w:snapToGrid w:val="0"/>
        <w:spacing w:line="360" w:lineRule="auto"/>
        <w:jc w:val="center"/>
        <w:rPr>
          <w:rFonts w:ascii="仿宋_GB2312" w:hAnsi="宋体" w:eastAsia="仿宋_GB2312"/>
          <w:b/>
          <w:color w:val="auto"/>
          <w:sz w:val="32"/>
          <w:highlight w:val="none"/>
        </w:rPr>
      </w:pPr>
    </w:p>
    <w:p w14:paraId="7810C7D4">
      <w:pPr>
        <w:pStyle w:val="11"/>
        <w:adjustRightInd w:val="0"/>
        <w:snapToGrid w:val="0"/>
        <w:spacing w:line="360" w:lineRule="auto"/>
        <w:rPr>
          <w:rFonts w:ascii="仿宋_GB2312" w:hAnsi="宋体" w:eastAsia="仿宋_GB2312"/>
          <w:b/>
          <w:color w:val="auto"/>
          <w:sz w:val="32"/>
          <w:highlight w:val="none"/>
        </w:rPr>
      </w:pPr>
    </w:p>
    <w:p w14:paraId="295C62C5">
      <w:pPr>
        <w:pStyle w:val="11"/>
        <w:adjustRightInd w:val="0"/>
        <w:snapToGrid w:val="0"/>
        <w:spacing w:line="360" w:lineRule="auto"/>
        <w:jc w:val="center"/>
        <w:rPr>
          <w:rFonts w:hAnsi="Times New Roman" w:cs="Times New Roman"/>
          <w:b/>
          <w:color w:val="auto"/>
          <w:sz w:val="32"/>
          <w:highlight w:val="none"/>
        </w:rPr>
      </w:pPr>
      <w:r>
        <w:rPr>
          <w:rFonts w:hint="eastAsia" w:hAnsi="Times New Roman" w:cs="Times New Roman"/>
          <w:b/>
          <w:color w:val="auto"/>
          <w:sz w:val="32"/>
          <w:highlight w:val="none"/>
        </w:rPr>
        <w:t>二〇二</w:t>
      </w:r>
      <w:r>
        <w:rPr>
          <w:rFonts w:hint="eastAsia" w:hAnsi="Times New Roman" w:cs="Times New Roman"/>
          <w:b/>
          <w:color w:val="auto"/>
          <w:sz w:val="32"/>
          <w:highlight w:val="none"/>
          <w:lang w:val="en-US" w:eastAsia="zh-CN"/>
        </w:rPr>
        <w:t>六</w:t>
      </w:r>
      <w:r>
        <w:rPr>
          <w:rFonts w:hint="eastAsia" w:hAnsi="Times New Roman" w:cs="Times New Roman"/>
          <w:b/>
          <w:color w:val="auto"/>
          <w:sz w:val="32"/>
          <w:highlight w:val="none"/>
        </w:rPr>
        <w:t>年</w:t>
      </w:r>
      <w:r>
        <w:rPr>
          <w:rFonts w:hint="eastAsia" w:hAnsi="Times New Roman" w:cs="Times New Roman"/>
          <w:b/>
          <w:color w:val="auto"/>
          <w:sz w:val="32"/>
          <w:highlight w:val="none"/>
          <w:lang w:val="en-US" w:eastAsia="zh-CN"/>
        </w:rPr>
        <w:t>十</w:t>
      </w:r>
      <w:r>
        <w:rPr>
          <w:rFonts w:hint="eastAsia" w:hAnsi="Times New Roman" w:cs="Times New Roman"/>
          <w:b/>
          <w:color w:val="auto"/>
          <w:sz w:val="32"/>
          <w:highlight w:val="none"/>
        </w:rPr>
        <w:t>月</w:t>
      </w:r>
    </w:p>
    <w:p w14:paraId="54D89BCA">
      <w:pPr>
        <w:widowControl/>
        <w:jc w:val="left"/>
        <w:rPr>
          <w:rFonts w:ascii="宋体" w:hAnsi="Times New Roman"/>
          <w:b/>
          <w:color w:val="auto"/>
          <w:sz w:val="32"/>
          <w:szCs w:val="21"/>
          <w:highlight w:val="none"/>
        </w:rPr>
      </w:pPr>
      <w:r>
        <w:rPr>
          <w:rFonts w:hAnsi="Times New Roman"/>
          <w:b/>
          <w:color w:val="auto"/>
          <w:sz w:val="32"/>
          <w:highlight w:val="none"/>
        </w:rPr>
        <w:br w:type="page"/>
      </w:r>
    </w:p>
    <w:p w14:paraId="20FDD918">
      <w:pPr>
        <w:pStyle w:val="11"/>
        <w:adjustRightInd w:val="0"/>
        <w:snapToGrid w:val="0"/>
        <w:spacing w:line="360" w:lineRule="auto"/>
        <w:jc w:val="center"/>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目录</w:t>
      </w:r>
    </w:p>
    <w:p w14:paraId="72ECDCE6">
      <w:pPr>
        <w:pStyle w:val="15"/>
        <w:tabs>
          <w:tab w:val="right" w:leader="dot" w:pos="8306"/>
        </w:tabs>
      </w:pPr>
      <w:r>
        <w:rPr>
          <w:rFonts w:hint="eastAsia" w:ascii="黑体" w:hAnsi="黑体" w:eastAsia="黑体" w:cs="黑体"/>
          <w:b w:val="0"/>
          <w:bCs w:val="0"/>
          <w:color w:val="auto"/>
          <w:sz w:val="21"/>
          <w:szCs w:val="21"/>
          <w:highlight w:val="none"/>
        </w:rPr>
        <w:fldChar w:fldCharType="begin"/>
      </w:r>
      <w:r>
        <w:rPr>
          <w:rFonts w:hint="eastAsia" w:ascii="黑体" w:hAnsi="黑体" w:eastAsia="黑体" w:cs="黑体"/>
          <w:b w:val="0"/>
          <w:bCs w:val="0"/>
          <w:color w:val="auto"/>
          <w:sz w:val="21"/>
          <w:szCs w:val="21"/>
          <w:highlight w:val="none"/>
        </w:rPr>
        <w:instrText xml:space="preserve"> TOC \o "1-3" \h \z \u </w:instrText>
      </w:r>
      <w:r>
        <w:rPr>
          <w:rFonts w:hint="eastAsia" w:ascii="黑体" w:hAnsi="黑体" w:eastAsia="黑体" w:cs="黑体"/>
          <w:b w:val="0"/>
          <w:bCs w:val="0"/>
          <w:color w:val="auto"/>
          <w:sz w:val="21"/>
          <w:szCs w:val="21"/>
          <w:highlight w:val="none"/>
        </w:rPr>
        <w:fldChar w:fldCharType="separate"/>
      </w: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_Toc4053 </w:instrText>
      </w:r>
      <w:r>
        <w:rPr>
          <w:rFonts w:hint="eastAsia" w:ascii="黑体" w:hAnsi="黑体" w:eastAsia="黑体" w:cs="黑体"/>
          <w:bCs w:val="0"/>
          <w:szCs w:val="21"/>
          <w:highlight w:val="none"/>
        </w:rPr>
        <w:fldChar w:fldCharType="separate"/>
      </w:r>
      <w:r>
        <w:rPr>
          <w:rFonts w:hint="eastAsia" w:ascii="黑体" w:hAnsi="黑体" w:eastAsia="黑体"/>
          <w:szCs w:val="32"/>
          <w:highlight w:val="none"/>
        </w:rPr>
        <w:t>第一章  磋商邀请</w:t>
      </w:r>
      <w:r>
        <w:tab/>
      </w:r>
      <w:r>
        <w:fldChar w:fldCharType="begin"/>
      </w:r>
      <w:r>
        <w:instrText xml:space="preserve"> PAGEREF _Toc4053 \h </w:instrText>
      </w:r>
      <w:r>
        <w:fldChar w:fldCharType="separate"/>
      </w:r>
      <w:r>
        <w:t>- 4 -</w:t>
      </w:r>
      <w:r>
        <w:fldChar w:fldCharType="end"/>
      </w:r>
      <w:r>
        <w:rPr>
          <w:rFonts w:hint="eastAsia" w:ascii="黑体" w:hAnsi="黑体" w:eastAsia="黑体" w:cs="黑体"/>
          <w:bCs w:val="0"/>
          <w:color w:val="auto"/>
          <w:szCs w:val="21"/>
          <w:highlight w:val="none"/>
        </w:rPr>
        <w:fldChar w:fldCharType="end"/>
      </w:r>
    </w:p>
    <w:p w14:paraId="13942130">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_Toc13095 </w:instrText>
      </w:r>
      <w:r>
        <w:rPr>
          <w:rFonts w:hint="eastAsia" w:ascii="黑体" w:hAnsi="黑体" w:eastAsia="黑体" w:cs="黑体"/>
          <w:bCs w:val="0"/>
          <w:szCs w:val="21"/>
          <w:highlight w:val="none"/>
        </w:rPr>
        <w:fldChar w:fldCharType="separate"/>
      </w:r>
      <w:r>
        <w:rPr>
          <w:rFonts w:hint="eastAsia" w:ascii="黑体" w:hAnsi="黑体" w:eastAsia="黑体"/>
          <w:bCs/>
          <w:szCs w:val="32"/>
          <w:highlight w:val="none"/>
        </w:rPr>
        <w:t>一、项目概况</w:t>
      </w:r>
      <w:r>
        <w:tab/>
      </w:r>
      <w:r>
        <w:fldChar w:fldCharType="begin"/>
      </w:r>
      <w:r>
        <w:instrText xml:space="preserve"> PAGEREF _Toc13095 \h </w:instrText>
      </w:r>
      <w:r>
        <w:fldChar w:fldCharType="separate"/>
      </w:r>
      <w:r>
        <w:t>- 4 -</w:t>
      </w:r>
      <w:r>
        <w:fldChar w:fldCharType="end"/>
      </w:r>
      <w:r>
        <w:rPr>
          <w:rFonts w:hint="eastAsia" w:ascii="黑体" w:hAnsi="黑体" w:eastAsia="黑体" w:cs="黑体"/>
          <w:bCs w:val="0"/>
          <w:color w:val="auto"/>
          <w:szCs w:val="21"/>
          <w:highlight w:val="none"/>
        </w:rPr>
        <w:fldChar w:fldCharType="end"/>
      </w:r>
    </w:p>
    <w:p w14:paraId="0549437F">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_Toc8622 </w:instrText>
      </w:r>
      <w:r>
        <w:rPr>
          <w:rFonts w:hint="eastAsia" w:ascii="黑体" w:hAnsi="黑体" w:eastAsia="黑体" w:cs="黑体"/>
          <w:bCs w:val="0"/>
          <w:szCs w:val="21"/>
          <w:highlight w:val="none"/>
        </w:rPr>
        <w:fldChar w:fldCharType="separate"/>
      </w:r>
      <w:r>
        <w:rPr>
          <w:rFonts w:hint="eastAsia" w:ascii="黑体" w:hAnsi="黑体" w:eastAsia="黑体"/>
          <w:bCs/>
          <w:szCs w:val="32"/>
          <w:highlight w:val="none"/>
        </w:rPr>
        <w:t>二、采购需求</w:t>
      </w:r>
      <w:r>
        <w:tab/>
      </w:r>
      <w:r>
        <w:fldChar w:fldCharType="begin"/>
      </w:r>
      <w:r>
        <w:instrText xml:space="preserve"> PAGEREF _Toc8622 \h </w:instrText>
      </w:r>
      <w:r>
        <w:fldChar w:fldCharType="separate"/>
      </w:r>
      <w:r>
        <w:t>- 4 -</w:t>
      </w:r>
      <w:r>
        <w:fldChar w:fldCharType="end"/>
      </w:r>
      <w:r>
        <w:rPr>
          <w:rFonts w:hint="eastAsia" w:ascii="黑体" w:hAnsi="黑体" w:eastAsia="黑体" w:cs="黑体"/>
          <w:bCs w:val="0"/>
          <w:color w:val="auto"/>
          <w:szCs w:val="21"/>
          <w:highlight w:val="none"/>
        </w:rPr>
        <w:fldChar w:fldCharType="end"/>
      </w:r>
    </w:p>
    <w:p w14:paraId="591CCCC5">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_Toc26256 </w:instrText>
      </w:r>
      <w:r>
        <w:rPr>
          <w:rFonts w:hint="eastAsia" w:ascii="黑体" w:hAnsi="黑体" w:eastAsia="黑体" w:cs="黑体"/>
          <w:bCs w:val="0"/>
          <w:szCs w:val="21"/>
          <w:highlight w:val="none"/>
        </w:rPr>
        <w:fldChar w:fldCharType="separate"/>
      </w:r>
      <w:r>
        <w:rPr>
          <w:rFonts w:hint="eastAsia" w:ascii="黑体" w:hAnsi="黑体" w:eastAsia="黑体"/>
          <w:bCs/>
          <w:szCs w:val="32"/>
          <w:highlight w:val="none"/>
        </w:rPr>
        <w:t>三、采购项目需落实的政府采购政策</w:t>
      </w:r>
      <w:r>
        <w:tab/>
      </w:r>
      <w:r>
        <w:fldChar w:fldCharType="begin"/>
      </w:r>
      <w:r>
        <w:instrText xml:space="preserve"> PAGEREF _Toc26256 \h </w:instrText>
      </w:r>
      <w:r>
        <w:fldChar w:fldCharType="separate"/>
      </w:r>
      <w:r>
        <w:t>- 4 -</w:t>
      </w:r>
      <w:r>
        <w:fldChar w:fldCharType="end"/>
      </w:r>
      <w:r>
        <w:rPr>
          <w:rFonts w:hint="eastAsia" w:ascii="黑体" w:hAnsi="黑体" w:eastAsia="黑体" w:cs="黑体"/>
          <w:bCs w:val="0"/>
          <w:color w:val="auto"/>
          <w:szCs w:val="21"/>
          <w:highlight w:val="none"/>
        </w:rPr>
        <w:fldChar w:fldCharType="end"/>
      </w:r>
    </w:p>
    <w:p w14:paraId="1162D29C">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_Toc22712 </w:instrText>
      </w:r>
      <w:r>
        <w:rPr>
          <w:rFonts w:hint="eastAsia" w:ascii="黑体" w:hAnsi="黑体" w:eastAsia="黑体" w:cs="黑体"/>
          <w:bCs w:val="0"/>
          <w:szCs w:val="21"/>
          <w:highlight w:val="none"/>
        </w:rPr>
        <w:fldChar w:fldCharType="separate"/>
      </w:r>
      <w:r>
        <w:rPr>
          <w:rFonts w:hint="eastAsia" w:ascii="黑体" w:hAnsi="黑体" w:eastAsia="黑体"/>
          <w:bCs/>
          <w:szCs w:val="32"/>
          <w:highlight w:val="none"/>
        </w:rPr>
        <w:t>四、供应商的资格要求</w:t>
      </w:r>
      <w:r>
        <w:tab/>
      </w:r>
      <w:r>
        <w:fldChar w:fldCharType="begin"/>
      </w:r>
      <w:r>
        <w:instrText xml:space="preserve"> PAGEREF _Toc22712 \h </w:instrText>
      </w:r>
      <w:r>
        <w:fldChar w:fldCharType="separate"/>
      </w:r>
      <w:r>
        <w:t>- 5 -</w:t>
      </w:r>
      <w:r>
        <w:fldChar w:fldCharType="end"/>
      </w:r>
      <w:r>
        <w:rPr>
          <w:rFonts w:hint="eastAsia" w:ascii="黑体" w:hAnsi="黑体" w:eastAsia="黑体" w:cs="黑体"/>
          <w:bCs w:val="0"/>
          <w:color w:val="auto"/>
          <w:szCs w:val="21"/>
          <w:highlight w:val="none"/>
        </w:rPr>
        <w:fldChar w:fldCharType="end"/>
      </w:r>
    </w:p>
    <w:p w14:paraId="046F97DB">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_Toc10572 </w:instrText>
      </w:r>
      <w:r>
        <w:rPr>
          <w:rFonts w:hint="eastAsia" w:ascii="黑体" w:hAnsi="黑体" w:eastAsia="黑体" w:cs="黑体"/>
          <w:bCs w:val="0"/>
          <w:szCs w:val="21"/>
          <w:highlight w:val="none"/>
        </w:rPr>
        <w:fldChar w:fldCharType="separate"/>
      </w:r>
      <w:r>
        <w:rPr>
          <w:rFonts w:hint="eastAsia" w:ascii="黑体" w:hAnsi="黑体" w:eastAsia="黑体"/>
          <w:highlight w:val="none"/>
        </w:rPr>
        <w:t>五、获取招标文件的时间、期限、地点及方式</w:t>
      </w:r>
      <w:r>
        <w:tab/>
      </w:r>
      <w:r>
        <w:fldChar w:fldCharType="begin"/>
      </w:r>
      <w:r>
        <w:instrText xml:space="preserve"> PAGEREF _Toc10572 \h </w:instrText>
      </w:r>
      <w:r>
        <w:fldChar w:fldCharType="separate"/>
      </w:r>
      <w:r>
        <w:t>- 5 -</w:t>
      </w:r>
      <w:r>
        <w:fldChar w:fldCharType="end"/>
      </w:r>
      <w:r>
        <w:rPr>
          <w:rFonts w:hint="eastAsia" w:ascii="黑体" w:hAnsi="黑体" w:eastAsia="黑体" w:cs="黑体"/>
          <w:bCs w:val="0"/>
          <w:color w:val="auto"/>
          <w:szCs w:val="21"/>
          <w:highlight w:val="none"/>
        </w:rPr>
        <w:fldChar w:fldCharType="end"/>
      </w:r>
    </w:p>
    <w:p w14:paraId="32525787">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_Toc17943 </w:instrText>
      </w:r>
      <w:r>
        <w:rPr>
          <w:rFonts w:hint="eastAsia" w:ascii="黑体" w:hAnsi="黑体" w:eastAsia="黑体" w:cs="黑体"/>
          <w:bCs w:val="0"/>
          <w:szCs w:val="21"/>
          <w:highlight w:val="none"/>
        </w:rPr>
        <w:fldChar w:fldCharType="separate"/>
      </w:r>
      <w:r>
        <w:rPr>
          <w:rFonts w:hint="eastAsia" w:ascii="黑体" w:hAnsi="黑体" w:eastAsia="黑体"/>
          <w:highlight w:val="none"/>
        </w:rPr>
        <w:t>六、投标截止时间、开标时间及地点</w:t>
      </w:r>
      <w:r>
        <w:tab/>
      </w:r>
      <w:r>
        <w:fldChar w:fldCharType="begin"/>
      </w:r>
      <w:r>
        <w:instrText xml:space="preserve"> PAGEREF _Toc17943 \h </w:instrText>
      </w:r>
      <w:r>
        <w:fldChar w:fldCharType="separate"/>
      </w:r>
      <w:r>
        <w:t>- 6 -</w:t>
      </w:r>
      <w:r>
        <w:fldChar w:fldCharType="end"/>
      </w:r>
      <w:r>
        <w:rPr>
          <w:rFonts w:hint="eastAsia" w:ascii="黑体" w:hAnsi="黑体" w:eastAsia="黑体" w:cs="黑体"/>
          <w:bCs w:val="0"/>
          <w:color w:val="auto"/>
          <w:szCs w:val="21"/>
          <w:highlight w:val="none"/>
        </w:rPr>
        <w:fldChar w:fldCharType="end"/>
      </w:r>
    </w:p>
    <w:p w14:paraId="4FAF1C5C">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_Toc30990 </w:instrText>
      </w:r>
      <w:r>
        <w:rPr>
          <w:rFonts w:hint="eastAsia" w:ascii="黑体" w:hAnsi="黑体" w:eastAsia="黑体" w:cs="黑体"/>
          <w:bCs w:val="0"/>
          <w:szCs w:val="21"/>
          <w:highlight w:val="none"/>
        </w:rPr>
        <w:fldChar w:fldCharType="separate"/>
      </w:r>
      <w:r>
        <w:rPr>
          <w:rFonts w:hint="eastAsia" w:ascii="黑体" w:hAnsi="黑体" w:eastAsia="黑体"/>
          <w:highlight w:val="none"/>
        </w:rPr>
        <w:t>七、公告期限</w:t>
      </w:r>
      <w:r>
        <w:tab/>
      </w:r>
      <w:r>
        <w:fldChar w:fldCharType="begin"/>
      </w:r>
      <w:r>
        <w:instrText xml:space="preserve"> PAGEREF _Toc30990 \h </w:instrText>
      </w:r>
      <w:r>
        <w:fldChar w:fldCharType="separate"/>
      </w:r>
      <w:r>
        <w:t>- 6 -</w:t>
      </w:r>
      <w:r>
        <w:fldChar w:fldCharType="end"/>
      </w:r>
      <w:r>
        <w:rPr>
          <w:rFonts w:hint="eastAsia" w:ascii="黑体" w:hAnsi="黑体" w:eastAsia="黑体" w:cs="黑体"/>
          <w:bCs w:val="0"/>
          <w:color w:val="auto"/>
          <w:szCs w:val="21"/>
          <w:highlight w:val="none"/>
        </w:rPr>
        <w:fldChar w:fldCharType="end"/>
      </w:r>
    </w:p>
    <w:p w14:paraId="08CD45A6">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_Toc25941 </w:instrText>
      </w:r>
      <w:r>
        <w:rPr>
          <w:rFonts w:hint="eastAsia" w:ascii="黑体" w:hAnsi="黑体" w:eastAsia="黑体" w:cs="黑体"/>
          <w:bCs w:val="0"/>
          <w:szCs w:val="21"/>
          <w:highlight w:val="none"/>
        </w:rPr>
        <w:fldChar w:fldCharType="separate"/>
      </w:r>
      <w:r>
        <w:rPr>
          <w:rFonts w:hint="eastAsia" w:ascii="黑体" w:hAnsi="黑体" w:eastAsia="黑体"/>
          <w:highlight w:val="none"/>
        </w:rPr>
        <w:t>八、询问及质疑</w:t>
      </w:r>
      <w:r>
        <w:tab/>
      </w:r>
      <w:r>
        <w:fldChar w:fldCharType="begin"/>
      </w:r>
      <w:r>
        <w:instrText xml:space="preserve"> PAGEREF _Toc25941 \h </w:instrText>
      </w:r>
      <w:r>
        <w:fldChar w:fldCharType="separate"/>
      </w:r>
      <w:r>
        <w:t>- 6 -</w:t>
      </w:r>
      <w:r>
        <w:fldChar w:fldCharType="end"/>
      </w:r>
      <w:r>
        <w:rPr>
          <w:rFonts w:hint="eastAsia" w:ascii="黑体" w:hAnsi="黑体" w:eastAsia="黑体" w:cs="黑体"/>
          <w:bCs w:val="0"/>
          <w:color w:val="auto"/>
          <w:szCs w:val="21"/>
          <w:highlight w:val="none"/>
        </w:rPr>
        <w:fldChar w:fldCharType="end"/>
      </w:r>
    </w:p>
    <w:p w14:paraId="012E8077">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_Toc28012 </w:instrText>
      </w:r>
      <w:r>
        <w:rPr>
          <w:rFonts w:hint="eastAsia" w:ascii="黑体" w:hAnsi="黑体" w:eastAsia="黑体" w:cs="黑体"/>
          <w:bCs w:val="0"/>
          <w:szCs w:val="21"/>
          <w:highlight w:val="none"/>
        </w:rPr>
        <w:fldChar w:fldCharType="separate"/>
      </w:r>
      <w:r>
        <w:rPr>
          <w:rFonts w:hint="eastAsia" w:ascii="黑体" w:hAnsi="黑体" w:eastAsia="黑体"/>
          <w:highlight w:val="none"/>
        </w:rPr>
        <w:t>九、投标说明</w:t>
      </w:r>
      <w:r>
        <w:tab/>
      </w:r>
      <w:r>
        <w:fldChar w:fldCharType="begin"/>
      </w:r>
      <w:r>
        <w:instrText xml:space="preserve"> PAGEREF _Toc28012 \h </w:instrText>
      </w:r>
      <w:r>
        <w:fldChar w:fldCharType="separate"/>
      </w:r>
      <w:r>
        <w:t>- 6 -</w:t>
      </w:r>
      <w:r>
        <w:fldChar w:fldCharType="end"/>
      </w:r>
      <w:r>
        <w:rPr>
          <w:rFonts w:hint="eastAsia" w:ascii="黑体" w:hAnsi="黑体" w:eastAsia="黑体" w:cs="黑体"/>
          <w:bCs w:val="0"/>
          <w:color w:val="auto"/>
          <w:szCs w:val="21"/>
          <w:highlight w:val="none"/>
        </w:rPr>
        <w:fldChar w:fldCharType="end"/>
      </w:r>
    </w:p>
    <w:p w14:paraId="416FA8F0">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_Toc6421 </w:instrText>
      </w:r>
      <w:r>
        <w:rPr>
          <w:rFonts w:hint="eastAsia" w:ascii="黑体" w:hAnsi="黑体" w:eastAsia="黑体" w:cs="黑体"/>
          <w:bCs w:val="0"/>
          <w:szCs w:val="21"/>
          <w:highlight w:val="none"/>
        </w:rPr>
        <w:fldChar w:fldCharType="separate"/>
      </w:r>
      <w:r>
        <w:rPr>
          <w:rFonts w:hint="eastAsia" w:ascii="黑体" w:hAnsi="黑体" w:eastAsia="黑体"/>
          <w:highlight w:val="none"/>
        </w:rPr>
        <w:t>十、采购项目联系人姓名和电话</w:t>
      </w:r>
      <w:r>
        <w:tab/>
      </w:r>
      <w:r>
        <w:fldChar w:fldCharType="begin"/>
      </w:r>
      <w:r>
        <w:instrText xml:space="preserve"> PAGEREF _Toc6421 \h </w:instrText>
      </w:r>
      <w:r>
        <w:fldChar w:fldCharType="separate"/>
      </w:r>
      <w:r>
        <w:t>- 6 -</w:t>
      </w:r>
      <w:r>
        <w:fldChar w:fldCharType="end"/>
      </w:r>
      <w:r>
        <w:rPr>
          <w:rFonts w:hint="eastAsia" w:ascii="黑体" w:hAnsi="黑体" w:eastAsia="黑体" w:cs="黑体"/>
          <w:bCs w:val="0"/>
          <w:color w:val="auto"/>
          <w:szCs w:val="21"/>
          <w:highlight w:val="none"/>
        </w:rPr>
        <w:fldChar w:fldCharType="end"/>
      </w:r>
    </w:p>
    <w:p w14:paraId="2F513A39">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_Toc2620 </w:instrText>
      </w:r>
      <w:r>
        <w:rPr>
          <w:rFonts w:hint="eastAsia" w:ascii="黑体" w:hAnsi="黑体" w:eastAsia="黑体" w:cs="黑体"/>
          <w:bCs w:val="0"/>
          <w:szCs w:val="21"/>
          <w:highlight w:val="none"/>
        </w:rPr>
        <w:fldChar w:fldCharType="separate"/>
      </w:r>
      <w:r>
        <w:rPr>
          <w:rFonts w:hint="eastAsia" w:ascii="黑体" w:hAnsi="黑体" w:eastAsia="黑体"/>
          <w:highlight w:val="none"/>
        </w:rPr>
        <w:t>十一、采购人、采购代理机构的名称、地址和联系方法</w:t>
      </w:r>
      <w:r>
        <w:tab/>
      </w:r>
      <w:r>
        <w:fldChar w:fldCharType="begin"/>
      </w:r>
      <w:r>
        <w:instrText xml:space="preserve"> PAGEREF _Toc2620 \h </w:instrText>
      </w:r>
      <w:r>
        <w:fldChar w:fldCharType="separate"/>
      </w:r>
      <w:r>
        <w:t>- 6 -</w:t>
      </w:r>
      <w:r>
        <w:fldChar w:fldCharType="end"/>
      </w:r>
      <w:r>
        <w:rPr>
          <w:rFonts w:hint="eastAsia" w:ascii="黑体" w:hAnsi="黑体" w:eastAsia="黑体" w:cs="黑体"/>
          <w:bCs w:val="0"/>
          <w:color w:val="auto"/>
          <w:szCs w:val="21"/>
          <w:highlight w:val="none"/>
        </w:rPr>
        <w:fldChar w:fldCharType="end"/>
      </w:r>
    </w:p>
    <w:p w14:paraId="632F0575">
      <w:pPr>
        <w:pStyle w:val="15"/>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_Toc23185 </w:instrText>
      </w:r>
      <w:r>
        <w:rPr>
          <w:rFonts w:hint="eastAsia" w:ascii="黑体" w:hAnsi="黑体" w:eastAsia="黑体" w:cs="黑体"/>
          <w:bCs w:val="0"/>
          <w:szCs w:val="21"/>
          <w:highlight w:val="none"/>
        </w:rPr>
        <w:fldChar w:fldCharType="separate"/>
      </w:r>
      <w:r>
        <w:rPr>
          <w:rFonts w:hint="eastAsia" w:ascii="黑体" w:hAnsi="黑体" w:eastAsia="黑体"/>
          <w:szCs w:val="32"/>
          <w:highlight w:val="none"/>
        </w:rPr>
        <w:t>第二章 磋商须知</w:t>
      </w:r>
      <w:r>
        <w:tab/>
      </w:r>
      <w:r>
        <w:fldChar w:fldCharType="begin"/>
      </w:r>
      <w:r>
        <w:instrText xml:space="preserve"> PAGEREF _Toc23185 \h </w:instrText>
      </w:r>
      <w:r>
        <w:fldChar w:fldCharType="separate"/>
      </w:r>
      <w:r>
        <w:t>- 8 -</w:t>
      </w:r>
      <w:r>
        <w:fldChar w:fldCharType="end"/>
      </w:r>
      <w:r>
        <w:rPr>
          <w:rFonts w:hint="eastAsia" w:ascii="黑体" w:hAnsi="黑体" w:eastAsia="黑体" w:cs="黑体"/>
          <w:bCs w:val="0"/>
          <w:color w:val="auto"/>
          <w:szCs w:val="21"/>
          <w:highlight w:val="none"/>
        </w:rPr>
        <w:fldChar w:fldCharType="end"/>
      </w:r>
    </w:p>
    <w:p w14:paraId="6380EF07">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_Toc15783 </w:instrText>
      </w:r>
      <w:r>
        <w:rPr>
          <w:rFonts w:hint="eastAsia" w:ascii="黑体" w:hAnsi="黑体" w:eastAsia="黑体" w:cs="黑体"/>
          <w:bCs w:val="0"/>
          <w:szCs w:val="21"/>
          <w:highlight w:val="none"/>
        </w:rPr>
        <w:fldChar w:fldCharType="separate"/>
      </w:r>
      <w:r>
        <w:rPr>
          <w:rFonts w:hint="eastAsia" w:ascii="黑体" w:hAnsi="黑体" w:eastAsia="黑体"/>
          <w:szCs w:val="28"/>
          <w:highlight w:val="none"/>
        </w:rPr>
        <w:t>第一节 磋商须知前附表</w:t>
      </w:r>
      <w:r>
        <w:tab/>
      </w:r>
      <w:r>
        <w:fldChar w:fldCharType="begin"/>
      </w:r>
      <w:r>
        <w:instrText xml:space="preserve"> PAGEREF _Toc15783 \h </w:instrText>
      </w:r>
      <w:r>
        <w:fldChar w:fldCharType="separate"/>
      </w:r>
      <w:r>
        <w:t>- 8 -</w:t>
      </w:r>
      <w:r>
        <w:fldChar w:fldCharType="end"/>
      </w:r>
      <w:r>
        <w:rPr>
          <w:rFonts w:hint="eastAsia" w:ascii="黑体" w:hAnsi="黑体" w:eastAsia="黑体" w:cs="黑体"/>
          <w:bCs w:val="0"/>
          <w:color w:val="auto"/>
          <w:szCs w:val="21"/>
          <w:highlight w:val="none"/>
        </w:rPr>
        <w:fldChar w:fldCharType="end"/>
      </w:r>
    </w:p>
    <w:p w14:paraId="2C62BD0E">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_Toc6614 </w:instrText>
      </w:r>
      <w:r>
        <w:rPr>
          <w:rFonts w:hint="eastAsia" w:ascii="黑体" w:hAnsi="黑体" w:eastAsia="黑体" w:cs="黑体"/>
          <w:bCs w:val="0"/>
          <w:szCs w:val="21"/>
          <w:highlight w:val="none"/>
        </w:rPr>
        <w:fldChar w:fldCharType="separate"/>
      </w:r>
      <w:r>
        <w:rPr>
          <w:rFonts w:hint="eastAsia" w:ascii="黑体" w:hAnsi="黑体" w:eastAsia="黑体"/>
          <w:szCs w:val="28"/>
          <w:highlight w:val="none"/>
        </w:rPr>
        <w:t>第二节  磋商须知正文</w:t>
      </w:r>
      <w:r>
        <w:tab/>
      </w:r>
      <w:r>
        <w:fldChar w:fldCharType="begin"/>
      </w:r>
      <w:r>
        <w:instrText xml:space="preserve"> PAGEREF _Toc6614 \h </w:instrText>
      </w:r>
      <w:r>
        <w:fldChar w:fldCharType="separate"/>
      </w:r>
      <w:r>
        <w:t>- 18 -</w:t>
      </w:r>
      <w:r>
        <w:fldChar w:fldCharType="end"/>
      </w:r>
      <w:r>
        <w:rPr>
          <w:rFonts w:hint="eastAsia" w:ascii="黑体" w:hAnsi="黑体" w:eastAsia="黑体" w:cs="黑体"/>
          <w:bCs w:val="0"/>
          <w:color w:val="auto"/>
          <w:szCs w:val="21"/>
          <w:highlight w:val="none"/>
        </w:rPr>
        <w:fldChar w:fldCharType="end"/>
      </w:r>
    </w:p>
    <w:p w14:paraId="710D0AF7">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_Toc12259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一、说明</w:t>
      </w:r>
      <w:r>
        <w:tab/>
      </w:r>
      <w:r>
        <w:fldChar w:fldCharType="begin"/>
      </w:r>
      <w:r>
        <w:instrText xml:space="preserve"> PAGEREF _Toc12259 \h </w:instrText>
      </w:r>
      <w:r>
        <w:fldChar w:fldCharType="separate"/>
      </w:r>
      <w:r>
        <w:t>- 18 -</w:t>
      </w:r>
      <w:r>
        <w:fldChar w:fldCharType="end"/>
      </w:r>
      <w:r>
        <w:rPr>
          <w:rFonts w:hint="eastAsia" w:ascii="黑体" w:hAnsi="黑体" w:eastAsia="黑体" w:cs="黑体"/>
          <w:bCs w:val="0"/>
          <w:color w:val="auto"/>
          <w:szCs w:val="21"/>
          <w:highlight w:val="none"/>
        </w:rPr>
        <w:fldChar w:fldCharType="end"/>
      </w:r>
    </w:p>
    <w:p w14:paraId="59A31E68">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_Toc32029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二、磋商文件</w:t>
      </w:r>
      <w:r>
        <w:tab/>
      </w:r>
      <w:r>
        <w:fldChar w:fldCharType="begin"/>
      </w:r>
      <w:r>
        <w:instrText xml:space="preserve"> PAGEREF _Toc32029 \h </w:instrText>
      </w:r>
      <w:r>
        <w:fldChar w:fldCharType="separate"/>
      </w:r>
      <w:r>
        <w:t>- 20 -</w:t>
      </w:r>
      <w:r>
        <w:fldChar w:fldCharType="end"/>
      </w:r>
      <w:r>
        <w:rPr>
          <w:rFonts w:hint="eastAsia" w:ascii="黑体" w:hAnsi="黑体" w:eastAsia="黑体" w:cs="黑体"/>
          <w:bCs w:val="0"/>
          <w:color w:val="auto"/>
          <w:szCs w:val="21"/>
          <w:highlight w:val="none"/>
        </w:rPr>
        <w:fldChar w:fldCharType="end"/>
      </w:r>
    </w:p>
    <w:p w14:paraId="6EEE8516">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_Toc31162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三、响应文件</w:t>
      </w:r>
      <w:r>
        <w:tab/>
      </w:r>
      <w:r>
        <w:fldChar w:fldCharType="begin"/>
      </w:r>
      <w:r>
        <w:instrText xml:space="preserve"> PAGEREF _Toc31162 \h </w:instrText>
      </w:r>
      <w:r>
        <w:fldChar w:fldCharType="separate"/>
      </w:r>
      <w:r>
        <w:t>- 21 -</w:t>
      </w:r>
      <w:r>
        <w:fldChar w:fldCharType="end"/>
      </w:r>
      <w:r>
        <w:rPr>
          <w:rFonts w:hint="eastAsia" w:ascii="黑体" w:hAnsi="黑体" w:eastAsia="黑体" w:cs="黑体"/>
          <w:bCs w:val="0"/>
          <w:color w:val="auto"/>
          <w:szCs w:val="21"/>
          <w:highlight w:val="none"/>
        </w:rPr>
        <w:fldChar w:fldCharType="end"/>
      </w:r>
    </w:p>
    <w:p w14:paraId="090AE84A">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_Toc24500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四、响应文件的递交</w:t>
      </w:r>
      <w:r>
        <w:tab/>
      </w:r>
      <w:r>
        <w:fldChar w:fldCharType="begin"/>
      </w:r>
      <w:r>
        <w:instrText xml:space="preserve"> PAGEREF _Toc24500 \h </w:instrText>
      </w:r>
      <w:r>
        <w:fldChar w:fldCharType="separate"/>
      </w:r>
      <w:r>
        <w:t>- 23 -</w:t>
      </w:r>
      <w:r>
        <w:fldChar w:fldCharType="end"/>
      </w:r>
      <w:r>
        <w:rPr>
          <w:rFonts w:hint="eastAsia" w:ascii="黑体" w:hAnsi="黑体" w:eastAsia="黑体" w:cs="黑体"/>
          <w:bCs w:val="0"/>
          <w:color w:val="auto"/>
          <w:szCs w:val="21"/>
          <w:highlight w:val="none"/>
        </w:rPr>
        <w:fldChar w:fldCharType="end"/>
      </w:r>
    </w:p>
    <w:p w14:paraId="66AB0EF2">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_Toc16452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五、响应文件的磋商与评审</w:t>
      </w:r>
      <w:r>
        <w:tab/>
      </w:r>
      <w:r>
        <w:fldChar w:fldCharType="begin"/>
      </w:r>
      <w:r>
        <w:instrText xml:space="preserve"> PAGEREF _Toc16452 \h </w:instrText>
      </w:r>
      <w:r>
        <w:fldChar w:fldCharType="separate"/>
      </w:r>
      <w:r>
        <w:t>- 24 -</w:t>
      </w:r>
      <w:r>
        <w:fldChar w:fldCharType="end"/>
      </w:r>
      <w:r>
        <w:rPr>
          <w:rFonts w:hint="eastAsia" w:ascii="黑体" w:hAnsi="黑体" w:eastAsia="黑体" w:cs="黑体"/>
          <w:bCs w:val="0"/>
          <w:color w:val="auto"/>
          <w:szCs w:val="21"/>
          <w:highlight w:val="none"/>
        </w:rPr>
        <w:fldChar w:fldCharType="end"/>
      </w:r>
    </w:p>
    <w:p w14:paraId="03D37BFB">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_Toc13643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六、成交结果信息公布与授予合同</w:t>
      </w:r>
      <w:r>
        <w:tab/>
      </w:r>
      <w:r>
        <w:fldChar w:fldCharType="begin"/>
      </w:r>
      <w:r>
        <w:instrText xml:space="preserve"> PAGEREF _Toc13643 \h </w:instrText>
      </w:r>
      <w:r>
        <w:fldChar w:fldCharType="separate"/>
      </w:r>
      <w:r>
        <w:t>- 28 -</w:t>
      </w:r>
      <w:r>
        <w:fldChar w:fldCharType="end"/>
      </w:r>
      <w:r>
        <w:rPr>
          <w:rFonts w:hint="eastAsia" w:ascii="黑体" w:hAnsi="黑体" w:eastAsia="黑体" w:cs="黑体"/>
          <w:bCs w:val="0"/>
          <w:color w:val="auto"/>
          <w:szCs w:val="21"/>
          <w:highlight w:val="none"/>
        </w:rPr>
        <w:fldChar w:fldCharType="end"/>
      </w:r>
    </w:p>
    <w:p w14:paraId="11474649">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_Toc26497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七、 政府采购政策支持</w:t>
      </w:r>
      <w:r>
        <w:tab/>
      </w:r>
      <w:r>
        <w:fldChar w:fldCharType="begin"/>
      </w:r>
      <w:r>
        <w:instrText xml:space="preserve"> PAGEREF _Toc26497 \h </w:instrText>
      </w:r>
      <w:r>
        <w:fldChar w:fldCharType="separate"/>
      </w:r>
      <w:r>
        <w:t>- 30 -</w:t>
      </w:r>
      <w:r>
        <w:fldChar w:fldCharType="end"/>
      </w:r>
      <w:r>
        <w:rPr>
          <w:rFonts w:hint="eastAsia" w:ascii="黑体" w:hAnsi="黑体" w:eastAsia="黑体" w:cs="黑体"/>
          <w:bCs w:val="0"/>
          <w:color w:val="auto"/>
          <w:szCs w:val="21"/>
          <w:highlight w:val="none"/>
        </w:rPr>
        <w:fldChar w:fldCharType="end"/>
      </w:r>
    </w:p>
    <w:p w14:paraId="0791DAB3">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_Toc23725 </w:instrText>
      </w:r>
      <w:r>
        <w:rPr>
          <w:rFonts w:hint="eastAsia" w:ascii="黑体" w:hAnsi="黑体" w:eastAsia="黑体" w:cs="黑体"/>
          <w:bCs w:val="0"/>
          <w:szCs w:val="21"/>
          <w:highlight w:val="none"/>
        </w:rPr>
        <w:fldChar w:fldCharType="separate"/>
      </w:r>
      <w:r>
        <w:rPr>
          <w:rFonts w:hint="eastAsia" w:ascii="黑体" w:hAnsi="黑体" w:eastAsia="黑体" w:cs="新宋体"/>
          <w:bCs w:val="0"/>
          <w:szCs w:val="28"/>
          <w:highlight w:val="none"/>
        </w:rPr>
        <w:t>八、其他规定</w:t>
      </w:r>
      <w:r>
        <w:tab/>
      </w:r>
      <w:r>
        <w:fldChar w:fldCharType="begin"/>
      </w:r>
      <w:r>
        <w:instrText xml:space="preserve"> PAGEREF _Toc23725 \h </w:instrText>
      </w:r>
      <w:r>
        <w:fldChar w:fldCharType="separate"/>
      </w:r>
      <w:r>
        <w:t>- 31 -</w:t>
      </w:r>
      <w:r>
        <w:fldChar w:fldCharType="end"/>
      </w:r>
      <w:r>
        <w:rPr>
          <w:rFonts w:hint="eastAsia" w:ascii="黑体" w:hAnsi="黑体" w:eastAsia="黑体" w:cs="黑体"/>
          <w:bCs w:val="0"/>
          <w:color w:val="auto"/>
          <w:szCs w:val="21"/>
          <w:highlight w:val="none"/>
        </w:rPr>
        <w:fldChar w:fldCharType="end"/>
      </w:r>
    </w:p>
    <w:p w14:paraId="169F0C55">
      <w:pPr>
        <w:pStyle w:val="15"/>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_Toc23222 </w:instrText>
      </w:r>
      <w:r>
        <w:rPr>
          <w:rFonts w:hint="eastAsia" w:ascii="黑体" w:hAnsi="黑体" w:eastAsia="黑体" w:cs="黑体"/>
          <w:bCs w:val="0"/>
          <w:szCs w:val="21"/>
          <w:highlight w:val="none"/>
        </w:rPr>
        <w:fldChar w:fldCharType="separate"/>
      </w:r>
      <w:r>
        <w:rPr>
          <w:rFonts w:hint="eastAsia" w:ascii="黑体" w:hAnsi="黑体" w:eastAsia="黑体"/>
          <w:szCs w:val="28"/>
          <w:highlight w:val="none"/>
        </w:rPr>
        <w:t>第三章 采购需求</w:t>
      </w:r>
      <w:r>
        <w:tab/>
      </w:r>
      <w:r>
        <w:fldChar w:fldCharType="begin"/>
      </w:r>
      <w:r>
        <w:instrText xml:space="preserve"> PAGEREF _Toc23222 \h </w:instrText>
      </w:r>
      <w:r>
        <w:fldChar w:fldCharType="separate"/>
      </w:r>
      <w:r>
        <w:t>- 32 -</w:t>
      </w:r>
      <w:r>
        <w:fldChar w:fldCharType="end"/>
      </w:r>
      <w:r>
        <w:rPr>
          <w:rFonts w:hint="eastAsia" w:ascii="黑体" w:hAnsi="黑体" w:eastAsia="黑体" w:cs="黑体"/>
          <w:bCs w:val="0"/>
          <w:color w:val="auto"/>
          <w:szCs w:val="21"/>
          <w:highlight w:val="none"/>
        </w:rPr>
        <w:fldChar w:fldCharType="end"/>
      </w:r>
    </w:p>
    <w:p w14:paraId="7A43207D">
      <w:pPr>
        <w:pStyle w:val="15"/>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_Toc1313 </w:instrText>
      </w:r>
      <w:r>
        <w:rPr>
          <w:rFonts w:hint="eastAsia" w:ascii="黑体" w:hAnsi="黑体" w:eastAsia="黑体" w:cs="黑体"/>
          <w:bCs w:val="0"/>
          <w:szCs w:val="21"/>
          <w:highlight w:val="none"/>
        </w:rPr>
        <w:fldChar w:fldCharType="separate"/>
      </w:r>
      <w:r>
        <w:rPr>
          <w:rFonts w:hint="eastAsia" w:ascii="黑体" w:hAnsi="黑体" w:eastAsia="黑体"/>
          <w:szCs w:val="32"/>
          <w:highlight w:val="none"/>
        </w:rPr>
        <w:t>第四章 合同草案条款</w:t>
      </w:r>
      <w:r>
        <w:tab/>
      </w:r>
      <w:r>
        <w:fldChar w:fldCharType="begin"/>
      </w:r>
      <w:r>
        <w:instrText xml:space="preserve"> PAGEREF _Toc1313 \h </w:instrText>
      </w:r>
      <w:r>
        <w:fldChar w:fldCharType="separate"/>
      </w:r>
      <w:r>
        <w:t>- 34 -</w:t>
      </w:r>
      <w:r>
        <w:fldChar w:fldCharType="end"/>
      </w:r>
      <w:r>
        <w:rPr>
          <w:rFonts w:hint="eastAsia" w:ascii="黑体" w:hAnsi="黑体" w:eastAsia="黑体" w:cs="黑体"/>
          <w:bCs w:val="0"/>
          <w:color w:val="auto"/>
          <w:szCs w:val="21"/>
          <w:highlight w:val="none"/>
        </w:rPr>
        <w:fldChar w:fldCharType="end"/>
      </w:r>
    </w:p>
    <w:p w14:paraId="77E0DC4E">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_Toc8378 </w:instrText>
      </w:r>
      <w:r>
        <w:rPr>
          <w:rFonts w:hint="eastAsia" w:ascii="黑体" w:hAnsi="黑体" w:eastAsia="黑体" w:cs="黑体"/>
          <w:bCs w:val="0"/>
          <w:szCs w:val="21"/>
          <w:highlight w:val="none"/>
        </w:rPr>
        <w:fldChar w:fldCharType="separate"/>
      </w:r>
      <w:r>
        <w:rPr>
          <w:rFonts w:ascii="黑体" w:hAnsi="黑体" w:eastAsia="黑体" w:cs="黑体"/>
          <w:snapToGrid w:val="0"/>
          <w:spacing w:val="0"/>
          <w:kern w:val="0"/>
          <w:position w:val="0"/>
          <w:szCs w:val="30"/>
          <w:lang w:eastAsia="en-US"/>
        </w:rPr>
        <w:t>一、政府采购合同协议书</w:t>
      </w:r>
      <w:r>
        <w:tab/>
      </w:r>
      <w:r>
        <w:fldChar w:fldCharType="begin"/>
      </w:r>
      <w:r>
        <w:instrText xml:space="preserve"> PAGEREF _Toc8378 \h </w:instrText>
      </w:r>
      <w:r>
        <w:fldChar w:fldCharType="separate"/>
      </w:r>
      <w:r>
        <w:t>- 34 -</w:t>
      </w:r>
      <w:r>
        <w:fldChar w:fldCharType="end"/>
      </w:r>
      <w:r>
        <w:rPr>
          <w:rFonts w:hint="eastAsia" w:ascii="黑体" w:hAnsi="黑体" w:eastAsia="黑体" w:cs="黑体"/>
          <w:bCs w:val="0"/>
          <w:color w:val="auto"/>
          <w:szCs w:val="21"/>
          <w:highlight w:val="none"/>
        </w:rPr>
        <w:fldChar w:fldCharType="end"/>
      </w:r>
    </w:p>
    <w:p w14:paraId="45C8A7E0">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_Toc9235 </w:instrText>
      </w:r>
      <w:r>
        <w:rPr>
          <w:rFonts w:hint="eastAsia" w:ascii="黑体" w:hAnsi="黑体" w:eastAsia="黑体" w:cs="黑体"/>
          <w:bCs w:val="0"/>
          <w:szCs w:val="21"/>
          <w:highlight w:val="none"/>
        </w:rPr>
        <w:fldChar w:fldCharType="separate"/>
      </w:r>
      <w:r>
        <w:rPr>
          <w:rFonts w:ascii="黑体" w:hAnsi="黑体" w:eastAsia="黑体" w:cs="黑体"/>
          <w:snapToGrid w:val="0"/>
          <w:spacing w:val="0"/>
          <w:kern w:val="0"/>
          <w:position w:val="0"/>
          <w:szCs w:val="30"/>
          <w:lang w:eastAsia="en-US"/>
        </w:rPr>
        <w:t>二、政府采购合同通用条款</w:t>
      </w:r>
      <w:r>
        <w:tab/>
      </w:r>
      <w:r>
        <w:fldChar w:fldCharType="begin"/>
      </w:r>
      <w:r>
        <w:instrText xml:space="preserve"> PAGEREF _Toc9235 \h </w:instrText>
      </w:r>
      <w:r>
        <w:fldChar w:fldCharType="separate"/>
      </w:r>
      <w:r>
        <w:t>- 36 -</w:t>
      </w:r>
      <w:r>
        <w:fldChar w:fldCharType="end"/>
      </w:r>
      <w:r>
        <w:rPr>
          <w:rFonts w:hint="eastAsia" w:ascii="黑体" w:hAnsi="黑体" w:eastAsia="黑体" w:cs="黑体"/>
          <w:bCs w:val="0"/>
          <w:color w:val="auto"/>
          <w:szCs w:val="21"/>
          <w:highlight w:val="none"/>
        </w:rPr>
        <w:fldChar w:fldCharType="end"/>
      </w:r>
    </w:p>
    <w:p w14:paraId="2D8C6CAD">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_Toc25488 </w:instrText>
      </w:r>
      <w:r>
        <w:rPr>
          <w:rFonts w:hint="eastAsia" w:ascii="黑体" w:hAnsi="黑体" w:eastAsia="黑体" w:cs="黑体"/>
          <w:bCs w:val="0"/>
          <w:szCs w:val="21"/>
          <w:highlight w:val="none"/>
        </w:rPr>
        <w:fldChar w:fldCharType="separate"/>
      </w:r>
      <w:r>
        <w:rPr>
          <w:rFonts w:ascii="黑体" w:hAnsi="黑体" w:eastAsia="黑体" w:cs="黑体"/>
          <w:snapToGrid w:val="0"/>
          <w:spacing w:val="0"/>
          <w:kern w:val="0"/>
          <w:position w:val="0"/>
          <w:szCs w:val="30"/>
          <w:lang w:eastAsia="en-US"/>
        </w:rPr>
        <w:t>三、政府采购合同专用条款</w:t>
      </w:r>
      <w:r>
        <w:tab/>
      </w:r>
      <w:r>
        <w:fldChar w:fldCharType="begin"/>
      </w:r>
      <w:r>
        <w:instrText xml:space="preserve"> PAGEREF _Toc25488 \h </w:instrText>
      </w:r>
      <w:r>
        <w:fldChar w:fldCharType="separate"/>
      </w:r>
      <w:r>
        <w:t>- 37 -</w:t>
      </w:r>
      <w:r>
        <w:fldChar w:fldCharType="end"/>
      </w:r>
      <w:r>
        <w:rPr>
          <w:rFonts w:hint="eastAsia" w:ascii="黑体" w:hAnsi="黑体" w:eastAsia="黑体" w:cs="黑体"/>
          <w:bCs w:val="0"/>
          <w:color w:val="auto"/>
          <w:szCs w:val="21"/>
          <w:highlight w:val="none"/>
        </w:rPr>
        <w:fldChar w:fldCharType="end"/>
      </w:r>
    </w:p>
    <w:p w14:paraId="65803F6E">
      <w:pPr>
        <w:pStyle w:val="15"/>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_Toc9389 </w:instrText>
      </w:r>
      <w:r>
        <w:rPr>
          <w:rFonts w:hint="eastAsia" w:ascii="黑体" w:hAnsi="黑体" w:eastAsia="黑体" w:cs="黑体"/>
          <w:bCs w:val="0"/>
          <w:szCs w:val="21"/>
          <w:highlight w:val="none"/>
        </w:rPr>
        <w:fldChar w:fldCharType="separate"/>
      </w:r>
      <w:r>
        <w:rPr>
          <w:rFonts w:hint="eastAsia" w:ascii="黑体" w:hAnsi="黑体" w:eastAsia="黑体"/>
          <w:highlight w:val="none"/>
        </w:rPr>
        <w:t>第五章 响应文件组成</w:t>
      </w:r>
      <w:r>
        <w:tab/>
      </w:r>
      <w:r>
        <w:fldChar w:fldCharType="begin"/>
      </w:r>
      <w:r>
        <w:instrText xml:space="preserve"> PAGEREF _Toc9389 \h </w:instrText>
      </w:r>
      <w:r>
        <w:fldChar w:fldCharType="separate"/>
      </w:r>
      <w:r>
        <w:t>63</w:t>
      </w:r>
      <w:r>
        <w:fldChar w:fldCharType="end"/>
      </w:r>
      <w:r>
        <w:rPr>
          <w:rFonts w:hint="eastAsia" w:ascii="黑体" w:hAnsi="黑体" w:eastAsia="黑体" w:cs="黑体"/>
          <w:bCs w:val="0"/>
          <w:color w:val="auto"/>
          <w:szCs w:val="21"/>
          <w:highlight w:val="none"/>
        </w:rPr>
        <w:fldChar w:fldCharType="end"/>
      </w:r>
    </w:p>
    <w:p w14:paraId="26B1EA84">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_Toc3595 </w:instrText>
      </w:r>
      <w:r>
        <w:rPr>
          <w:rFonts w:hint="eastAsia" w:ascii="黑体" w:hAnsi="黑体" w:eastAsia="黑体" w:cs="黑体"/>
          <w:bCs w:val="0"/>
          <w:szCs w:val="21"/>
          <w:highlight w:val="none"/>
        </w:rPr>
        <w:fldChar w:fldCharType="separate"/>
      </w:r>
      <w:r>
        <w:rPr>
          <w:rFonts w:hint="eastAsia" w:ascii="宋体" w:hAnsi="宋体"/>
          <w:szCs w:val="21"/>
          <w:highlight w:val="none"/>
        </w:rPr>
        <w:t>索引表 符合性审查索引表</w:t>
      </w:r>
      <w:r>
        <w:tab/>
      </w:r>
      <w:r>
        <w:fldChar w:fldCharType="begin"/>
      </w:r>
      <w:r>
        <w:instrText xml:space="preserve"> PAGEREF _Toc3595 \h </w:instrText>
      </w:r>
      <w:r>
        <w:fldChar w:fldCharType="separate"/>
      </w:r>
      <w:r>
        <w:t>65</w:t>
      </w:r>
      <w:r>
        <w:fldChar w:fldCharType="end"/>
      </w:r>
      <w:r>
        <w:rPr>
          <w:rFonts w:hint="eastAsia" w:ascii="黑体" w:hAnsi="黑体" w:eastAsia="黑体" w:cs="黑体"/>
          <w:bCs w:val="0"/>
          <w:color w:val="auto"/>
          <w:szCs w:val="21"/>
          <w:highlight w:val="none"/>
        </w:rPr>
        <w:fldChar w:fldCharType="end"/>
      </w:r>
    </w:p>
    <w:p w14:paraId="2236232E">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_Toc2436 </w:instrText>
      </w:r>
      <w:r>
        <w:rPr>
          <w:rFonts w:hint="eastAsia" w:ascii="黑体" w:hAnsi="黑体" w:eastAsia="黑体" w:cs="黑体"/>
          <w:bCs w:val="0"/>
          <w:szCs w:val="21"/>
          <w:highlight w:val="none"/>
        </w:rPr>
        <w:fldChar w:fldCharType="separate"/>
      </w:r>
      <w:r>
        <w:rPr>
          <w:rFonts w:hint="eastAsia" w:ascii="宋体" w:hAnsi="宋体"/>
          <w:szCs w:val="21"/>
          <w:highlight w:val="none"/>
        </w:rPr>
        <w:t>索引表 资格性审查索引表</w:t>
      </w:r>
      <w:r>
        <w:tab/>
      </w:r>
      <w:r>
        <w:fldChar w:fldCharType="begin"/>
      </w:r>
      <w:r>
        <w:instrText xml:space="preserve"> PAGEREF _Toc2436 \h </w:instrText>
      </w:r>
      <w:r>
        <w:fldChar w:fldCharType="separate"/>
      </w:r>
      <w:r>
        <w:t>66</w:t>
      </w:r>
      <w:r>
        <w:fldChar w:fldCharType="end"/>
      </w:r>
      <w:r>
        <w:rPr>
          <w:rFonts w:hint="eastAsia" w:ascii="黑体" w:hAnsi="黑体" w:eastAsia="黑体" w:cs="黑体"/>
          <w:bCs w:val="0"/>
          <w:color w:val="auto"/>
          <w:szCs w:val="21"/>
          <w:highlight w:val="none"/>
        </w:rPr>
        <w:fldChar w:fldCharType="end"/>
      </w:r>
    </w:p>
    <w:p w14:paraId="105AC830">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_Toc30537 </w:instrText>
      </w:r>
      <w:r>
        <w:rPr>
          <w:rFonts w:hint="eastAsia" w:ascii="黑体" w:hAnsi="黑体" w:eastAsia="黑体" w:cs="黑体"/>
          <w:bCs w:val="0"/>
          <w:szCs w:val="21"/>
          <w:highlight w:val="none"/>
        </w:rPr>
        <w:fldChar w:fldCharType="separate"/>
      </w:r>
      <w:r>
        <w:rPr>
          <w:rFonts w:hint="eastAsia" w:ascii="黑体" w:hAnsi="黑体" w:eastAsia="黑体"/>
          <w:szCs w:val="28"/>
        </w:rPr>
        <w:t>一、磋商响应声明</w:t>
      </w:r>
      <w:r>
        <w:rPr>
          <w:rFonts w:hint="eastAsia" w:ascii="黑体" w:hAnsi="黑体" w:eastAsia="黑体"/>
          <w:szCs w:val="28"/>
          <w:lang w:eastAsia="zh-CN"/>
        </w:rPr>
        <w:t>（</w:t>
      </w:r>
      <w:r>
        <w:rPr>
          <w:rFonts w:hint="eastAsia" w:ascii="黑体" w:hAnsi="黑体" w:eastAsia="黑体"/>
          <w:szCs w:val="28"/>
        </w:rPr>
        <w:t>格式</w:t>
      </w:r>
      <w:r>
        <w:rPr>
          <w:rFonts w:hint="eastAsia" w:ascii="黑体" w:hAnsi="黑体" w:eastAsia="黑体"/>
          <w:szCs w:val="28"/>
          <w:lang w:eastAsia="zh-CN"/>
        </w:rPr>
        <w:t>）</w:t>
      </w:r>
      <w:r>
        <w:tab/>
      </w:r>
      <w:r>
        <w:fldChar w:fldCharType="begin"/>
      </w:r>
      <w:r>
        <w:instrText xml:space="preserve"> PAGEREF _Toc30537 \h </w:instrText>
      </w:r>
      <w:r>
        <w:fldChar w:fldCharType="separate"/>
      </w:r>
      <w:r>
        <w:t>67</w:t>
      </w:r>
      <w:r>
        <w:fldChar w:fldCharType="end"/>
      </w:r>
      <w:r>
        <w:rPr>
          <w:rFonts w:hint="eastAsia" w:ascii="黑体" w:hAnsi="黑体" w:eastAsia="黑体" w:cs="黑体"/>
          <w:bCs w:val="0"/>
          <w:color w:val="auto"/>
          <w:szCs w:val="21"/>
          <w:highlight w:val="none"/>
        </w:rPr>
        <w:fldChar w:fldCharType="end"/>
      </w:r>
    </w:p>
    <w:p w14:paraId="4A2993C7">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_Toc14487 </w:instrText>
      </w:r>
      <w:r>
        <w:rPr>
          <w:rFonts w:hint="eastAsia" w:ascii="黑体" w:hAnsi="黑体" w:eastAsia="黑体" w:cs="黑体"/>
          <w:bCs w:val="0"/>
          <w:szCs w:val="21"/>
          <w:highlight w:val="none"/>
        </w:rPr>
        <w:fldChar w:fldCharType="separate"/>
      </w:r>
      <w:r>
        <w:rPr>
          <w:rFonts w:hint="eastAsia" w:ascii="黑体" w:hAnsi="黑体" w:eastAsia="黑体"/>
          <w:szCs w:val="28"/>
        </w:rPr>
        <w:t>二、法定代表人（单位负责人）身份证明</w:t>
      </w:r>
      <w:r>
        <w:rPr>
          <w:rFonts w:hint="eastAsia" w:ascii="黑体" w:hAnsi="黑体" w:eastAsia="黑体"/>
          <w:szCs w:val="28"/>
          <w:lang w:eastAsia="zh-CN"/>
        </w:rPr>
        <w:t>（</w:t>
      </w:r>
      <w:r>
        <w:rPr>
          <w:rFonts w:hint="eastAsia" w:ascii="黑体" w:hAnsi="黑体" w:eastAsia="黑体"/>
          <w:szCs w:val="28"/>
        </w:rPr>
        <w:t>格式</w:t>
      </w:r>
      <w:r>
        <w:rPr>
          <w:rFonts w:hint="eastAsia" w:ascii="黑体" w:hAnsi="黑体" w:eastAsia="黑体"/>
          <w:szCs w:val="28"/>
          <w:lang w:eastAsia="zh-CN"/>
        </w:rPr>
        <w:t>）</w:t>
      </w:r>
      <w:r>
        <w:tab/>
      </w:r>
      <w:r>
        <w:fldChar w:fldCharType="begin"/>
      </w:r>
      <w:r>
        <w:instrText xml:space="preserve"> PAGEREF _Toc14487 \h </w:instrText>
      </w:r>
      <w:r>
        <w:fldChar w:fldCharType="separate"/>
      </w:r>
      <w:r>
        <w:t>68</w:t>
      </w:r>
      <w:r>
        <w:fldChar w:fldCharType="end"/>
      </w:r>
      <w:r>
        <w:rPr>
          <w:rFonts w:hint="eastAsia" w:ascii="黑体" w:hAnsi="黑体" w:eastAsia="黑体" w:cs="黑体"/>
          <w:bCs w:val="0"/>
          <w:color w:val="auto"/>
          <w:szCs w:val="21"/>
          <w:highlight w:val="none"/>
        </w:rPr>
        <w:fldChar w:fldCharType="end"/>
      </w:r>
    </w:p>
    <w:p w14:paraId="26EEF885">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_Toc4935 </w:instrText>
      </w:r>
      <w:r>
        <w:rPr>
          <w:rFonts w:hint="eastAsia" w:ascii="黑体" w:hAnsi="黑体" w:eastAsia="黑体" w:cs="黑体"/>
          <w:bCs w:val="0"/>
          <w:szCs w:val="21"/>
          <w:highlight w:val="none"/>
        </w:rPr>
        <w:fldChar w:fldCharType="separate"/>
      </w:r>
      <w:r>
        <w:rPr>
          <w:rFonts w:hint="eastAsia" w:ascii="黑体" w:hAnsi="黑体" w:eastAsia="黑体"/>
          <w:szCs w:val="28"/>
        </w:rPr>
        <w:t>三、授权委托书</w:t>
      </w:r>
      <w:r>
        <w:rPr>
          <w:rFonts w:hint="eastAsia" w:ascii="黑体" w:hAnsi="黑体" w:eastAsia="黑体"/>
          <w:szCs w:val="28"/>
          <w:lang w:eastAsia="zh-CN"/>
        </w:rPr>
        <w:t>（</w:t>
      </w:r>
      <w:r>
        <w:rPr>
          <w:rFonts w:hint="eastAsia" w:ascii="黑体" w:hAnsi="黑体" w:eastAsia="黑体"/>
          <w:szCs w:val="28"/>
        </w:rPr>
        <w:t>格式</w:t>
      </w:r>
      <w:r>
        <w:rPr>
          <w:rFonts w:hint="eastAsia" w:ascii="黑体" w:hAnsi="黑体" w:eastAsia="黑体"/>
          <w:szCs w:val="28"/>
          <w:lang w:eastAsia="zh-CN"/>
        </w:rPr>
        <w:t>）</w:t>
      </w:r>
      <w:r>
        <w:tab/>
      </w:r>
      <w:r>
        <w:fldChar w:fldCharType="begin"/>
      </w:r>
      <w:r>
        <w:instrText xml:space="preserve"> PAGEREF _Toc4935 \h </w:instrText>
      </w:r>
      <w:r>
        <w:fldChar w:fldCharType="separate"/>
      </w:r>
      <w:r>
        <w:t>69</w:t>
      </w:r>
      <w:r>
        <w:fldChar w:fldCharType="end"/>
      </w:r>
      <w:r>
        <w:rPr>
          <w:rFonts w:hint="eastAsia" w:ascii="黑体" w:hAnsi="黑体" w:eastAsia="黑体" w:cs="黑体"/>
          <w:bCs w:val="0"/>
          <w:color w:val="auto"/>
          <w:szCs w:val="21"/>
          <w:highlight w:val="none"/>
        </w:rPr>
        <w:fldChar w:fldCharType="end"/>
      </w:r>
    </w:p>
    <w:p w14:paraId="30261C7E">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_Toc11293 </w:instrText>
      </w:r>
      <w:r>
        <w:rPr>
          <w:rFonts w:hint="eastAsia" w:ascii="黑体" w:hAnsi="黑体" w:eastAsia="黑体" w:cs="黑体"/>
          <w:bCs w:val="0"/>
          <w:szCs w:val="21"/>
          <w:highlight w:val="none"/>
        </w:rPr>
        <w:fldChar w:fldCharType="separate"/>
      </w:r>
      <w:r>
        <w:rPr>
          <w:rFonts w:hint="eastAsia" w:ascii="黑体" w:hAnsi="黑体" w:eastAsia="黑体"/>
          <w:szCs w:val="28"/>
          <w:lang w:val="en-US" w:eastAsia="zh-CN"/>
        </w:rPr>
        <w:t>四</w:t>
      </w:r>
      <w:r>
        <w:rPr>
          <w:rFonts w:hint="eastAsia" w:ascii="黑体" w:hAnsi="黑体" w:eastAsia="黑体"/>
          <w:szCs w:val="28"/>
        </w:rPr>
        <w:t>、供应商的资格证明材料</w:t>
      </w:r>
      <w:r>
        <w:tab/>
      </w:r>
      <w:r>
        <w:fldChar w:fldCharType="begin"/>
      </w:r>
      <w:r>
        <w:instrText xml:space="preserve"> PAGEREF _Toc11293 \h </w:instrText>
      </w:r>
      <w:r>
        <w:fldChar w:fldCharType="separate"/>
      </w:r>
      <w:r>
        <w:t>70</w:t>
      </w:r>
      <w:r>
        <w:fldChar w:fldCharType="end"/>
      </w:r>
      <w:r>
        <w:rPr>
          <w:rFonts w:hint="eastAsia" w:ascii="黑体" w:hAnsi="黑体" w:eastAsia="黑体" w:cs="黑体"/>
          <w:bCs w:val="0"/>
          <w:color w:val="auto"/>
          <w:szCs w:val="21"/>
          <w:highlight w:val="none"/>
        </w:rPr>
        <w:fldChar w:fldCharType="end"/>
      </w:r>
    </w:p>
    <w:p w14:paraId="03616347">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_Toc6366 </w:instrText>
      </w:r>
      <w:r>
        <w:rPr>
          <w:rFonts w:hint="eastAsia" w:ascii="黑体" w:hAnsi="黑体" w:eastAsia="黑体" w:cs="黑体"/>
          <w:bCs w:val="0"/>
          <w:szCs w:val="21"/>
          <w:highlight w:val="none"/>
        </w:rPr>
        <w:fldChar w:fldCharType="separate"/>
      </w:r>
      <w:r>
        <w:rPr>
          <w:rFonts w:hint="eastAsia" w:ascii="黑体" w:hAnsi="黑体" w:eastAsia="黑体"/>
          <w:szCs w:val="28"/>
          <w:lang w:val="en-US" w:eastAsia="zh-CN"/>
        </w:rPr>
        <w:t>五</w:t>
      </w:r>
      <w:r>
        <w:rPr>
          <w:rFonts w:hint="eastAsia" w:ascii="黑体" w:hAnsi="黑体" w:eastAsia="黑体"/>
          <w:szCs w:val="28"/>
        </w:rPr>
        <w:t>、报价表及报价文件</w:t>
      </w:r>
      <w:r>
        <w:rPr>
          <w:rFonts w:hint="eastAsia" w:ascii="黑体" w:hAnsi="黑体" w:eastAsia="黑体"/>
          <w:szCs w:val="28"/>
          <w:lang w:eastAsia="zh-CN"/>
        </w:rPr>
        <w:t>（</w:t>
      </w:r>
      <w:r>
        <w:rPr>
          <w:rFonts w:hint="eastAsia" w:ascii="黑体" w:hAnsi="黑体" w:eastAsia="黑体"/>
          <w:szCs w:val="28"/>
        </w:rPr>
        <w:t>格式</w:t>
      </w:r>
      <w:r>
        <w:rPr>
          <w:rFonts w:hint="eastAsia" w:ascii="黑体" w:hAnsi="黑体" w:eastAsia="黑体"/>
          <w:szCs w:val="28"/>
          <w:lang w:eastAsia="zh-CN"/>
        </w:rPr>
        <w:t>）</w:t>
      </w:r>
      <w:r>
        <w:tab/>
      </w:r>
      <w:r>
        <w:fldChar w:fldCharType="begin"/>
      </w:r>
      <w:r>
        <w:instrText xml:space="preserve"> PAGEREF _Toc6366 \h </w:instrText>
      </w:r>
      <w:r>
        <w:fldChar w:fldCharType="separate"/>
      </w:r>
      <w:r>
        <w:t>78</w:t>
      </w:r>
      <w:r>
        <w:fldChar w:fldCharType="end"/>
      </w:r>
      <w:r>
        <w:rPr>
          <w:rFonts w:hint="eastAsia" w:ascii="黑体" w:hAnsi="黑体" w:eastAsia="黑体" w:cs="黑体"/>
          <w:bCs w:val="0"/>
          <w:color w:val="auto"/>
          <w:szCs w:val="21"/>
          <w:highlight w:val="none"/>
        </w:rPr>
        <w:fldChar w:fldCharType="end"/>
      </w:r>
    </w:p>
    <w:p w14:paraId="4EBA3619">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_Toc22269 </w:instrText>
      </w:r>
      <w:r>
        <w:rPr>
          <w:rFonts w:hint="eastAsia" w:ascii="黑体" w:hAnsi="黑体" w:eastAsia="黑体" w:cs="黑体"/>
          <w:bCs w:val="0"/>
          <w:szCs w:val="21"/>
          <w:highlight w:val="none"/>
        </w:rPr>
        <w:fldChar w:fldCharType="separate"/>
      </w:r>
      <w:r>
        <w:rPr>
          <w:rFonts w:hint="eastAsia" w:ascii="宋体" w:hAnsi="宋体"/>
          <w:szCs w:val="21"/>
        </w:rPr>
        <w:t>附件</w:t>
      </w:r>
      <w:r>
        <w:rPr>
          <w:rFonts w:hint="eastAsia" w:ascii="宋体" w:hAnsi="宋体"/>
          <w:szCs w:val="21"/>
          <w:lang w:val="en-US" w:eastAsia="zh-CN"/>
        </w:rPr>
        <w:t>5</w:t>
      </w:r>
      <w:r>
        <w:rPr>
          <w:rFonts w:hint="eastAsia" w:ascii="宋体" w:hAnsi="宋体"/>
          <w:szCs w:val="21"/>
        </w:rPr>
        <w:t>-1 报价表</w:t>
      </w:r>
      <w:r>
        <w:tab/>
      </w:r>
      <w:r>
        <w:fldChar w:fldCharType="begin"/>
      </w:r>
      <w:r>
        <w:instrText xml:space="preserve"> PAGEREF _Toc22269 \h </w:instrText>
      </w:r>
      <w:r>
        <w:fldChar w:fldCharType="separate"/>
      </w:r>
      <w:r>
        <w:t>78</w:t>
      </w:r>
      <w:r>
        <w:fldChar w:fldCharType="end"/>
      </w:r>
      <w:r>
        <w:rPr>
          <w:rFonts w:hint="eastAsia" w:ascii="黑体" w:hAnsi="黑体" w:eastAsia="黑体" w:cs="黑体"/>
          <w:bCs w:val="0"/>
          <w:color w:val="auto"/>
          <w:szCs w:val="21"/>
          <w:highlight w:val="none"/>
        </w:rPr>
        <w:fldChar w:fldCharType="end"/>
      </w:r>
    </w:p>
    <w:p w14:paraId="3B6D925D">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_Toc20717 </w:instrText>
      </w:r>
      <w:r>
        <w:rPr>
          <w:rFonts w:hint="eastAsia" w:ascii="黑体" w:hAnsi="黑体" w:eastAsia="黑体" w:cs="黑体"/>
          <w:bCs w:val="0"/>
          <w:szCs w:val="21"/>
          <w:highlight w:val="none"/>
        </w:rPr>
        <w:fldChar w:fldCharType="separate"/>
      </w:r>
      <w:r>
        <w:rPr>
          <w:rFonts w:hint="eastAsia" w:ascii="宋体" w:hAnsi="宋体"/>
          <w:szCs w:val="21"/>
        </w:rPr>
        <w:t>附件</w:t>
      </w:r>
      <w:r>
        <w:rPr>
          <w:rFonts w:hint="eastAsia" w:ascii="宋体" w:hAnsi="宋体"/>
          <w:szCs w:val="21"/>
          <w:lang w:val="en-US" w:eastAsia="zh-CN"/>
        </w:rPr>
        <w:t>5</w:t>
      </w:r>
      <w:r>
        <w:rPr>
          <w:rFonts w:hint="eastAsia" w:ascii="宋体" w:hAnsi="宋体"/>
          <w:szCs w:val="21"/>
        </w:rPr>
        <w:t>-2 分项报价说明</w:t>
      </w:r>
      <w:r>
        <w:tab/>
      </w:r>
      <w:r>
        <w:fldChar w:fldCharType="begin"/>
      </w:r>
      <w:r>
        <w:instrText xml:space="preserve"> PAGEREF _Toc20717 \h </w:instrText>
      </w:r>
      <w:r>
        <w:fldChar w:fldCharType="separate"/>
      </w:r>
      <w:r>
        <w:t>79</w:t>
      </w:r>
      <w:r>
        <w:fldChar w:fldCharType="end"/>
      </w:r>
      <w:r>
        <w:rPr>
          <w:rFonts w:hint="eastAsia" w:ascii="黑体" w:hAnsi="黑体" w:eastAsia="黑体" w:cs="黑体"/>
          <w:bCs w:val="0"/>
          <w:color w:val="auto"/>
          <w:szCs w:val="21"/>
          <w:highlight w:val="none"/>
        </w:rPr>
        <w:fldChar w:fldCharType="end"/>
      </w:r>
    </w:p>
    <w:p w14:paraId="05BE1EEC">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_Toc16875 </w:instrText>
      </w:r>
      <w:r>
        <w:rPr>
          <w:rFonts w:hint="eastAsia" w:ascii="黑体" w:hAnsi="黑体" w:eastAsia="黑体" w:cs="黑体"/>
          <w:bCs w:val="0"/>
          <w:szCs w:val="21"/>
          <w:highlight w:val="none"/>
        </w:rPr>
        <w:fldChar w:fldCharType="separate"/>
      </w:r>
      <w:r>
        <w:rPr>
          <w:rFonts w:hint="eastAsia" w:ascii="黑体" w:hAnsi="黑体" w:eastAsia="黑体"/>
          <w:szCs w:val="28"/>
          <w:lang w:val="en-US" w:eastAsia="zh-CN"/>
        </w:rPr>
        <w:t>六</w:t>
      </w:r>
      <w:r>
        <w:rPr>
          <w:rFonts w:hint="eastAsia" w:ascii="黑体" w:hAnsi="黑体" w:eastAsia="黑体"/>
          <w:szCs w:val="28"/>
        </w:rPr>
        <w:t>、</w:t>
      </w:r>
      <w:r>
        <w:rPr>
          <w:rFonts w:hint="eastAsia" w:ascii="黑体" w:hAnsi="黑体" w:eastAsia="黑体"/>
          <w:szCs w:val="28"/>
          <w:lang w:val="en-US" w:eastAsia="zh-CN"/>
        </w:rPr>
        <w:t>技术</w:t>
      </w:r>
      <w:r>
        <w:rPr>
          <w:rFonts w:hint="eastAsia" w:ascii="黑体" w:hAnsi="黑体" w:eastAsia="黑体"/>
          <w:szCs w:val="28"/>
        </w:rPr>
        <w:t>方案</w:t>
      </w:r>
      <w:r>
        <w:tab/>
      </w:r>
      <w:r>
        <w:fldChar w:fldCharType="begin"/>
      </w:r>
      <w:r>
        <w:instrText xml:space="preserve"> PAGEREF _Toc16875 \h </w:instrText>
      </w:r>
      <w:r>
        <w:fldChar w:fldCharType="separate"/>
      </w:r>
      <w:r>
        <w:t>81</w:t>
      </w:r>
      <w:r>
        <w:fldChar w:fldCharType="end"/>
      </w:r>
      <w:r>
        <w:rPr>
          <w:rFonts w:hint="eastAsia" w:ascii="黑体" w:hAnsi="黑体" w:eastAsia="黑体" w:cs="黑体"/>
          <w:bCs w:val="0"/>
          <w:color w:val="auto"/>
          <w:szCs w:val="21"/>
          <w:highlight w:val="none"/>
        </w:rPr>
        <w:fldChar w:fldCharType="end"/>
      </w:r>
    </w:p>
    <w:p w14:paraId="6CB4C640">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_Toc8052 </w:instrText>
      </w:r>
      <w:r>
        <w:rPr>
          <w:rFonts w:hint="eastAsia" w:ascii="黑体" w:hAnsi="黑体" w:eastAsia="黑体" w:cs="黑体"/>
          <w:bCs w:val="0"/>
          <w:szCs w:val="21"/>
          <w:highlight w:val="none"/>
        </w:rPr>
        <w:fldChar w:fldCharType="separate"/>
      </w:r>
      <w:r>
        <w:rPr>
          <w:rFonts w:hint="eastAsia" w:ascii="黑体" w:hAnsi="黑体" w:eastAsia="黑体"/>
          <w:szCs w:val="28"/>
          <w:lang w:val="en-US" w:eastAsia="zh-CN"/>
        </w:rPr>
        <w:t>七</w:t>
      </w:r>
      <w:r>
        <w:rPr>
          <w:rFonts w:hint="eastAsia" w:ascii="黑体" w:hAnsi="黑体" w:eastAsia="黑体"/>
          <w:szCs w:val="28"/>
        </w:rPr>
        <w:t>、合同条款偏离表</w:t>
      </w:r>
      <w:r>
        <w:tab/>
      </w:r>
      <w:r>
        <w:fldChar w:fldCharType="begin"/>
      </w:r>
      <w:r>
        <w:instrText xml:space="preserve"> PAGEREF _Toc8052 \h </w:instrText>
      </w:r>
      <w:r>
        <w:fldChar w:fldCharType="separate"/>
      </w:r>
      <w:r>
        <w:t>83</w:t>
      </w:r>
      <w:r>
        <w:fldChar w:fldCharType="end"/>
      </w:r>
      <w:r>
        <w:rPr>
          <w:rFonts w:hint="eastAsia" w:ascii="黑体" w:hAnsi="黑体" w:eastAsia="黑体" w:cs="黑体"/>
          <w:bCs w:val="0"/>
          <w:color w:val="auto"/>
          <w:szCs w:val="21"/>
          <w:highlight w:val="none"/>
        </w:rPr>
        <w:fldChar w:fldCharType="end"/>
      </w:r>
    </w:p>
    <w:p w14:paraId="7F992E86">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_Toc20090 </w:instrText>
      </w:r>
      <w:r>
        <w:rPr>
          <w:rFonts w:hint="eastAsia" w:ascii="黑体" w:hAnsi="黑体" w:eastAsia="黑体" w:cs="黑体"/>
          <w:bCs w:val="0"/>
          <w:szCs w:val="21"/>
          <w:highlight w:val="none"/>
        </w:rPr>
        <w:fldChar w:fldCharType="separate"/>
      </w:r>
      <w:r>
        <w:rPr>
          <w:rFonts w:hint="eastAsia" w:ascii="黑体" w:eastAsia="黑体"/>
          <w:szCs w:val="28"/>
          <w:lang w:val="en-US" w:eastAsia="zh-CN"/>
        </w:rPr>
        <w:t>八</w:t>
      </w:r>
      <w:r>
        <w:rPr>
          <w:rFonts w:hint="eastAsia" w:ascii="黑体" w:eastAsia="黑体"/>
          <w:szCs w:val="28"/>
        </w:rPr>
        <w:t>、采购需求偏离表</w:t>
      </w:r>
      <w:r>
        <w:tab/>
      </w:r>
      <w:r>
        <w:fldChar w:fldCharType="begin"/>
      </w:r>
      <w:r>
        <w:instrText xml:space="preserve"> PAGEREF _Toc20090 \h </w:instrText>
      </w:r>
      <w:r>
        <w:fldChar w:fldCharType="separate"/>
      </w:r>
      <w:r>
        <w:t>84</w:t>
      </w:r>
      <w:r>
        <w:fldChar w:fldCharType="end"/>
      </w:r>
      <w:r>
        <w:rPr>
          <w:rFonts w:hint="eastAsia" w:ascii="黑体" w:hAnsi="黑体" w:eastAsia="黑体" w:cs="黑体"/>
          <w:bCs w:val="0"/>
          <w:color w:val="auto"/>
          <w:szCs w:val="21"/>
          <w:highlight w:val="none"/>
        </w:rPr>
        <w:fldChar w:fldCharType="end"/>
      </w:r>
    </w:p>
    <w:p w14:paraId="05CE19A8">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_Toc7921 </w:instrText>
      </w:r>
      <w:r>
        <w:rPr>
          <w:rFonts w:hint="eastAsia" w:ascii="黑体" w:hAnsi="黑体" w:eastAsia="黑体" w:cs="黑体"/>
          <w:bCs w:val="0"/>
          <w:szCs w:val="21"/>
          <w:highlight w:val="none"/>
        </w:rPr>
        <w:fldChar w:fldCharType="separate"/>
      </w:r>
      <w:r>
        <w:rPr>
          <w:rFonts w:hint="eastAsia" w:eastAsia="黑体"/>
          <w:lang w:val="en-US" w:eastAsia="zh-CN"/>
        </w:rPr>
        <w:t>九</w:t>
      </w:r>
      <w:r>
        <w:rPr>
          <w:rFonts w:hint="eastAsia" w:ascii="黑体" w:hAnsi="黑体" w:eastAsia="黑体"/>
          <w:szCs w:val="28"/>
        </w:rPr>
        <w:t>、享受政府采购政策优惠的证明资料</w:t>
      </w:r>
      <w:r>
        <w:tab/>
      </w:r>
      <w:r>
        <w:fldChar w:fldCharType="begin"/>
      </w:r>
      <w:r>
        <w:instrText xml:space="preserve"> PAGEREF _Toc7921 \h </w:instrText>
      </w:r>
      <w:r>
        <w:fldChar w:fldCharType="separate"/>
      </w:r>
      <w:r>
        <w:t>85</w:t>
      </w:r>
      <w:r>
        <w:fldChar w:fldCharType="end"/>
      </w:r>
      <w:r>
        <w:rPr>
          <w:rFonts w:hint="eastAsia" w:ascii="黑体" w:hAnsi="黑体" w:eastAsia="黑体" w:cs="黑体"/>
          <w:bCs w:val="0"/>
          <w:color w:val="auto"/>
          <w:szCs w:val="21"/>
          <w:highlight w:val="none"/>
        </w:rPr>
        <w:fldChar w:fldCharType="end"/>
      </w:r>
    </w:p>
    <w:p w14:paraId="5662E83E">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_Toc14242 </w:instrText>
      </w:r>
      <w:r>
        <w:rPr>
          <w:rFonts w:hint="eastAsia" w:ascii="黑体" w:hAnsi="黑体" w:eastAsia="黑体" w:cs="黑体"/>
          <w:bCs w:val="0"/>
          <w:szCs w:val="21"/>
          <w:highlight w:val="none"/>
        </w:rPr>
        <w:fldChar w:fldCharType="separate"/>
      </w:r>
      <w:r>
        <w:rPr>
          <w:rFonts w:hint="eastAsia" w:ascii="宋体" w:hAnsi="宋体"/>
          <w:szCs w:val="21"/>
        </w:rPr>
        <w:t>附件</w:t>
      </w:r>
      <w:r>
        <w:rPr>
          <w:rFonts w:hint="eastAsia" w:ascii="宋体" w:hAnsi="宋体"/>
          <w:szCs w:val="21"/>
          <w:lang w:val="en-US" w:eastAsia="zh-CN"/>
        </w:rPr>
        <w:t>9</w:t>
      </w:r>
      <w:r>
        <w:rPr>
          <w:rFonts w:hint="eastAsia" w:ascii="宋体" w:hAnsi="宋体"/>
          <w:szCs w:val="21"/>
        </w:rPr>
        <w:t>-1小型、微型企业声明函</w:t>
      </w:r>
      <w:r>
        <w:tab/>
      </w:r>
      <w:r>
        <w:fldChar w:fldCharType="begin"/>
      </w:r>
      <w:r>
        <w:instrText xml:space="preserve"> PAGEREF _Toc14242 \h </w:instrText>
      </w:r>
      <w:r>
        <w:fldChar w:fldCharType="separate"/>
      </w:r>
      <w:r>
        <w:t>85</w:t>
      </w:r>
      <w:r>
        <w:fldChar w:fldCharType="end"/>
      </w:r>
      <w:r>
        <w:rPr>
          <w:rFonts w:hint="eastAsia" w:ascii="黑体" w:hAnsi="黑体" w:eastAsia="黑体" w:cs="黑体"/>
          <w:bCs w:val="0"/>
          <w:color w:val="auto"/>
          <w:szCs w:val="21"/>
          <w:highlight w:val="none"/>
        </w:rPr>
        <w:fldChar w:fldCharType="end"/>
      </w:r>
    </w:p>
    <w:p w14:paraId="4339F608">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_Toc10047 </w:instrText>
      </w:r>
      <w:r>
        <w:rPr>
          <w:rFonts w:hint="eastAsia" w:ascii="黑体" w:hAnsi="黑体" w:eastAsia="黑体" w:cs="黑体"/>
          <w:bCs w:val="0"/>
          <w:szCs w:val="21"/>
          <w:highlight w:val="none"/>
        </w:rPr>
        <w:fldChar w:fldCharType="separate"/>
      </w:r>
      <w:r>
        <w:rPr>
          <w:rFonts w:hint="eastAsia" w:ascii="宋体" w:hAnsi="宋体" w:cs="宋体"/>
          <w:kern w:val="0"/>
        </w:rPr>
        <w:t>附件</w:t>
      </w:r>
      <w:r>
        <w:rPr>
          <w:rFonts w:hint="eastAsia" w:ascii="宋体" w:hAnsi="宋体" w:cs="宋体"/>
          <w:kern w:val="0"/>
          <w:lang w:val="en-US" w:eastAsia="zh-CN"/>
        </w:rPr>
        <w:t>9</w:t>
      </w:r>
      <w:r>
        <w:rPr>
          <w:rFonts w:hint="eastAsia" w:ascii="宋体" w:hAnsi="宋体" w:cs="宋体"/>
          <w:kern w:val="0"/>
        </w:rPr>
        <w:t xml:space="preserve">-2 </w:t>
      </w:r>
      <w:r>
        <w:rPr>
          <w:rFonts w:hint="eastAsia" w:ascii="宋体" w:hAnsi="宋体"/>
        </w:rPr>
        <w:t>残疾人福利性单位声明函</w:t>
      </w:r>
      <w:r>
        <w:tab/>
      </w:r>
      <w:r>
        <w:fldChar w:fldCharType="begin"/>
      </w:r>
      <w:r>
        <w:instrText xml:space="preserve"> PAGEREF _Toc10047 \h </w:instrText>
      </w:r>
      <w:r>
        <w:fldChar w:fldCharType="separate"/>
      </w:r>
      <w:r>
        <w:t>87</w:t>
      </w:r>
      <w:r>
        <w:fldChar w:fldCharType="end"/>
      </w:r>
      <w:r>
        <w:rPr>
          <w:rFonts w:hint="eastAsia" w:ascii="黑体" w:hAnsi="黑体" w:eastAsia="黑体" w:cs="黑体"/>
          <w:bCs w:val="0"/>
          <w:color w:val="auto"/>
          <w:szCs w:val="21"/>
          <w:highlight w:val="none"/>
        </w:rPr>
        <w:fldChar w:fldCharType="end"/>
      </w:r>
    </w:p>
    <w:p w14:paraId="6449E2FB">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_Toc25480 </w:instrText>
      </w:r>
      <w:r>
        <w:rPr>
          <w:rFonts w:hint="eastAsia" w:ascii="黑体" w:hAnsi="黑体" w:eastAsia="黑体" w:cs="黑体"/>
          <w:bCs w:val="0"/>
          <w:szCs w:val="21"/>
          <w:highlight w:val="none"/>
        </w:rPr>
        <w:fldChar w:fldCharType="separate"/>
      </w:r>
      <w:r>
        <w:rPr>
          <w:rFonts w:hint="eastAsia" w:ascii="宋体" w:hAnsi="宋体" w:cs="宋体"/>
          <w:kern w:val="0"/>
          <w:szCs w:val="21"/>
        </w:rPr>
        <w:t>附件</w:t>
      </w:r>
      <w:r>
        <w:rPr>
          <w:rFonts w:hint="eastAsia" w:ascii="宋体" w:hAnsi="宋体" w:cs="宋体"/>
          <w:kern w:val="0"/>
          <w:szCs w:val="21"/>
          <w:lang w:val="en-US" w:eastAsia="zh-CN"/>
        </w:rPr>
        <w:t>9</w:t>
      </w:r>
      <w:r>
        <w:rPr>
          <w:rFonts w:hint="eastAsia" w:ascii="宋体" w:hAnsi="宋体" w:cs="宋体"/>
          <w:kern w:val="0"/>
          <w:szCs w:val="21"/>
        </w:rPr>
        <w:t xml:space="preserve">-3 </w:t>
      </w:r>
      <w:r>
        <w:rPr>
          <w:rFonts w:hint="eastAsia" w:ascii="宋体" w:hAnsi="宋体"/>
          <w:szCs w:val="21"/>
        </w:rPr>
        <w:t>监狱企业证明资料</w:t>
      </w:r>
      <w:r>
        <w:tab/>
      </w:r>
      <w:r>
        <w:fldChar w:fldCharType="begin"/>
      </w:r>
      <w:r>
        <w:instrText xml:space="preserve"> PAGEREF _Toc25480 \h </w:instrText>
      </w:r>
      <w:r>
        <w:fldChar w:fldCharType="separate"/>
      </w:r>
      <w:r>
        <w:t>88</w:t>
      </w:r>
      <w:r>
        <w:fldChar w:fldCharType="end"/>
      </w:r>
      <w:r>
        <w:rPr>
          <w:rFonts w:hint="eastAsia" w:ascii="黑体" w:hAnsi="黑体" w:eastAsia="黑体" w:cs="黑体"/>
          <w:bCs w:val="0"/>
          <w:color w:val="auto"/>
          <w:szCs w:val="21"/>
          <w:highlight w:val="none"/>
        </w:rPr>
        <w:fldChar w:fldCharType="end"/>
      </w:r>
    </w:p>
    <w:p w14:paraId="0833103B">
      <w:pPr>
        <w:pStyle w:val="10"/>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_Toc9407 </w:instrText>
      </w:r>
      <w:r>
        <w:rPr>
          <w:rFonts w:hint="eastAsia" w:ascii="黑体" w:hAnsi="黑体" w:eastAsia="黑体" w:cs="黑体"/>
          <w:bCs w:val="0"/>
          <w:szCs w:val="21"/>
          <w:highlight w:val="none"/>
        </w:rPr>
        <w:fldChar w:fldCharType="separate"/>
      </w:r>
      <w:r>
        <w:rPr>
          <w:rFonts w:hint="eastAsia" w:ascii="宋体" w:hAnsi="宋体" w:cs="宋体"/>
          <w:kern w:val="0"/>
          <w:szCs w:val="21"/>
        </w:rPr>
        <w:t>附件</w:t>
      </w:r>
      <w:r>
        <w:rPr>
          <w:rFonts w:hint="eastAsia" w:ascii="宋体" w:hAnsi="宋体" w:cs="宋体"/>
          <w:kern w:val="0"/>
          <w:szCs w:val="21"/>
          <w:lang w:val="en-US" w:eastAsia="zh-CN"/>
        </w:rPr>
        <w:t>9</w:t>
      </w:r>
      <w:r>
        <w:rPr>
          <w:rFonts w:hint="eastAsia" w:ascii="宋体" w:hAnsi="宋体" w:cs="宋体"/>
          <w:kern w:val="0"/>
          <w:szCs w:val="21"/>
        </w:rPr>
        <w:t>-4 强制采购或者优先采购产品的证明材料</w:t>
      </w:r>
      <w:r>
        <w:tab/>
      </w:r>
      <w:r>
        <w:fldChar w:fldCharType="begin"/>
      </w:r>
      <w:r>
        <w:instrText xml:space="preserve"> PAGEREF _Toc9407 \h </w:instrText>
      </w:r>
      <w:r>
        <w:fldChar w:fldCharType="separate"/>
      </w:r>
      <w:r>
        <w:t>89</w:t>
      </w:r>
      <w:r>
        <w:fldChar w:fldCharType="end"/>
      </w:r>
      <w:r>
        <w:rPr>
          <w:rFonts w:hint="eastAsia" w:ascii="黑体" w:hAnsi="黑体" w:eastAsia="黑体" w:cs="黑体"/>
          <w:bCs w:val="0"/>
          <w:color w:val="auto"/>
          <w:szCs w:val="21"/>
          <w:highlight w:val="none"/>
        </w:rPr>
        <w:fldChar w:fldCharType="end"/>
      </w:r>
    </w:p>
    <w:p w14:paraId="6F7E8642">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_Toc30866 </w:instrText>
      </w:r>
      <w:r>
        <w:rPr>
          <w:rFonts w:hint="eastAsia" w:ascii="黑体" w:hAnsi="黑体" w:eastAsia="黑体" w:cs="黑体"/>
          <w:bCs w:val="0"/>
          <w:szCs w:val="21"/>
          <w:highlight w:val="none"/>
        </w:rPr>
        <w:fldChar w:fldCharType="separate"/>
      </w:r>
      <w:r>
        <w:rPr>
          <w:rFonts w:hint="eastAsia" w:ascii="黑体" w:hAnsi="黑体" w:eastAsia="黑体"/>
          <w:szCs w:val="28"/>
        </w:rPr>
        <w:t>十、</w:t>
      </w:r>
      <w:r>
        <w:rPr>
          <w:rFonts w:hint="eastAsia" w:ascii="黑体" w:hAnsi="黑体" w:eastAsia="黑体"/>
          <w:szCs w:val="28"/>
          <w:lang w:val="en-US" w:eastAsia="zh-CN"/>
        </w:rPr>
        <w:t>商务评分证明资料</w:t>
      </w:r>
      <w:r>
        <w:tab/>
      </w:r>
      <w:r>
        <w:fldChar w:fldCharType="begin"/>
      </w:r>
      <w:r>
        <w:instrText xml:space="preserve"> PAGEREF _Toc30866 \h </w:instrText>
      </w:r>
      <w:r>
        <w:fldChar w:fldCharType="separate"/>
      </w:r>
      <w:r>
        <w:t>91</w:t>
      </w:r>
      <w:r>
        <w:fldChar w:fldCharType="end"/>
      </w:r>
      <w:r>
        <w:rPr>
          <w:rFonts w:hint="eastAsia" w:ascii="黑体" w:hAnsi="黑体" w:eastAsia="黑体" w:cs="黑体"/>
          <w:bCs w:val="0"/>
          <w:color w:val="auto"/>
          <w:szCs w:val="21"/>
          <w:highlight w:val="none"/>
        </w:rPr>
        <w:fldChar w:fldCharType="end"/>
      </w:r>
    </w:p>
    <w:p w14:paraId="599C437F">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_Toc2466 </w:instrText>
      </w:r>
      <w:r>
        <w:rPr>
          <w:rFonts w:hint="eastAsia" w:ascii="黑体" w:hAnsi="黑体" w:eastAsia="黑体" w:cs="黑体"/>
          <w:bCs w:val="0"/>
          <w:szCs w:val="21"/>
          <w:highlight w:val="none"/>
        </w:rPr>
        <w:fldChar w:fldCharType="separate"/>
      </w:r>
      <w:r>
        <w:rPr>
          <w:rFonts w:hint="eastAsia" w:ascii="黑体" w:hAnsi="黑体" w:eastAsia="黑体"/>
          <w:szCs w:val="28"/>
        </w:rPr>
        <w:t>十</w:t>
      </w:r>
      <w:r>
        <w:rPr>
          <w:rFonts w:hint="eastAsia" w:ascii="黑体" w:hAnsi="黑体" w:eastAsia="黑体"/>
          <w:szCs w:val="28"/>
          <w:lang w:val="en-US" w:eastAsia="zh-CN"/>
        </w:rPr>
        <w:t>一</w:t>
      </w:r>
      <w:r>
        <w:rPr>
          <w:rFonts w:hint="eastAsia" w:ascii="黑体" w:hAnsi="黑体" w:eastAsia="黑体"/>
          <w:szCs w:val="28"/>
        </w:rPr>
        <w:t>、供应商认为需提供的其他资料</w:t>
      </w:r>
      <w:r>
        <w:tab/>
      </w:r>
      <w:r>
        <w:fldChar w:fldCharType="begin"/>
      </w:r>
      <w:r>
        <w:instrText xml:space="preserve"> PAGEREF _Toc2466 \h </w:instrText>
      </w:r>
      <w:r>
        <w:fldChar w:fldCharType="separate"/>
      </w:r>
      <w:r>
        <w:t>92</w:t>
      </w:r>
      <w:r>
        <w:fldChar w:fldCharType="end"/>
      </w:r>
      <w:r>
        <w:rPr>
          <w:rFonts w:hint="eastAsia" w:ascii="黑体" w:hAnsi="黑体" w:eastAsia="黑体" w:cs="黑体"/>
          <w:bCs w:val="0"/>
          <w:color w:val="auto"/>
          <w:szCs w:val="21"/>
          <w:highlight w:val="none"/>
        </w:rPr>
        <w:fldChar w:fldCharType="end"/>
      </w:r>
    </w:p>
    <w:p w14:paraId="075DC780">
      <w:pPr>
        <w:pStyle w:val="16"/>
        <w:tabs>
          <w:tab w:val="right" w:leader="dot" w:pos="8306"/>
        </w:tabs>
      </w:pPr>
      <w:r>
        <w:rPr>
          <w:rFonts w:hint="eastAsia" w:ascii="黑体" w:hAnsi="黑体" w:eastAsia="黑体" w:cs="黑体"/>
          <w:bCs w:val="0"/>
          <w:color w:val="auto"/>
          <w:szCs w:val="21"/>
          <w:highlight w:val="none"/>
        </w:rPr>
        <w:fldChar w:fldCharType="begin"/>
      </w:r>
      <w:r>
        <w:rPr>
          <w:rFonts w:hint="eastAsia" w:ascii="黑体" w:hAnsi="黑体" w:eastAsia="黑体" w:cs="黑体"/>
          <w:bCs w:val="0"/>
          <w:szCs w:val="21"/>
          <w:highlight w:val="none"/>
        </w:rPr>
        <w:instrText xml:space="preserve"> HYPERLINK \l _Toc30729 </w:instrText>
      </w:r>
      <w:r>
        <w:rPr>
          <w:rFonts w:hint="eastAsia" w:ascii="黑体" w:hAnsi="黑体" w:eastAsia="黑体" w:cs="黑体"/>
          <w:bCs w:val="0"/>
          <w:szCs w:val="21"/>
          <w:highlight w:val="none"/>
        </w:rPr>
        <w:fldChar w:fldCharType="separate"/>
      </w:r>
      <w:r>
        <w:rPr>
          <w:rFonts w:hint="eastAsia" w:ascii="黑体" w:hAnsi="黑体" w:eastAsia="黑体"/>
          <w:szCs w:val="28"/>
        </w:rPr>
        <w:t>十</w:t>
      </w:r>
      <w:r>
        <w:rPr>
          <w:rFonts w:hint="eastAsia" w:ascii="黑体" w:hAnsi="黑体" w:eastAsia="黑体"/>
          <w:szCs w:val="28"/>
          <w:lang w:val="en-US" w:eastAsia="zh-CN"/>
        </w:rPr>
        <w:t>二</w:t>
      </w:r>
      <w:r>
        <w:rPr>
          <w:rFonts w:hint="eastAsia" w:ascii="黑体" w:hAnsi="黑体" w:eastAsia="黑体"/>
          <w:szCs w:val="28"/>
        </w:rPr>
        <w:t>、最终报价</w:t>
      </w:r>
      <w:r>
        <w:tab/>
      </w:r>
      <w:r>
        <w:fldChar w:fldCharType="begin"/>
      </w:r>
      <w:r>
        <w:instrText xml:space="preserve"> PAGEREF _Toc30729 \h </w:instrText>
      </w:r>
      <w:r>
        <w:fldChar w:fldCharType="separate"/>
      </w:r>
      <w:r>
        <w:t>93</w:t>
      </w:r>
      <w:r>
        <w:fldChar w:fldCharType="end"/>
      </w:r>
      <w:r>
        <w:rPr>
          <w:rFonts w:hint="eastAsia" w:ascii="黑体" w:hAnsi="黑体" w:eastAsia="黑体" w:cs="黑体"/>
          <w:bCs w:val="0"/>
          <w:color w:val="auto"/>
          <w:szCs w:val="21"/>
          <w:highlight w:val="none"/>
        </w:rPr>
        <w:fldChar w:fldCharType="end"/>
      </w:r>
    </w:p>
    <w:p w14:paraId="641A0FA4">
      <w:pPr>
        <w:pStyle w:val="16"/>
        <w:tabs>
          <w:tab w:val="right" w:leader="dot" w:pos="8617"/>
        </w:tabs>
        <w:ind w:left="0" w:leftChars="0"/>
        <w:rPr>
          <w:rFonts w:hint="default" w:ascii="Calibri" w:hAnsi="Calibri" w:cs="Calibri"/>
          <w:b w:val="0"/>
          <w:bCs w:val="0"/>
          <w:color w:val="auto"/>
          <w:sz w:val="22"/>
          <w:szCs w:val="22"/>
          <w:highlight w:val="none"/>
        </w:rPr>
      </w:pPr>
      <w:r>
        <w:rPr>
          <w:rFonts w:hint="eastAsia" w:ascii="黑体" w:hAnsi="黑体" w:eastAsia="黑体" w:cs="黑体"/>
          <w:bCs w:val="0"/>
          <w:color w:val="auto"/>
          <w:szCs w:val="21"/>
          <w:highlight w:val="none"/>
        </w:rPr>
        <w:fldChar w:fldCharType="end"/>
      </w:r>
    </w:p>
    <w:p w14:paraId="7A682626">
      <w:pPr>
        <w:widowControl/>
        <w:jc w:val="left"/>
        <w:rPr>
          <w:color w:val="auto"/>
          <w:highlight w:val="none"/>
        </w:rPr>
      </w:pPr>
      <w:r>
        <w:rPr>
          <w:color w:val="auto"/>
          <w:highlight w:val="none"/>
        </w:rPr>
        <w:br w:type="page"/>
      </w:r>
    </w:p>
    <w:p w14:paraId="4790F27F">
      <w:pPr>
        <w:pStyle w:val="4"/>
        <w:adjustRightInd w:val="0"/>
        <w:snapToGrid w:val="0"/>
        <w:spacing w:before="156" w:beforeLines="50" w:line="360" w:lineRule="auto"/>
        <w:rPr>
          <w:rFonts w:ascii="黑体" w:hAnsi="黑体" w:eastAsia="黑体"/>
          <w:color w:val="auto"/>
          <w:sz w:val="32"/>
          <w:szCs w:val="32"/>
          <w:highlight w:val="none"/>
        </w:rPr>
      </w:pPr>
      <w:bookmarkStart w:id="0" w:name="_Toc4053"/>
      <w:r>
        <w:rPr>
          <w:rFonts w:hint="eastAsia" w:ascii="黑体" w:hAnsi="黑体" w:eastAsia="黑体"/>
          <w:color w:val="auto"/>
          <w:sz w:val="32"/>
          <w:szCs w:val="32"/>
          <w:highlight w:val="none"/>
        </w:rPr>
        <w:t>第一章  磋商邀请</w:t>
      </w:r>
      <w:bookmarkEnd w:id="0"/>
    </w:p>
    <w:p w14:paraId="5CDC223C">
      <w:pPr>
        <w:adjustRightInd w:val="0"/>
        <w:snapToGrid w:val="0"/>
        <w:spacing w:before="156" w:beforeLines="50" w:line="360" w:lineRule="auto"/>
        <w:ind w:firstLine="630" w:firstLineChars="300"/>
        <w:rPr>
          <w:rFonts w:ascii="宋体" w:hAnsi="宋体"/>
          <w:color w:val="auto"/>
          <w:szCs w:val="21"/>
          <w:highlight w:val="none"/>
        </w:rPr>
      </w:pPr>
      <w:r>
        <w:rPr>
          <w:rFonts w:hint="eastAsia" w:ascii="宋体" w:hAnsi="宋体"/>
          <w:color w:val="auto"/>
          <w:szCs w:val="21"/>
          <w:highlight w:val="none"/>
          <w:u w:val="single"/>
          <w:lang w:eastAsia="zh-CN"/>
        </w:rPr>
        <w:t>张家界市机关事务管理局</w:t>
      </w:r>
      <w:r>
        <w:rPr>
          <w:rFonts w:hint="eastAsia" w:ascii="宋体" w:hAnsi="宋体"/>
          <w:color w:val="auto"/>
          <w:szCs w:val="21"/>
          <w:highlight w:val="none"/>
        </w:rPr>
        <w:t>（采购人名称）的</w:t>
      </w:r>
      <w:r>
        <w:rPr>
          <w:rFonts w:hint="eastAsia" w:ascii="宋体" w:hAnsi="宋体"/>
          <w:color w:val="auto"/>
          <w:szCs w:val="21"/>
          <w:highlight w:val="none"/>
          <w:u w:val="single"/>
          <w:lang w:eastAsia="zh-CN"/>
        </w:rPr>
        <w:t>张家界市原警卫处综合楼维修改造项目</w:t>
      </w:r>
      <w:r>
        <w:rPr>
          <w:rFonts w:hint="eastAsia" w:ascii="宋体" w:hAnsi="宋体"/>
          <w:color w:val="auto"/>
          <w:szCs w:val="21"/>
          <w:highlight w:val="none"/>
        </w:rPr>
        <w:t xml:space="preserve"> </w:t>
      </w:r>
      <w:r>
        <w:rPr>
          <w:rFonts w:hint="eastAsia" w:ascii="宋体" w:hAnsi="宋体"/>
          <w:color w:val="auto"/>
          <w:szCs w:val="21"/>
          <w:highlight w:val="none"/>
          <w:lang w:eastAsia="zh-CN"/>
        </w:rPr>
        <w:t>（</w:t>
      </w:r>
      <w:r>
        <w:rPr>
          <w:rFonts w:hint="eastAsia" w:ascii="宋体" w:hAnsi="宋体"/>
          <w:color w:val="auto"/>
          <w:szCs w:val="21"/>
          <w:highlight w:val="none"/>
        </w:rPr>
        <w:t>项目名称</w:t>
      </w:r>
      <w:r>
        <w:rPr>
          <w:rFonts w:hint="eastAsia" w:ascii="宋体" w:hAnsi="宋体"/>
          <w:color w:val="auto"/>
          <w:szCs w:val="21"/>
          <w:highlight w:val="none"/>
          <w:lang w:eastAsia="zh-CN"/>
        </w:rPr>
        <w:t>）</w:t>
      </w:r>
      <w:r>
        <w:rPr>
          <w:rFonts w:hint="eastAsia" w:ascii="宋体" w:hAnsi="宋体"/>
          <w:color w:val="auto"/>
          <w:szCs w:val="21"/>
          <w:highlight w:val="none"/>
        </w:rPr>
        <w:t>进行竞争性磋商采购，现采用发布公告方式，邀请合格投标人参加投标。</w:t>
      </w:r>
    </w:p>
    <w:p w14:paraId="20C58CEE">
      <w:pPr>
        <w:keepNext/>
        <w:keepLines/>
        <w:adjustRightInd w:val="0"/>
        <w:snapToGrid w:val="0"/>
        <w:spacing w:before="156" w:beforeLines="50" w:line="360" w:lineRule="auto"/>
        <w:outlineLvl w:val="1"/>
        <w:rPr>
          <w:rFonts w:ascii="黑体" w:hAnsi="黑体" w:eastAsia="黑体"/>
          <w:b/>
          <w:bCs/>
          <w:color w:val="auto"/>
          <w:sz w:val="24"/>
          <w:szCs w:val="32"/>
          <w:highlight w:val="none"/>
        </w:rPr>
      </w:pPr>
      <w:bookmarkStart w:id="1" w:name="_Toc13095"/>
      <w:bookmarkStart w:id="2" w:name="_Toc16639"/>
      <w:bookmarkStart w:id="3" w:name="_Toc22657511"/>
      <w:bookmarkStart w:id="4" w:name="_Toc31599"/>
      <w:bookmarkStart w:id="5" w:name="_Toc110606572"/>
      <w:r>
        <w:rPr>
          <w:rFonts w:hint="eastAsia" w:ascii="黑体" w:hAnsi="黑体" w:eastAsia="黑体"/>
          <w:b/>
          <w:bCs/>
          <w:color w:val="auto"/>
          <w:sz w:val="24"/>
          <w:szCs w:val="32"/>
          <w:highlight w:val="none"/>
        </w:rPr>
        <w:t>一、项目概况</w:t>
      </w:r>
      <w:bookmarkEnd w:id="1"/>
      <w:bookmarkEnd w:id="2"/>
      <w:bookmarkEnd w:id="3"/>
      <w:bookmarkEnd w:id="4"/>
      <w:bookmarkEnd w:id="5"/>
    </w:p>
    <w:p w14:paraId="4D92D161">
      <w:pPr>
        <w:adjustRightInd w:val="0"/>
        <w:snapToGrid w:val="0"/>
        <w:spacing w:line="360" w:lineRule="auto"/>
        <w:ind w:firstLine="420" w:firstLineChars="200"/>
        <w:rPr>
          <w:rFonts w:hint="eastAsia" w:ascii="宋体" w:hAnsi="宋体" w:eastAsia="宋体"/>
          <w:color w:val="auto"/>
          <w:szCs w:val="21"/>
          <w:highlight w:val="none"/>
          <w:lang w:eastAsia="zh-CN"/>
        </w:rPr>
      </w:pPr>
      <w:bookmarkStart w:id="6" w:name="_Toc22657512"/>
      <w:r>
        <w:rPr>
          <w:rFonts w:hint="eastAsia" w:ascii="宋体" w:hAnsi="宋体"/>
          <w:color w:val="auto"/>
          <w:szCs w:val="21"/>
          <w:highlight w:val="none"/>
        </w:rPr>
        <w:t>1、采购项目名称：</w:t>
      </w:r>
      <w:r>
        <w:rPr>
          <w:rFonts w:hint="eastAsia" w:ascii="宋体" w:hAnsi="宋体"/>
          <w:color w:val="auto"/>
          <w:szCs w:val="21"/>
          <w:highlight w:val="none"/>
          <w:u w:val="single"/>
          <w:lang w:eastAsia="zh-CN"/>
        </w:rPr>
        <w:t>张家界市原警卫处综合楼维修改造项目</w:t>
      </w:r>
    </w:p>
    <w:p w14:paraId="2E0CF1F4">
      <w:pPr>
        <w:adjustRightInd w:val="0"/>
        <w:snapToGrid w:val="0"/>
        <w:spacing w:line="360" w:lineRule="auto"/>
        <w:ind w:firstLine="420" w:firstLineChars="200"/>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2、政府采购计划编号：</w:t>
      </w:r>
      <w:r>
        <w:rPr>
          <w:rFonts w:hint="eastAsia" w:ascii="宋体" w:hAnsi="宋体"/>
          <w:color w:val="auto"/>
          <w:szCs w:val="21"/>
          <w:highlight w:val="none"/>
          <w:u w:val="single"/>
        </w:rPr>
        <w:t>(2026)430800000029-1</w:t>
      </w:r>
    </w:p>
    <w:p w14:paraId="646F8030">
      <w:pPr>
        <w:adjustRightInd w:val="0"/>
        <w:snapToGrid w:val="0"/>
        <w:spacing w:line="360" w:lineRule="auto"/>
        <w:ind w:firstLine="420" w:firstLineChars="200"/>
        <w:rPr>
          <w:rFonts w:hint="eastAsia" w:ascii="宋体" w:hAnsi="宋体" w:eastAsia="宋体"/>
          <w:i/>
          <w:color w:val="auto"/>
          <w:szCs w:val="21"/>
          <w:highlight w:val="none"/>
          <w:lang w:val="en-US" w:eastAsia="zh-CN"/>
        </w:rPr>
      </w:pPr>
      <w:r>
        <w:rPr>
          <w:rFonts w:hint="eastAsia" w:ascii="宋体" w:hAnsi="宋体"/>
          <w:color w:val="auto"/>
          <w:szCs w:val="21"/>
          <w:highlight w:val="none"/>
        </w:rPr>
        <w:t>3、代理机构编号：</w:t>
      </w:r>
      <w:r>
        <w:rPr>
          <w:rFonts w:hint="eastAsia" w:ascii="宋体" w:hAnsi="宋体"/>
          <w:color w:val="auto"/>
          <w:szCs w:val="21"/>
          <w:highlight w:val="none"/>
          <w:u w:val="single"/>
          <w:lang w:eastAsia="zh-CN"/>
        </w:rPr>
        <w:t>ZJJFZZB-2026-205</w:t>
      </w:r>
    </w:p>
    <w:p w14:paraId="665CF730">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4、采购项目预算：</w:t>
      </w:r>
      <w:r>
        <w:rPr>
          <w:rFonts w:hint="eastAsia" w:ascii="宋体" w:hAnsi="宋体"/>
          <w:bCs/>
          <w:color w:val="auto"/>
          <w:szCs w:val="21"/>
          <w:highlight w:val="none"/>
          <w:u w:val="single"/>
          <w:lang w:val="en-US" w:eastAsia="zh-CN"/>
        </w:rPr>
        <w:t>2636534.69</w:t>
      </w:r>
      <w:r>
        <w:rPr>
          <w:rFonts w:hint="eastAsia" w:ascii="宋体" w:hAnsi="宋体"/>
          <w:bCs/>
          <w:color w:val="auto"/>
          <w:szCs w:val="21"/>
          <w:highlight w:val="none"/>
          <w:u w:val="single"/>
        </w:rPr>
        <w:t>元</w:t>
      </w:r>
    </w:p>
    <w:p w14:paraId="5BAF0CC3">
      <w:pPr>
        <w:adjustRightInd w:val="0"/>
        <w:snapToGrid w:val="0"/>
        <w:spacing w:line="360" w:lineRule="auto"/>
        <w:ind w:firstLine="630" w:firstLineChars="300"/>
        <w:rPr>
          <w:rFonts w:ascii="宋体" w:hAnsi="宋体"/>
          <w:bCs/>
          <w:color w:val="auto"/>
          <w:szCs w:val="21"/>
          <w:highlight w:val="none"/>
          <w:u w:val="single"/>
        </w:rPr>
      </w:pPr>
      <w:r>
        <w:rPr>
          <w:rFonts w:hint="eastAsia" w:ascii="宋体" w:hAnsi="宋体"/>
          <w:iCs/>
          <w:color w:val="auto"/>
          <w:szCs w:val="21"/>
          <w:highlight w:val="none"/>
          <w:lang w:eastAsia="zh-CN"/>
        </w:rPr>
        <w:t>☑</w:t>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10%</w:t>
      </w:r>
      <w:r>
        <w:rPr>
          <w:rFonts w:hint="eastAsia" w:ascii="宋体" w:hAnsi="宋体"/>
          <w:bCs/>
          <w:color w:val="auto"/>
          <w:szCs w:val="21"/>
          <w:highlight w:val="none"/>
          <w:u w:val="single"/>
        </w:rPr>
        <w:t xml:space="preserve">  </w:t>
      </w:r>
    </w:p>
    <w:p w14:paraId="6D28607E">
      <w:pPr>
        <w:adjustRightInd w:val="0"/>
        <w:snapToGrid w:val="0"/>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bCs/>
          <w:color w:val="auto"/>
          <w:szCs w:val="21"/>
          <w:highlight w:val="none"/>
        </w:rPr>
        <w:t>5、本项目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lang w:val="en-US" w:eastAsia="zh-CN"/>
        </w:rPr>
        <w:t>建筑业</w:t>
      </w:r>
    </w:p>
    <w:p w14:paraId="207F50B7">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6、合同定价方式：</w:t>
      </w:r>
      <w:r>
        <w:rPr>
          <w:rFonts w:hint="eastAsia" w:ascii="MS Gothic" w:hAnsi="MS Gothic" w:eastAsia="宋体" w:cs="MS Gothic"/>
          <w:iCs/>
          <w:color w:val="auto"/>
          <w:szCs w:val="21"/>
          <w:highlight w:val="none"/>
          <w:lang w:eastAsia="zh-CN"/>
        </w:rPr>
        <w:t>□</w:t>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17EFBEF1">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7、合同履行期限：</w:t>
      </w:r>
      <w:r>
        <w:rPr>
          <w:rFonts w:hint="eastAsia" w:ascii="宋体" w:hAnsi="宋体"/>
          <w:bCs/>
          <w:color w:val="auto"/>
          <w:szCs w:val="21"/>
          <w:highlight w:val="none"/>
          <w:u w:val="single"/>
          <w:lang w:val="en-US" w:eastAsia="zh-CN"/>
        </w:rPr>
        <w:t>90 日历天（以签订合同为准）</w:t>
      </w:r>
    </w:p>
    <w:p w14:paraId="784691BB">
      <w:pPr>
        <w:pStyle w:val="22"/>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8、</w:t>
      </w:r>
      <w:r>
        <w:rPr>
          <w:rFonts w:hint="eastAsia" w:ascii="宋体" w:hAnsi="宋体" w:eastAsia="宋体" w:cs="宋体"/>
          <w:color w:val="auto"/>
          <w:sz w:val="21"/>
          <w:szCs w:val="21"/>
          <w:highlight w:val="none"/>
        </w:rPr>
        <w:t>本项目分阶段要求供应商提供以下保证：</w:t>
      </w:r>
    </w:p>
    <w:p w14:paraId="5F3448C8">
      <w:pPr>
        <w:pStyle w:val="22"/>
        <w:spacing w:line="360" w:lineRule="auto"/>
        <w:rPr>
          <w:rFonts w:hint="eastAsia" w:ascii="宋体" w:hAnsi="宋体" w:eastAsia="宋体" w:cs="宋体"/>
          <w:iCs/>
          <w:color w:val="auto"/>
          <w:sz w:val="21"/>
          <w:szCs w:val="21"/>
          <w:highlight w:val="none"/>
        </w:rPr>
      </w:pPr>
      <w:r>
        <w:rPr>
          <w:rFonts w:hint="eastAsia" w:ascii="宋体" w:hAnsi="宋体" w:cs="宋体"/>
          <w:iCs/>
          <w:color w:val="auto"/>
          <w:sz w:val="21"/>
          <w:szCs w:val="21"/>
          <w:highlight w:val="none"/>
          <w:lang w:eastAsia="zh-CN"/>
        </w:rPr>
        <w:t>□</w:t>
      </w:r>
      <w:r>
        <w:rPr>
          <w:rFonts w:hint="eastAsia" w:ascii="宋体" w:hAnsi="宋体" w:eastAsia="宋体" w:cs="宋体"/>
          <w:color w:val="auto"/>
          <w:sz w:val="21"/>
          <w:szCs w:val="21"/>
          <w:highlight w:val="none"/>
        </w:rPr>
        <w:t>投标保证金：</w:t>
      </w:r>
      <w:r>
        <w:rPr>
          <w:rFonts w:hint="eastAsia" w:ascii="宋体" w:hAnsi="宋体" w:eastAsia="宋体" w:cs="宋体"/>
          <w:iCs/>
          <w:color w:val="auto"/>
          <w:sz w:val="21"/>
          <w:szCs w:val="21"/>
          <w:highlight w:val="none"/>
        </w:rPr>
        <w:t>采购项目预算的</w:t>
      </w:r>
      <w:r>
        <w:rPr>
          <w:rFonts w:hint="eastAsia" w:ascii="宋体" w:hAnsi="宋体" w:eastAsia="宋体" w:cs="宋体"/>
          <w:iCs/>
          <w:color w:val="auto"/>
          <w:sz w:val="21"/>
          <w:szCs w:val="21"/>
          <w:highlight w:val="none"/>
          <w:u w:val="single"/>
        </w:rPr>
        <w:t xml:space="preserve"> </w:t>
      </w:r>
      <w:r>
        <w:rPr>
          <w:rFonts w:hint="eastAsia" w:ascii="宋体" w:hAnsi="宋体" w:cs="宋体"/>
          <w:iCs/>
          <w:color w:val="auto"/>
          <w:sz w:val="21"/>
          <w:szCs w:val="21"/>
          <w:highlight w:val="none"/>
          <w:u w:val="single"/>
          <w:lang w:val="en-US" w:eastAsia="zh-CN"/>
        </w:rPr>
        <w:t xml:space="preserve"> </w:t>
      </w:r>
      <w:r>
        <w:rPr>
          <w:rFonts w:hint="eastAsia" w:ascii="宋体" w:hAnsi="宋体" w:eastAsia="宋体" w:cs="宋体"/>
          <w:iCs/>
          <w:color w:val="auto"/>
          <w:sz w:val="21"/>
          <w:szCs w:val="21"/>
          <w:highlight w:val="none"/>
          <w:u w:val="single"/>
        </w:rPr>
        <w:t xml:space="preserve">  </w:t>
      </w:r>
      <w:r>
        <w:rPr>
          <w:rFonts w:hint="eastAsia" w:ascii="宋体" w:hAnsi="宋体" w:eastAsia="宋体" w:cs="宋体"/>
          <w:iCs/>
          <w:color w:val="auto"/>
          <w:sz w:val="21"/>
          <w:szCs w:val="21"/>
          <w:highlight w:val="none"/>
        </w:rPr>
        <w:t>%</w:t>
      </w:r>
      <w:r>
        <w:rPr>
          <w:rFonts w:hint="eastAsia" w:ascii="宋体" w:hAnsi="宋体" w:eastAsia="宋体" w:cs="宋体"/>
          <w:color w:val="auto"/>
          <w:sz w:val="21"/>
          <w:szCs w:val="21"/>
          <w:highlight w:val="none"/>
        </w:rPr>
        <w:t>；</w:t>
      </w:r>
    </w:p>
    <w:p w14:paraId="198F2377">
      <w:pPr>
        <w:pStyle w:val="22"/>
        <w:spacing w:line="360" w:lineRule="auto"/>
        <w:rPr>
          <w:rFonts w:hint="eastAsia" w:ascii="宋体" w:hAnsi="宋体" w:eastAsia="宋体" w:cs="宋体"/>
          <w:iCs/>
          <w:color w:val="auto"/>
          <w:sz w:val="21"/>
          <w:szCs w:val="21"/>
          <w:highlight w:val="none"/>
        </w:rPr>
      </w:pPr>
      <w:r>
        <w:rPr>
          <w:rFonts w:hint="eastAsia" w:ascii="宋体" w:hAnsi="宋体" w:eastAsia="宋体" w:cs="宋体"/>
          <w:iCs/>
          <w:color w:val="auto"/>
          <w:sz w:val="21"/>
          <w:szCs w:val="21"/>
          <w:highlight w:val="none"/>
        </w:rPr>
        <w:sym w:font="Wingdings" w:char="00FE"/>
      </w:r>
      <w:r>
        <w:rPr>
          <w:rFonts w:hint="eastAsia" w:ascii="宋体" w:hAnsi="宋体" w:eastAsia="宋体" w:cs="宋体"/>
          <w:color w:val="auto"/>
          <w:sz w:val="21"/>
          <w:szCs w:val="21"/>
          <w:highlight w:val="none"/>
        </w:rPr>
        <w:t>履约保证金：</w:t>
      </w:r>
      <w:r>
        <w:rPr>
          <w:rFonts w:hint="eastAsia" w:ascii="宋体" w:hAnsi="宋体" w:eastAsia="宋体" w:cs="宋体"/>
          <w:iCs/>
          <w:color w:val="auto"/>
          <w:sz w:val="21"/>
          <w:szCs w:val="21"/>
          <w:highlight w:val="none"/>
        </w:rPr>
        <w:t>中标金额降价幅度不超过采购预算10％的，履约保证金为中标金额的10％； 中标金额降价幅度超过采购预算的10%以上的，履约保证金为采购预算减去中标金额的差额</w:t>
      </w:r>
      <w:r>
        <w:rPr>
          <w:rFonts w:hint="eastAsia" w:ascii="宋体" w:hAnsi="宋体" w:eastAsia="宋体" w:cs="宋体"/>
          <w:color w:val="auto"/>
          <w:sz w:val="21"/>
          <w:szCs w:val="21"/>
          <w:highlight w:val="none"/>
        </w:rPr>
        <w:t>；</w:t>
      </w:r>
    </w:p>
    <w:p w14:paraId="7F361DB8">
      <w:pPr>
        <w:pStyle w:val="22"/>
        <w:spacing w:line="360" w:lineRule="auto"/>
        <w:rPr>
          <w:rFonts w:hint="eastAsia" w:ascii="宋体" w:hAnsi="宋体" w:eastAsia="宋体" w:cs="宋体"/>
          <w:iCs/>
          <w:color w:val="auto"/>
          <w:sz w:val="21"/>
          <w:szCs w:val="21"/>
          <w:highlight w:val="none"/>
        </w:rPr>
      </w:pP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rPr>
        <w:t>预付款保证金：预付款的</w:t>
      </w:r>
      <w:r>
        <w:rPr>
          <w:rFonts w:hint="eastAsia" w:ascii="宋体" w:hAnsi="宋体" w:eastAsia="宋体" w:cs="宋体"/>
          <w:iCs/>
          <w:color w:val="auto"/>
          <w:sz w:val="21"/>
          <w:szCs w:val="21"/>
          <w:highlight w:val="none"/>
          <w:u w:val="single"/>
        </w:rPr>
        <w:t xml:space="preserve">      </w:t>
      </w:r>
      <w:r>
        <w:rPr>
          <w:rFonts w:hint="eastAsia" w:ascii="宋体" w:hAnsi="宋体" w:eastAsia="宋体" w:cs="宋体"/>
          <w:iCs/>
          <w:color w:val="auto"/>
          <w:sz w:val="21"/>
          <w:szCs w:val="21"/>
          <w:highlight w:val="none"/>
        </w:rPr>
        <w:t>%；</w:t>
      </w:r>
    </w:p>
    <w:p w14:paraId="2983CC88">
      <w:pPr>
        <w:pStyle w:val="22"/>
        <w:spacing w:line="360" w:lineRule="auto"/>
        <w:rPr>
          <w:rFonts w:hint="eastAsia" w:ascii="宋体" w:hAnsi="宋体" w:eastAsia="宋体" w:cs="宋体"/>
          <w:iCs/>
          <w:color w:val="auto"/>
          <w:sz w:val="21"/>
          <w:szCs w:val="21"/>
          <w:highlight w:val="none"/>
        </w:rPr>
      </w:pPr>
      <w:r>
        <w:rPr>
          <w:rFonts w:hint="eastAsia" w:ascii="宋体" w:hAnsi="宋体" w:cs="宋体"/>
          <w:iCs/>
          <w:color w:val="auto"/>
          <w:sz w:val="21"/>
          <w:szCs w:val="21"/>
          <w:highlight w:val="none"/>
          <w:lang w:eastAsia="zh-CN"/>
        </w:rPr>
        <w:t>☑</w:t>
      </w:r>
      <w:r>
        <w:rPr>
          <w:rFonts w:hint="eastAsia" w:ascii="宋体" w:hAnsi="宋体" w:eastAsia="宋体" w:cs="宋体"/>
          <w:iCs/>
          <w:color w:val="auto"/>
          <w:sz w:val="21"/>
          <w:szCs w:val="21"/>
          <w:highlight w:val="none"/>
        </w:rPr>
        <w:t>质量保证金：合同金额的</w:t>
      </w:r>
      <w:r>
        <w:rPr>
          <w:rFonts w:hint="eastAsia" w:ascii="宋体" w:hAnsi="宋体" w:eastAsia="宋体" w:cs="宋体"/>
          <w:iCs/>
          <w:color w:val="auto"/>
          <w:sz w:val="21"/>
          <w:szCs w:val="21"/>
          <w:highlight w:val="none"/>
          <w:u w:val="single"/>
        </w:rPr>
        <w:t xml:space="preserve"> </w:t>
      </w:r>
      <w:r>
        <w:rPr>
          <w:rFonts w:hint="eastAsia" w:ascii="宋体" w:hAnsi="宋体" w:cs="宋体"/>
          <w:iCs/>
          <w:color w:val="auto"/>
          <w:sz w:val="21"/>
          <w:szCs w:val="21"/>
          <w:highlight w:val="none"/>
          <w:u w:val="single"/>
          <w:lang w:val="en-US" w:eastAsia="zh-CN"/>
        </w:rPr>
        <w:t>3</w:t>
      </w:r>
      <w:r>
        <w:rPr>
          <w:rFonts w:hint="eastAsia" w:ascii="宋体" w:hAnsi="宋体" w:eastAsia="宋体" w:cs="宋体"/>
          <w:iCs/>
          <w:color w:val="auto"/>
          <w:sz w:val="21"/>
          <w:szCs w:val="21"/>
          <w:highlight w:val="none"/>
          <w:u w:val="single"/>
        </w:rPr>
        <w:t xml:space="preserve">  </w:t>
      </w:r>
      <w:r>
        <w:rPr>
          <w:rFonts w:hint="eastAsia" w:ascii="宋体" w:hAnsi="宋体" w:eastAsia="宋体" w:cs="宋体"/>
          <w:iCs/>
          <w:color w:val="auto"/>
          <w:sz w:val="21"/>
          <w:szCs w:val="21"/>
          <w:highlight w:val="none"/>
        </w:rPr>
        <w:t>%。</w:t>
      </w:r>
    </w:p>
    <w:p w14:paraId="4BCF7AB2">
      <w:pPr>
        <w:keepNext/>
        <w:keepLines/>
        <w:adjustRightInd w:val="0"/>
        <w:snapToGrid w:val="0"/>
        <w:spacing w:before="156" w:beforeLines="50" w:line="360" w:lineRule="auto"/>
        <w:outlineLvl w:val="1"/>
        <w:rPr>
          <w:rFonts w:ascii="黑体" w:hAnsi="黑体" w:eastAsia="黑体"/>
          <w:b/>
          <w:bCs/>
          <w:color w:val="auto"/>
          <w:sz w:val="24"/>
          <w:szCs w:val="32"/>
          <w:highlight w:val="none"/>
        </w:rPr>
      </w:pPr>
      <w:bookmarkStart w:id="7" w:name="_Toc6769"/>
      <w:bookmarkStart w:id="8" w:name="_Toc110606573"/>
      <w:bookmarkStart w:id="9" w:name="_Toc29234"/>
      <w:bookmarkStart w:id="10" w:name="_Toc8622"/>
      <w:r>
        <w:rPr>
          <w:rFonts w:hint="eastAsia" w:ascii="黑体" w:hAnsi="黑体" w:eastAsia="黑体"/>
          <w:b/>
          <w:bCs/>
          <w:color w:val="auto"/>
          <w:sz w:val="24"/>
          <w:szCs w:val="32"/>
          <w:highlight w:val="none"/>
        </w:rPr>
        <w:t>二、采购需求</w:t>
      </w:r>
      <w:bookmarkEnd w:id="6"/>
      <w:bookmarkEnd w:id="7"/>
      <w:bookmarkEnd w:id="8"/>
      <w:bookmarkEnd w:id="9"/>
      <w:bookmarkEnd w:id="10"/>
    </w:p>
    <w:tbl>
      <w:tblPr>
        <w:tblStyle w:val="19"/>
        <w:tblW w:w="871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0"/>
        <w:gridCol w:w="1205"/>
        <w:gridCol w:w="1340"/>
        <w:gridCol w:w="1587"/>
        <w:gridCol w:w="777"/>
        <w:gridCol w:w="1601"/>
        <w:gridCol w:w="1597"/>
      </w:tblGrid>
      <w:tr w14:paraId="75C09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trPr>
        <w:tc>
          <w:tcPr>
            <w:tcW w:w="610" w:type="dxa"/>
            <w:vAlign w:val="center"/>
          </w:tcPr>
          <w:p w14:paraId="58A970CD">
            <w:pPr>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包号 </w:t>
            </w:r>
          </w:p>
        </w:tc>
        <w:tc>
          <w:tcPr>
            <w:tcW w:w="1205" w:type="dxa"/>
            <w:vAlign w:val="center"/>
          </w:tcPr>
          <w:p w14:paraId="0A75D03D">
            <w:pPr>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包名称</w:t>
            </w:r>
          </w:p>
        </w:tc>
        <w:tc>
          <w:tcPr>
            <w:tcW w:w="1340" w:type="dxa"/>
            <w:vAlign w:val="center"/>
          </w:tcPr>
          <w:p w14:paraId="4DC56004">
            <w:pPr>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标的名称</w:t>
            </w:r>
          </w:p>
        </w:tc>
        <w:tc>
          <w:tcPr>
            <w:tcW w:w="1587" w:type="dxa"/>
            <w:tcBorders>
              <w:left w:val="single" w:color="auto" w:sz="4" w:space="0"/>
            </w:tcBorders>
            <w:vAlign w:val="center"/>
          </w:tcPr>
          <w:p w14:paraId="4CD5B2FC">
            <w:pPr>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简要技术要求</w:t>
            </w:r>
          </w:p>
        </w:tc>
        <w:tc>
          <w:tcPr>
            <w:tcW w:w="777" w:type="dxa"/>
            <w:tcBorders>
              <w:left w:val="single" w:color="auto" w:sz="4" w:space="0"/>
            </w:tcBorders>
            <w:vAlign w:val="center"/>
          </w:tcPr>
          <w:p w14:paraId="4A6F35FB">
            <w:pPr>
              <w:adjustRightInd w:val="0"/>
              <w:snapToGrid w:val="0"/>
              <w:jc w:val="center"/>
              <w:rPr>
                <w:rFonts w:cs="宋体" w:asciiTheme="minorEastAsia" w:hAnsiTheme="minorEastAsia" w:eastAsiaTheme="minorEastAsia"/>
                <w:color w:val="auto"/>
                <w:kern w:val="0"/>
                <w:szCs w:val="21"/>
                <w:highlight w:val="none"/>
              </w:rPr>
            </w:pPr>
            <w:r>
              <w:rPr>
                <w:rFonts w:hint="eastAsia" w:asciiTheme="minorEastAsia" w:hAnsiTheme="minorEastAsia" w:eastAsiaTheme="minorEastAsia"/>
                <w:color w:val="auto"/>
                <w:szCs w:val="21"/>
                <w:highlight w:val="none"/>
              </w:rPr>
              <w:t>数量</w:t>
            </w:r>
          </w:p>
        </w:tc>
        <w:tc>
          <w:tcPr>
            <w:tcW w:w="1601" w:type="dxa"/>
            <w:vAlign w:val="center"/>
          </w:tcPr>
          <w:p w14:paraId="17601407">
            <w:pPr>
              <w:adjustRightInd w:val="0"/>
              <w:snapToGrid w:val="0"/>
              <w:jc w:val="center"/>
              <w:rPr>
                <w:rFonts w:hint="eastAsia" w:eastAsiaTheme="minorEastAsia"/>
                <w:lang w:eastAsia="zh-CN"/>
              </w:rPr>
            </w:pPr>
            <w:r>
              <w:rPr>
                <w:rFonts w:hint="eastAsia" w:asciiTheme="minorEastAsia" w:hAnsiTheme="minorEastAsia" w:eastAsiaTheme="minorEastAsia"/>
                <w:color w:val="auto"/>
                <w:szCs w:val="21"/>
                <w:highlight w:val="none"/>
              </w:rPr>
              <w:t>标的预算</w:t>
            </w:r>
            <w:r>
              <w:rPr>
                <w:rFonts w:hint="eastAsia" w:eastAsiaTheme="minorEastAsia"/>
                <w:lang w:eastAsia="zh-CN"/>
              </w:rPr>
              <w:t>（</w:t>
            </w:r>
            <w:r>
              <w:rPr>
                <w:rFonts w:hint="eastAsia" w:eastAsiaTheme="minorEastAsia"/>
                <w:lang w:val="en-US" w:eastAsia="zh-CN"/>
              </w:rPr>
              <w:t>元</w:t>
            </w:r>
            <w:r>
              <w:rPr>
                <w:rFonts w:hint="eastAsia" w:eastAsiaTheme="minorEastAsia"/>
                <w:lang w:eastAsia="zh-CN"/>
              </w:rPr>
              <w:t>）</w:t>
            </w:r>
          </w:p>
        </w:tc>
        <w:tc>
          <w:tcPr>
            <w:tcW w:w="1597" w:type="dxa"/>
            <w:vAlign w:val="center"/>
          </w:tcPr>
          <w:p w14:paraId="6BF314CA">
            <w:pPr>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最高限价</w:t>
            </w:r>
            <w:r>
              <w:rPr>
                <w:rFonts w:hint="eastAsia" w:eastAsiaTheme="minorEastAsia"/>
                <w:lang w:eastAsia="zh-CN"/>
              </w:rPr>
              <w:t>（</w:t>
            </w:r>
            <w:r>
              <w:rPr>
                <w:rFonts w:hint="eastAsia" w:eastAsiaTheme="minorEastAsia"/>
                <w:lang w:val="en-US" w:eastAsia="zh-CN"/>
              </w:rPr>
              <w:t>元</w:t>
            </w:r>
            <w:r>
              <w:rPr>
                <w:rFonts w:hint="eastAsia" w:eastAsiaTheme="minorEastAsia"/>
                <w:lang w:eastAsia="zh-CN"/>
              </w:rPr>
              <w:t>）</w:t>
            </w:r>
          </w:p>
        </w:tc>
      </w:tr>
      <w:tr w14:paraId="190E98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1" w:hRule="atLeast"/>
        </w:trPr>
        <w:tc>
          <w:tcPr>
            <w:tcW w:w="610" w:type="dxa"/>
            <w:vAlign w:val="center"/>
          </w:tcPr>
          <w:p w14:paraId="5AAC0120">
            <w:pPr>
              <w:adjustRightInd w:val="0"/>
              <w:snapToGrid w:val="0"/>
              <w:spacing w:before="156" w:beforeLines="50" w:line="360" w:lineRule="auto"/>
              <w:jc w:val="both"/>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p>
        </w:tc>
        <w:tc>
          <w:tcPr>
            <w:tcW w:w="1205" w:type="dxa"/>
            <w:vAlign w:val="center"/>
          </w:tcPr>
          <w:p w14:paraId="4F04BA1B">
            <w:pPr>
              <w:bidi w:val="0"/>
            </w:pPr>
            <w:r>
              <w:rPr>
                <w:rFonts w:hint="eastAsia"/>
              </w:rPr>
              <w:t>张家界市原警卫处综合楼维修改造项目</w:t>
            </w:r>
          </w:p>
        </w:tc>
        <w:tc>
          <w:tcPr>
            <w:tcW w:w="1340" w:type="dxa"/>
          </w:tcPr>
          <w:p w14:paraId="2E0259BB">
            <w:pPr>
              <w:bidi w:val="0"/>
              <w:jc w:val="center"/>
              <w:rPr>
                <w:rFonts w:ascii="Calibri" w:hAnsi="Calibri"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张家界市原警卫处综合楼维修改造项目</w:t>
            </w:r>
          </w:p>
        </w:tc>
        <w:tc>
          <w:tcPr>
            <w:tcW w:w="1587" w:type="dxa"/>
            <w:tcBorders>
              <w:left w:val="single" w:color="auto" w:sz="4" w:space="0"/>
            </w:tcBorders>
          </w:tcPr>
          <w:p w14:paraId="091B247F">
            <w:pPr>
              <w:adjustRightInd w:val="0"/>
              <w:snapToGrid w:val="0"/>
              <w:spacing w:before="156" w:beforeLines="50"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详见第三章采购需求</w:t>
            </w:r>
          </w:p>
        </w:tc>
        <w:tc>
          <w:tcPr>
            <w:tcW w:w="777" w:type="dxa"/>
            <w:tcBorders>
              <w:left w:val="single" w:color="auto" w:sz="4" w:space="0"/>
            </w:tcBorders>
            <w:vAlign w:val="center"/>
          </w:tcPr>
          <w:p w14:paraId="7E2CEE00">
            <w:pPr>
              <w:adjustRightInd w:val="0"/>
              <w:snapToGrid w:val="0"/>
              <w:spacing w:before="156" w:beforeLines="50" w:line="360" w:lineRule="auto"/>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1项</w:t>
            </w:r>
          </w:p>
        </w:tc>
        <w:tc>
          <w:tcPr>
            <w:tcW w:w="1601" w:type="dxa"/>
            <w:vAlign w:val="center"/>
          </w:tcPr>
          <w:p w14:paraId="310AF002">
            <w:pPr>
              <w:tabs>
                <w:tab w:val="left" w:pos="630"/>
              </w:tabs>
              <w:adjustRightInd w:val="0"/>
              <w:snapToGrid w:val="0"/>
              <w:spacing w:before="156" w:beforeLines="50"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2636534.69</w:t>
            </w:r>
          </w:p>
        </w:tc>
        <w:tc>
          <w:tcPr>
            <w:tcW w:w="1597" w:type="dxa"/>
            <w:vAlign w:val="center"/>
          </w:tcPr>
          <w:p w14:paraId="350766C4">
            <w:pPr>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lang w:val="en-US" w:eastAsia="zh-CN"/>
              </w:rPr>
              <w:t>2636534.69</w:t>
            </w:r>
          </w:p>
        </w:tc>
      </w:tr>
    </w:tbl>
    <w:p w14:paraId="2A322D3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说明：</w:t>
      </w:r>
    </w:p>
    <w:p w14:paraId="38B7824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1.节能产品实行强制采购的，需提供国家认证机构出具的、处于有效期内的节能产品证书。</w:t>
      </w:r>
    </w:p>
    <w:p w14:paraId="4F28D334">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2.同意购买进口产品的，不限制满足采购需求的国内产品参与投标。</w:t>
      </w:r>
    </w:p>
    <w:p w14:paraId="37344B92">
      <w:pPr>
        <w:keepNext/>
        <w:keepLines/>
        <w:adjustRightInd w:val="0"/>
        <w:snapToGrid w:val="0"/>
        <w:spacing w:before="156" w:beforeLines="50" w:line="360" w:lineRule="auto"/>
        <w:outlineLvl w:val="1"/>
        <w:rPr>
          <w:rFonts w:ascii="黑体" w:hAnsi="黑体" w:eastAsia="黑体"/>
          <w:b/>
          <w:bCs/>
          <w:color w:val="auto"/>
          <w:sz w:val="24"/>
          <w:szCs w:val="32"/>
          <w:highlight w:val="none"/>
        </w:rPr>
      </w:pPr>
      <w:bookmarkStart w:id="11" w:name="_Toc6786"/>
      <w:bookmarkStart w:id="12" w:name="_Toc26256"/>
      <w:bookmarkStart w:id="13" w:name="_Toc107997940"/>
      <w:bookmarkStart w:id="14" w:name="_Toc1004"/>
      <w:bookmarkStart w:id="15" w:name="_Toc110606574"/>
      <w:bookmarkStart w:id="16" w:name="_Toc22657513"/>
      <w:r>
        <w:rPr>
          <w:rFonts w:hint="eastAsia" w:ascii="黑体" w:hAnsi="黑体" w:eastAsia="黑体"/>
          <w:b/>
          <w:bCs/>
          <w:color w:val="auto"/>
          <w:sz w:val="24"/>
          <w:szCs w:val="32"/>
          <w:highlight w:val="none"/>
        </w:rPr>
        <w:t>三、采购项目需落实的政府采购政策</w:t>
      </w:r>
      <w:bookmarkEnd w:id="11"/>
      <w:bookmarkEnd w:id="12"/>
      <w:bookmarkEnd w:id="13"/>
      <w:bookmarkEnd w:id="14"/>
      <w:bookmarkEnd w:id="15"/>
    </w:p>
    <w:bookmarkEnd w:id="16"/>
    <w:p w14:paraId="2916276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1、优先采购：节能产品、环境标志产品享受加分或价格折扣。</w:t>
      </w:r>
    </w:p>
    <w:p w14:paraId="7DBBA7B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2、支持中小企业：中小企业享受预留采购份额或价格折扣。</w:t>
      </w:r>
    </w:p>
    <w:p w14:paraId="4F8884A9">
      <w:pPr>
        <w:keepNext/>
        <w:keepLines/>
        <w:adjustRightInd w:val="0"/>
        <w:snapToGrid w:val="0"/>
        <w:spacing w:line="360" w:lineRule="auto"/>
        <w:outlineLvl w:val="1"/>
        <w:rPr>
          <w:rFonts w:ascii="黑体" w:hAnsi="黑体" w:eastAsia="黑体"/>
          <w:b/>
          <w:bCs/>
          <w:color w:val="auto"/>
          <w:sz w:val="24"/>
          <w:szCs w:val="32"/>
          <w:highlight w:val="none"/>
        </w:rPr>
      </w:pPr>
      <w:bookmarkStart w:id="17" w:name="_Toc22712"/>
      <w:bookmarkStart w:id="18" w:name="_Toc110606575"/>
      <w:bookmarkStart w:id="19" w:name="_Toc10165"/>
      <w:bookmarkStart w:id="20" w:name="_Toc7738"/>
      <w:r>
        <w:rPr>
          <w:rFonts w:hint="eastAsia" w:ascii="黑体" w:hAnsi="黑体" w:eastAsia="黑体"/>
          <w:b/>
          <w:bCs/>
          <w:color w:val="auto"/>
          <w:sz w:val="24"/>
          <w:szCs w:val="32"/>
          <w:highlight w:val="none"/>
        </w:rPr>
        <w:t>四、供应商的资格要求</w:t>
      </w:r>
      <w:bookmarkEnd w:id="17"/>
      <w:bookmarkEnd w:id="18"/>
      <w:bookmarkEnd w:id="19"/>
      <w:bookmarkEnd w:id="20"/>
    </w:p>
    <w:p w14:paraId="0C23D8B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0871A36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58C5C247">
      <w:pPr>
        <w:adjustRightInd w:val="0"/>
        <w:snapToGrid w:val="0"/>
        <w:spacing w:line="360" w:lineRule="auto"/>
        <w:ind w:firstLine="630" w:firstLineChars="300"/>
        <w:rPr>
          <w:rFonts w:ascii="宋体" w:hAnsi="宋体"/>
          <w:color w:val="auto"/>
          <w:szCs w:val="21"/>
          <w:highlight w:val="none"/>
        </w:rPr>
      </w:pPr>
      <w:r>
        <w:rPr>
          <w:rFonts w:hint="eastAsia" w:ascii="MS Gothic" w:hAnsi="MS Gothic" w:cs="MS Gothic"/>
          <w:iCs/>
          <w:color w:val="auto"/>
          <w:szCs w:val="21"/>
          <w:highlight w:val="none"/>
          <w:lang w:eastAsia="zh-CN"/>
        </w:rPr>
        <w:t>☑</w:t>
      </w:r>
      <w:r>
        <w:rPr>
          <w:rFonts w:hint="eastAsia" w:ascii="宋体" w:hAnsi="宋体"/>
          <w:iCs/>
          <w:color w:val="auto"/>
          <w:szCs w:val="21"/>
          <w:highlight w:val="none"/>
        </w:rPr>
        <w:t>专门面向</w:t>
      </w:r>
      <w:r>
        <w:rPr>
          <w:rFonts w:hint="eastAsia" w:ascii="宋体" w:hAnsi="宋体"/>
          <w:bCs/>
          <w:color w:val="auto"/>
          <w:szCs w:val="21"/>
          <w:highlight w:val="none"/>
        </w:rPr>
        <w:t>：</w:t>
      </w:r>
      <w:r>
        <w:rPr>
          <w:rFonts w:hint="eastAsia" w:ascii="MS Gothic" w:hAnsi="MS Gothic" w:cs="MS Gothic"/>
          <w:iCs/>
          <w:color w:val="auto"/>
          <w:szCs w:val="21"/>
          <w:highlight w:val="none"/>
          <w:lang w:eastAsia="zh-CN"/>
        </w:rPr>
        <w:t>☑</w:t>
      </w:r>
      <w:r>
        <w:rPr>
          <w:rFonts w:hint="eastAsia" w:ascii="宋体" w:hAnsi="宋体"/>
          <w:iCs/>
          <w:color w:val="auto"/>
          <w:szCs w:val="21"/>
          <w:highlight w:val="none"/>
        </w:rPr>
        <w:t xml:space="preserve">中小企业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5CA43D15">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分包：大型企业应将采购份额的</w:t>
      </w:r>
      <w:r>
        <w:rPr>
          <w:rFonts w:hint="eastAsia" w:ascii="宋体" w:hAnsi="宋体"/>
          <w:bCs/>
          <w:color w:val="auto"/>
          <w:szCs w:val="21"/>
          <w:highlight w:val="none"/>
          <w:u w:val="single"/>
        </w:rPr>
        <w:t xml:space="preserve">    /     </w:t>
      </w:r>
      <w:r>
        <w:rPr>
          <w:rFonts w:hint="eastAsia" w:ascii="宋体" w:hAnsi="宋体"/>
          <w:bCs/>
          <w:color w:val="auto"/>
          <w:szCs w:val="21"/>
          <w:highlight w:val="none"/>
        </w:rPr>
        <w:t>%分包给中小企业。</w:t>
      </w:r>
    </w:p>
    <w:p w14:paraId="173F3B6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eastAsia="宋体" w:cs="Times New Roman"/>
          <w:color w:val="auto"/>
          <w:kern w:val="2"/>
          <w:sz w:val="21"/>
          <w:szCs w:val="21"/>
          <w:highlight w:val="none"/>
          <w:lang w:val="en-US" w:eastAsia="zh-CN" w:bidi="ar-SA"/>
        </w:rPr>
        <w:t>3、</w:t>
      </w:r>
      <w:r>
        <w:rPr>
          <w:rFonts w:hint="eastAsia" w:ascii="宋体" w:hAnsi="宋体"/>
          <w:color w:val="auto"/>
          <w:szCs w:val="21"/>
          <w:highlight w:val="none"/>
        </w:rPr>
        <w:t>本项目的特定资格要求：</w:t>
      </w:r>
      <w:bookmarkStart w:id="21" w:name="OLE_LINK1"/>
      <w:r>
        <w:rPr>
          <w:rFonts w:hint="eastAsia" w:ascii="宋体" w:hAnsi="宋体"/>
          <w:color w:val="auto"/>
          <w:szCs w:val="21"/>
          <w:highlight w:val="none"/>
        </w:rPr>
        <w:t>（1）供应商须具备住房城乡建设主管部门颁发的建筑工程施工总承包三级及以上资质且处于有效期，企业安全生产许可证处于有效期；湖南省外企业须按照湘建建【2015】190 号文件要求办理省外入湘企业基本情况登记（以“湖南省住房和城乡建设网 ”查询为准）或具有入湘施工登记证（处于有效期内）；</w:t>
      </w:r>
    </w:p>
    <w:p w14:paraId="1198638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项目负责人（项目经理，后同）具有建筑工程二级及以上注册建造师执业资格证书，并且具有有效期内的安全生产考核合格证（B证）；项目负责人必须是本企业在职人员且不得有在建项目（提供无在建工程查询截图和无在建承诺书原件，格式自拟）。</w:t>
      </w:r>
    </w:p>
    <w:p w14:paraId="2AC58DA3">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（3）施工项目部关键岗位其他人员实行承诺制。响应时不要求提供具体人员信息，其中标后按照国家和省有关法律法规、规范标准和湖南省建筑工程施工监理关键岗位人员管理办法（湘建建〔2020〕208 号文）规定配备施工项目部关键岗位人员（提供相应承诺书原件，格式自拟）。</w:t>
      </w:r>
    </w:p>
    <w:p w14:paraId="0957A79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注：本项目面向中小企业采购，供应商须提供《湖南省政府采购供应商资格承诺函》和《中小企业声明函》。</w:t>
      </w:r>
    </w:p>
    <w:bookmarkEnd w:id="21"/>
    <w:p w14:paraId="6B5554BE">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、单位负责人为同一人或者存在直接控股、管理关系的不同供应商，不得参加同一合同项下的政府采购活动。</w:t>
      </w:r>
    </w:p>
    <w:p w14:paraId="7DA3EDE7">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、为本采购项目提供整体设计、规范编制或者项目管理、监理、检测等服务的，不得再参加此项目的其他采购活动。</w:t>
      </w:r>
    </w:p>
    <w:p w14:paraId="43F9AE01">
      <w:pPr>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、列入失信被执行人、重大税收违法失信主体名单、政府采购严重违法失信行为记录名单的，拒绝其参与政府采购活动。</w:t>
      </w:r>
    </w:p>
    <w:p w14:paraId="22599641">
      <w:pPr>
        <w:adjustRightInd w:val="0"/>
        <w:snapToGrid w:val="0"/>
        <w:spacing w:before="50" w:line="360" w:lineRule="auto"/>
        <w:ind w:firstLine="420" w:firstLineChars="200"/>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、联合体响应。本次采购</w:t>
      </w:r>
      <w:r>
        <w:rPr>
          <w:rFonts w:hint="eastAsia" w:ascii="宋体" w:hAnsi="宋体"/>
          <w:color w:val="auto"/>
          <w:szCs w:val="21"/>
          <w:highlight w:val="none"/>
          <w:u w:val="single"/>
        </w:rPr>
        <w:t xml:space="preserve"> 不接受  </w:t>
      </w:r>
      <w:r>
        <w:rPr>
          <w:rFonts w:hint="eastAsia" w:ascii="宋体" w:hAnsi="宋体"/>
          <w:color w:val="auto"/>
          <w:szCs w:val="21"/>
          <w:highlight w:val="none"/>
          <w:u w:val="single"/>
          <w:lang w:eastAsia="zh-CN"/>
        </w:rPr>
        <w:t>（</w:t>
      </w:r>
      <w:r>
        <w:rPr>
          <w:rFonts w:hint="eastAsia" w:ascii="宋体" w:hAnsi="宋体"/>
          <w:color w:val="auto"/>
          <w:szCs w:val="21"/>
          <w:highlight w:val="none"/>
        </w:rPr>
        <w:t>接受或不接受</w:t>
      </w:r>
      <w:r>
        <w:rPr>
          <w:rFonts w:hint="eastAsia" w:ascii="宋体" w:hAnsi="宋体"/>
          <w:color w:val="auto"/>
          <w:szCs w:val="21"/>
          <w:highlight w:val="none"/>
          <w:lang w:eastAsia="zh-CN"/>
        </w:rPr>
        <w:t>）</w:t>
      </w:r>
      <w:r>
        <w:rPr>
          <w:rFonts w:hint="eastAsia" w:ascii="宋体" w:hAnsi="宋体"/>
          <w:color w:val="auto"/>
          <w:szCs w:val="21"/>
          <w:highlight w:val="none"/>
        </w:rPr>
        <w:t>联合体响应。接受联合体响应的，联合体应当具备下列条件：</w:t>
      </w:r>
      <w:r>
        <w:rPr>
          <w:rFonts w:hint="eastAsia" w:ascii="宋体" w:hAnsi="宋体"/>
          <w:color w:val="auto"/>
          <w:szCs w:val="21"/>
          <w:highlight w:val="none"/>
          <w:u w:val="single"/>
        </w:rPr>
        <w:t xml:space="preserve">      /           </w:t>
      </w:r>
      <w:r>
        <w:rPr>
          <w:rFonts w:hint="eastAsia" w:ascii="宋体" w:hAnsi="宋体"/>
          <w:color w:val="auto"/>
          <w:szCs w:val="21"/>
          <w:highlight w:val="none"/>
        </w:rPr>
        <w:t>。</w:t>
      </w:r>
      <w:bookmarkStart w:id="22" w:name="_Toc110606577"/>
      <w:bookmarkStart w:id="23" w:name="_Toc22657515"/>
      <w:bookmarkStart w:id="24" w:name="_Toc21952"/>
      <w:bookmarkStart w:id="25" w:name="_Toc12631"/>
    </w:p>
    <w:p w14:paraId="181D9870">
      <w:pPr>
        <w:pStyle w:val="5"/>
        <w:rPr>
          <w:rFonts w:ascii="黑体" w:hAnsi="黑体" w:eastAsia="黑体"/>
          <w:color w:val="auto"/>
          <w:highlight w:val="none"/>
        </w:rPr>
      </w:pPr>
      <w:bookmarkStart w:id="26" w:name="_Toc10572"/>
      <w:r>
        <w:rPr>
          <w:rFonts w:hint="eastAsia" w:ascii="黑体" w:hAnsi="黑体" w:eastAsia="黑体"/>
          <w:color w:val="auto"/>
          <w:highlight w:val="none"/>
        </w:rPr>
        <w:t>五、获取招标文件的时间、期限、地点及方式</w:t>
      </w:r>
      <w:bookmarkEnd w:id="26"/>
    </w:p>
    <w:p w14:paraId="0C3C237D">
      <w:pPr>
        <w:tabs>
          <w:tab w:val="left" w:pos="4700"/>
          <w:tab w:val="left" w:pos="6000"/>
          <w:tab w:val="left" w:pos="7160"/>
          <w:tab w:val="left" w:pos="8520"/>
        </w:tabs>
        <w:wordWrap w:val="0"/>
        <w:autoSpaceDE w:val="0"/>
        <w:autoSpaceDN w:val="0"/>
        <w:adjustRightInd w:val="0"/>
        <w:snapToGrid w:val="0"/>
        <w:spacing w:line="360" w:lineRule="auto"/>
        <w:ind w:left="210" w:leftChars="100" w:right="-23" w:firstLine="210" w:firstLineChars="100"/>
        <w:jc w:val="left"/>
        <w:rPr>
          <w:rFonts w:ascii="宋体" w:hAnsi="宋体" w:cs="微软雅黑"/>
          <w:color w:val="auto"/>
          <w:spacing w:val="-14"/>
          <w:kern w:val="0"/>
          <w:szCs w:val="21"/>
          <w:highlight w:val="none"/>
        </w:rPr>
      </w:pPr>
      <w:r>
        <w:rPr>
          <w:rFonts w:hint="eastAsia" w:ascii="宋体" w:hAnsi="宋体" w:cs="微软雅黑"/>
          <w:color w:val="auto"/>
          <w:kern w:val="0"/>
          <w:szCs w:val="21"/>
          <w:highlight w:val="none"/>
        </w:rPr>
        <w:t>有</w:t>
      </w:r>
      <w:r>
        <w:rPr>
          <w:rFonts w:hint="eastAsia" w:ascii="宋体" w:hAnsi="宋体" w:cs="微软雅黑"/>
          <w:color w:val="auto"/>
          <w:spacing w:val="-2"/>
          <w:kern w:val="0"/>
          <w:szCs w:val="21"/>
          <w:highlight w:val="none"/>
        </w:rPr>
        <w:t>意</w:t>
      </w:r>
      <w:r>
        <w:rPr>
          <w:rFonts w:hint="eastAsia" w:ascii="宋体" w:hAnsi="宋体" w:cs="微软雅黑"/>
          <w:color w:val="auto"/>
          <w:kern w:val="0"/>
          <w:szCs w:val="21"/>
          <w:highlight w:val="none"/>
        </w:rPr>
        <w:t>参</w:t>
      </w:r>
      <w:r>
        <w:rPr>
          <w:rFonts w:hint="eastAsia" w:ascii="宋体" w:hAnsi="宋体" w:cs="微软雅黑"/>
          <w:color w:val="auto"/>
          <w:spacing w:val="-2"/>
          <w:kern w:val="0"/>
          <w:szCs w:val="21"/>
          <w:highlight w:val="none"/>
        </w:rPr>
        <w:t>加</w:t>
      </w:r>
      <w:r>
        <w:rPr>
          <w:rFonts w:hint="eastAsia" w:ascii="宋体" w:hAnsi="宋体" w:cs="微软雅黑"/>
          <w:color w:val="auto"/>
          <w:kern w:val="0"/>
          <w:szCs w:val="21"/>
          <w:highlight w:val="none"/>
        </w:rPr>
        <w:t>投</w:t>
      </w:r>
      <w:r>
        <w:rPr>
          <w:rFonts w:hint="eastAsia" w:ascii="宋体" w:hAnsi="宋体" w:cs="微软雅黑"/>
          <w:color w:val="auto"/>
          <w:spacing w:val="-2"/>
          <w:kern w:val="0"/>
          <w:szCs w:val="21"/>
          <w:highlight w:val="none"/>
        </w:rPr>
        <w:t>标</w:t>
      </w:r>
      <w:r>
        <w:rPr>
          <w:rFonts w:hint="eastAsia" w:ascii="宋体" w:hAnsi="宋体" w:cs="微软雅黑"/>
          <w:color w:val="auto"/>
          <w:kern w:val="0"/>
          <w:szCs w:val="21"/>
          <w:highlight w:val="none"/>
        </w:rPr>
        <w:t>者，于</w:t>
      </w:r>
      <w:r>
        <w:rPr>
          <w:rFonts w:hint="eastAsia" w:ascii="宋体" w:hAnsi="宋体" w:cs="微软雅黑"/>
          <w:color w:val="auto"/>
          <w:kern w:val="0"/>
          <w:szCs w:val="21"/>
          <w:highlight w:val="none"/>
          <w:u w:val="single"/>
          <w:lang w:eastAsia="zh-CN"/>
        </w:rPr>
        <w:t>202</w:t>
      </w:r>
      <w:r>
        <w:rPr>
          <w:rFonts w:hint="eastAsia" w:ascii="宋体" w:hAnsi="宋体" w:cs="微软雅黑"/>
          <w:color w:val="auto"/>
          <w:kern w:val="0"/>
          <w:szCs w:val="21"/>
          <w:highlight w:val="none"/>
          <w:u w:val="single"/>
          <w:lang w:val="en-US" w:eastAsia="zh-CN"/>
        </w:rPr>
        <w:t>6</w:t>
      </w:r>
      <w:r>
        <w:rPr>
          <w:rFonts w:hint="eastAsia" w:ascii="宋体" w:hAnsi="宋体" w:cs="微软雅黑"/>
          <w:color w:val="auto"/>
          <w:kern w:val="0"/>
          <w:szCs w:val="21"/>
          <w:highlight w:val="none"/>
        </w:rPr>
        <w:t>年</w:t>
      </w:r>
      <w:r>
        <w:rPr>
          <w:rFonts w:hint="eastAsia" w:ascii="宋体" w:hAnsi="宋体" w:cs="微软雅黑"/>
          <w:color w:val="auto"/>
          <w:spacing w:val="43"/>
          <w:kern w:val="0"/>
          <w:szCs w:val="21"/>
          <w:highlight w:val="none"/>
          <w:u w:val="single"/>
          <w:lang w:val="en-US" w:eastAsia="zh-CN"/>
        </w:rPr>
        <w:t xml:space="preserve"> 10 </w:t>
      </w:r>
      <w:r>
        <w:rPr>
          <w:rFonts w:hint="eastAsia" w:ascii="宋体" w:hAnsi="宋体" w:cs="微软雅黑"/>
          <w:color w:val="auto"/>
          <w:spacing w:val="-2"/>
          <w:kern w:val="0"/>
          <w:szCs w:val="21"/>
          <w:highlight w:val="none"/>
        </w:rPr>
        <w:t>月</w:t>
      </w:r>
      <w:r>
        <w:rPr>
          <w:rFonts w:hint="eastAsia" w:ascii="宋体" w:hAnsi="宋体" w:cs="微软雅黑"/>
          <w:color w:val="auto"/>
          <w:kern w:val="0"/>
          <w:szCs w:val="21"/>
          <w:highlight w:val="none"/>
          <w:u w:val="single"/>
          <w:lang w:val="en-US" w:eastAsia="zh-CN"/>
        </w:rPr>
        <w:t xml:space="preserve">  10  </w:t>
      </w:r>
      <w:r>
        <w:rPr>
          <w:rFonts w:hint="eastAsia" w:ascii="宋体" w:hAnsi="宋体" w:cs="微软雅黑"/>
          <w:color w:val="auto"/>
          <w:kern w:val="0"/>
          <w:szCs w:val="21"/>
          <w:highlight w:val="none"/>
        </w:rPr>
        <w:t>日至</w:t>
      </w:r>
      <w:r>
        <w:rPr>
          <w:rFonts w:hint="eastAsia" w:ascii="宋体" w:hAnsi="宋体" w:cs="微软雅黑"/>
          <w:color w:val="auto"/>
          <w:kern w:val="0"/>
          <w:szCs w:val="21"/>
          <w:highlight w:val="none"/>
          <w:u w:val="single"/>
          <w:lang w:eastAsia="zh-CN"/>
        </w:rPr>
        <w:t>202</w:t>
      </w:r>
      <w:r>
        <w:rPr>
          <w:rFonts w:hint="eastAsia" w:ascii="宋体" w:hAnsi="宋体" w:cs="微软雅黑"/>
          <w:color w:val="auto"/>
          <w:kern w:val="0"/>
          <w:szCs w:val="21"/>
          <w:highlight w:val="none"/>
          <w:u w:val="single"/>
          <w:lang w:val="en-US" w:eastAsia="zh-CN"/>
        </w:rPr>
        <w:t>6</w:t>
      </w:r>
      <w:r>
        <w:rPr>
          <w:rFonts w:hint="eastAsia" w:ascii="宋体" w:hAnsi="宋体" w:cs="微软雅黑"/>
          <w:color w:val="auto"/>
          <w:kern w:val="0"/>
          <w:szCs w:val="21"/>
          <w:highlight w:val="none"/>
        </w:rPr>
        <w:t>年</w:t>
      </w:r>
      <w:r>
        <w:rPr>
          <w:rFonts w:hint="eastAsia" w:ascii="宋体" w:hAnsi="宋体" w:cs="微软雅黑"/>
          <w:color w:val="auto"/>
          <w:kern w:val="0"/>
          <w:szCs w:val="21"/>
          <w:highlight w:val="none"/>
          <w:u w:val="single"/>
          <w:lang w:val="en-US" w:eastAsia="zh-CN"/>
        </w:rPr>
        <w:t xml:space="preserve"> 10  </w:t>
      </w:r>
      <w:r>
        <w:rPr>
          <w:rFonts w:hint="eastAsia" w:ascii="宋体" w:hAnsi="宋体" w:cs="微软雅黑"/>
          <w:color w:val="auto"/>
          <w:kern w:val="0"/>
          <w:szCs w:val="21"/>
          <w:highlight w:val="none"/>
        </w:rPr>
        <w:t>月</w:t>
      </w:r>
      <w:r>
        <w:rPr>
          <w:rFonts w:hint="eastAsia" w:ascii="宋体" w:hAnsi="宋体" w:cs="微软雅黑"/>
          <w:color w:val="auto"/>
          <w:kern w:val="0"/>
          <w:szCs w:val="21"/>
          <w:highlight w:val="none"/>
          <w:u w:val="single"/>
          <w:lang w:val="en-US" w:eastAsia="zh-CN"/>
        </w:rPr>
        <w:t xml:space="preserve">  15 </w:t>
      </w:r>
      <w:r>
        <w:rPr>
          <w:rFonts w:hint="eastAsia" w:ascii="宋体" w:hAnsi="宋体" w:cs="微软雅黑"/>
          <w:color w:val="auto"/>
          <w:spacing w:val="-2"/>
          <w:kern w:val="0"/>
          <w:szCs w:val="21"/>
          <w:highlight w:val="none"/>
        </w:rPr>
        <w:t>日</w:t>
      </w:r>
      <w:r>
        <w:rPr>
          <w:rFonts w:hint="eastAsia" w:ascii="宋体" w:hAnsi="宋体" w:cs="微软雅黑"/>
          <w:color w:val="auto"/>
          <w:spacing w:val="-38"/>
          <w:kern w:val="0"/>
          <w:szCs w:val="21"/>
          <w:highlight w:val="none"/>
        </w:rPr>
        <w:t>，</w:t>
      </w:r>
      <w:r>
        <w:rPr>
          <w:rFonts w:hint="eastAsia" w:ascii="宋体" w:hAnsi="宋体" w:cs="微软雅黑"/>
          <w:color w:val="auto"/>
          <w:kern w:val="0"/>
          <w:szCs w:val="21"/>
          <w:highlight w:val="none"/>
        </w:rPr>
        <w:t>每</w:t>
      </w:r>
      <w:r>
        <w:rPr>
          <w:rFonts w:hint="eastAsia" w:ascii="宋体" w:hAnsi="宋体" w:cs="微软雅黑"/>
          <w:color w:val="auto"/>
          <w:spacing w:val="-2"/>
          <w:kern w:val="0"/>
          <w:szCs w:val="21"/>
          <w:highlight w:val="none"/>
        </w:rPr>
        <w:t>日</w:t>
      </w:r>
      <w:r>
        <w:rPr>
          <w:rFonts w:hint="eastAsia" w:ascii="宋体" w:hAnsi="宋体" w:cs="微软雅黑"/>
          <w:color w:val="auto"/>
          <w:kern w:val="0"/>
          <w:szCs w:val="21"/>
          <w:highlight w:val="none"/>
        </w:rPr>
        <w:t>上午</w:t>
      </w:r>
      <w:r>
        <w:rPr>
          <w:rFonts w:hint="eastAsia" w:ascii="宋体" w:hAnsi="宋体" w:cs="微软雅黑"/>
          <w:color w:val="auto"/>
          <w:kern w:val="0"/>
          <w:szCs w:val="21"/>
          <w:highlight w:val="none"/>
          <w:u w:val="single"/>
        </w:rPr>
        <w:t>9</w:t>
      </w:r>
      <w:r>
        <w:rPr>
          <w:rFonts w:hint="eastAsia" w:ascii="宋体" w:hAnsi="宋体" w:cs="微软雅黑"/>
          <w:color w:val="auto"/>
          <w:kern w:val="0"/>
          <w:szCs w:val="21"/>
          <w:highlight w:val="none"/>
        </w:rPr>
        <w:t>时至</w:t>
      </w:r>
      <w:r>
        <w:rPr>
          <w:rFonts w:hint="eastAsia" w:ascii="宋体" w:hAnsi="宋体" w:cs="微软雅黑"/>
          <w:color w:val="auto"/>
          <w:kern w:val="0"/>
          <w:szCs w:val="21"/>
          <w:highlight w:val="none"/>
          <w:u w:val="single"/>
        </w:rPr>
        <w:t>12</w:t>
      </w:r>
      <w:r>
        <w:rPr>
          <w:rFonts w:hint="eastAsia" w:ascii="宋体" w:hAnsi="宋体" w:cs="微软雅黑"/>
          <w:color w:val="auto"/>
          <w:kern w:val="0"/>
          <w:szCs w:val="21"/>
          <w:highlight w:val="none"/>
        </w:rPr>
        <w:t>时</w:t>
      </w:r>
      <w:r>
        <w:rPr>
          <w:rFonts w:hint="eastAsia" w:ascii="宋体" w:hAnsi="宋体" w:cs="微软雅黑"/>
          <w:color w:val="auto"/>
          <w:spacing w:val="-41"/>
          <w:kern w:val="0"/>
          <w:szCs w:val="21"/>
          <w:highlight w:val="none"/>
        </w:rPr>
        <w:t>，</w:t>
      </w:r>
      <w:r>
        <w:rPr>
          <w:rFonts w:hint="eastAsia" w:ascii="宋体" w:hAnsi="宋体" w:cs="微软雅黑"/>
          <w:color w:val="auto"/>
          <w:kern w:val="0"/>
          <w:szCs w:val="21"/>
          <w:highlight w:val="none"/>
        </w:rPr>
        <w:t>下</w:t>
      </w:r>
      <w:r>
        <w:rPr>
          <w:rFonts w:hint="eastAsia" w:ascii="宋体" w:hAnsi="宋体" w:cs="微软雅黑"/>
          <w:color w:val="auto"/>
          <w:spacing w:val="-2"/>
          <w:kern w:val="0"/>
          <w:szCs w:val="21"/>
          <w:highlight w:val="none"/>
        </w:rPr>
        <w:t>午</w:t>
      </w:r>
      <w:r>
        <w:rPr>
          <w:rFonts w:hint="eastAsia" w:ascii="宋体" w:hAnsi="宋体" w:cs="微软雅黑"/>
          <w:color w:val="auto"/>
          <w:kern w:val="0"/>
          <w:szCs w:val="21"/>
          <w:highlight w:val="none"/>
          <w:u w:val="single"/>
          <w:lang w:val="en-US" w:eastAsia="zh-CN"/>
        </w:rPr>
        <w:t>14时30</w:t>
      </w:r>
      <w:r>
        <w:rPr>
          <w:rFonts w:hint="eastAsia" w:ascii="宋体" w:hAnsi="宋体" w:cs="微软雅黑"/>
          <w:color w:val="auto"/>
          <w:kern w:val="0"/>
          <w:szCs w:val="21"/>
          <w:highlight w:val="none"/>
        </w:rPr>
        <w:t>时至</w:t>
      </w:r>
      <w:r>
        <w:rPr>
          <w:rFonts w:hint="eastAsia" w:ascii="宋体" w:hAnsi="宋体" w:cs="微软雅黑"/>
          <w:color w:val="auto"/>
          <w:kern w:val="0"/>
          <w:szCs w:val="21"/>
          <w:highlight w:val="none"/>
          <w:u w:val="single"/>
        </w:rPr>
        <w:t>17</w:t>
      </w:r>
      <w:r>
        <w:rPr>
          <w:rFonts w:hint="eastAsia" w:ascii="宋体" w:hAnsi="宋体" w:cs="微软雅黑"/>
          <w:color w:val="auto"/>
          <w:kern w:val="0"/>
          <w:szCs w:val="21"/>
          <w:highlight w:val="none"/>
        </w:rPr>
        <w:t>时</w:t>
      </w:r>
      <w:r>
        <w:rPr>
          <w:rFonts w:hint="eastAsia" w:ascii="宋体" w:hAnsi="宋体" w:cs="微软雅黑"/>
          <w:color w:val="auto"/>
          <w:kern w:val="0"/>
          <w:szCs w:val="21"/>
          <w:highlight w:val="none"/>
          <w:u w:val="single"/>
          <w:lang w:val="en-US" w:eastAsia="zh-CN"/>
        </w:rPr>
        <w:t>30分</w:t>
      </w:r>
      <w:r>
        <w:rPr>
          <w:rFonts w:hint="eastAsia" w:ascii="宋体" w:hAnsi="宋体" w:cs="微软雅黑"/>
          <w:color w:val="auto"/>
          <w:kern w:val="0"/>
          <w:szCs w:val="21"/>
          <w:highlight w:val="none"/>
        </w:rPr>
        <w:t>（北</w:t>
      </w:r>
      <w:r>
        <w:rPr>
          <w:rFonts w:hint="eastAsia" w:ascii="宋体" w:hAnsi="宋体" w:cs="微软雅黑"/>
          <w:color w:val="auto"/>
          <w:spacing w:val="-2"/>
          <w:kern w:val="0"/>
          <w:szCs w:val="21"/>
          <w:highlight w:val="none"/>
        </w:rPr>
        <w:t>京</w:t>
      </w:r>
      <w:r>
        <w:rPr>
          <w:rFonts w:hint="eastAsia" w:ascii="宋体" w:hAnsi="宋体" w:cs="微软雅黑"/>
          <w:color w:val="auto"/>
          <w:kern w:val="0"/>
          <w:szCs w:val="21"/>
          <w:highlight w:val="none"/>
        </w:rPr>
        <w:t>时</w:t>
      </w:r>
      <w:r>
        <w:rPr>
          <w:rFonts w:hint="eastAsia" w:ascii="宋体" w:hAnsi="宋体" w:cs="微软雅黑"/>
          <w:color w:val="auto"/>
          <w:spacing w:val="-2"/>
          <w:kern w:val="0"/>
          <w:szCs w:val="21"/>
          <w:highlight w:val="none"/>
        </w:rPr>
        <w:t>间</w:t>
      </w:r>
      <w:r>
        <w:rPr>
          <w:rFonts w:hint="eastAsia" w:ascii="宋体" w:hAnsi="宋体" w:cs="微软雅黑"/>
          <w:color w:val="auto"/>
          <w:spacing w:val="-108"/>
          <w:kern w:val="0"/>
          <w:szCs w:val="21"/>
          <w:highlight w:val="none"/>
        </w:rPr>
        <w:t>）</w:t>
      </w:r>
      <w:r>
        <w:rPr>
          <w:rFonts w:hint="eastAsia" w:ascii="宋体" w:hAnsi="宋体" w:cs="微软雅黑"/>
          <w:color w:val="auto"/>
          <w:kern w:val="0"/>
          <w:szCs w:val="21"/>
          <w:highlight w:val="none"/>
        </w:rPr>
        <w:t>），</w:t>
      </w:r>
      <w:r>
        <w:rPr>
          <w:rFonts w:hint="eastAsia" w:ascii="宋体" w:hAnsi="宋体" w:cs="微软雅黑"/>
          <w:color w:val="auto"/>
          <w:kern w:val="0"/>
          <w:szCs w:val="21"/>
          <w:highlight w:val="none"/>
          <w:u w:val="single"/>
        </w:rPr>
        <w:t>持法定代表人身份证明原件或者授权委托书原件并附法定代表人身份证明原件、个人身份证原件</w:t>
      </w:r>
      <w:r>
        <w:rPr>
          <w:rFonts w:hint="eastAsia" w:ascii="宋体" w:hAnsi="宋体" w:cs="微软雅黑"/>
          <w:color w:val="auto"/>
          <w:kern w:val="0"/>
          <w:szCs w:val="21"/>
          <w:highlight w:val="none"/>
          <w:u w:val="single"/>
          <w:lang w:val="en-US" w:eastAsia="zh-CN"/>
        </w:rPr>
        <w:t>在张家界方正建设项目管理有限公司(张家界市永定区古庸路378号黄金大厦1913A)</w:t>
      </w:r>
      <w:r>
        <w:rPr>
          <w:rFonts w:hint="eastAsia" w:ascii="宋体" w:hAnsi="宋体" w:cs="微软雅黑"/>
          <w:color w:val="auto"/>
          <w:spacing w:val="-2"/>
          <w:kern w:val="0"/>
          <w:szCs w:val="21"/>
          <w:highlight w:val="none"/>
        </w:rPr>
        <w:t>获取</w:t>
      </w:r>
      <w:r>
        <w:rPr>
          <w:rFonts w:hint="eastAsia" w:ascii="宋体" w:hAnsi="宋体" w:cs="微软雅黑"/>
          <w:color w:val="auto"/>
          <w:kern w:val="0"/>
          <w:szCs w:val="21"/>
          <w:highlight w:val="none"/>
          <w:lang w:eastAsia="zh-CN"/>
        </w:rPr>
        <w:t>磋商文件</w:t>
      </w:r>
      <w:r>
        <w:rPr>
          <w:rFonts w:hint="eastAsia" w:ascii="宋体" w:hAnsi="宋体" w:cs="微软雅黑"/>
          <w:color w:val="auto"/>
          <w:spacing w:val="-14"/>
          <w:kern w:val="0"/>
          <w:szCs w:val="21"/>
          <w:highlight w:val="none"/>
        </w:rPr>
        <w:t>。</w:t>
      </w:r>
    </w:p>
    <w:p w14:paraId="7B1C8A40">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s="微软雅黑"/>
          <w:color w:val="auto"/>
          <w:spacing w:val="-14"/>
          <w:kern w:val="0"/>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本项目</w:t>
      </w:r>
      <w:r>
        <w:rPr>
          <w:rFonts w:hint="eastAsia" w:ascii="宋体" w:hAnsi="宋体" w:cs="微软雅黑"/>
          <w:color w:val="auto"/>
          <w:spacing w:val="-14"/>
          <w:kern w:val="0"/>
          <w:szCs w:val="21"/>
          <w:highlight w:val="none"/>
        </w:rPr>
        <w:t>实行电子交易，</w:t>
      </w:r>
      <w:r>
        <w:rPr>
          <w:rFonts w:hint="eastAsia" w:ascii="宋体" w:hAnsi="宋体" w:cs="微软雅黑"/>
          <w:color w:val="auto"/>
          <w:kern w:val="0"/>
          <w:szCs w:val="21"/>
          <w:highlight w:val="none"/>
        </w:rPr>
        <w:t>有</w:t>
      </w:r>
      <w:r>
        <w:rPr>
          <w:rFonts w:hint="eastAsia" w:ascii="宋体" w:hAnsi="宋体" w:cs="微软雅黑"/>
          <w:color w:val="auto"/>
          <w:spacing w:val="-2"/>
          <w:kern w:val="0"/>
          <w:szCs w:val="21"/>
          <w:highlight w:val="none"/>
        </w:rPr>
        <w:t>意</w:t>
      </w:r>
      <w:r>
        <w:rPr>
          <w:rFonts w:hint="eastAsia" w:ascii="宋体" w:hAnsi="宋体" w:cs="微软雅黑"/>
          <w:color w:val="auto"/>
          <w:kern w:val="0"/>
          <w:szCs w:val="21"/>
          <w:highlight w:val="none"/>
        </w:rPr>
        <w:t>参</w:t>
      </w:r>
      <w:r>
        <w:rPr>
          <w:rFonts w:hint="eastAsia" w:ascii="宋体" w:hAnsi="宋体" w:cs="微软雅黑"/>
          <w:color w:val="auto"/>
          <w:spacing w:val="-2"/>
          <w:kern w:val="0"/>
          <w:szCs w:val="21"/>
          <w:highlight w:val="none"/>
        </w:rPr>
        <w:t>加</w:t>
      </w:r>
      <w:r>
        <w:rPr>
          <w:rFonts w:hint="eastAsia" w:ascii="宋体" w:hAnsi="宋体" w:cs="微软雅黑"/>
          <w:color w:val="auto"/>
          <w:kern w:val="0"/>
          <w:szCs w:val="21"/>
          <w:highlight w:val="none"/>
        </w:rPr>
        <w:t>投</w:t>
      </w:r>
      <w:r>
        <w:rPr>
          <w:rFonts w:hint="eastAsia" w:ascii="宋体" w:hAnsi="宋体" w:cs="微软雅黑"/>
          <w:color w:val="auto"/>
          <w:spacing w:val="-2"/>
          <w:kern w:val="0"/>
          <w:szCs w:val="21"/>
          <w:highlight w:val="none"/>
        </w:rPr>
        <w:t>标</w:t>
      </w:r>
      <w:r>
        <w:rPr>
          <w:rFonts w:hint="eastAsia" w:ascii="宋体" w:hAnsi="宋体" w:cs="微软雅黑"/>
          <w:color w:val="auto"/>
          <w:kern w:val="0"/>
          <w:szCs w:val="21"/>
          <w:highlight w:val="none"/>
        </w:rPr>
        <w:t>者，在</w:t>
      </w:r>
      <w:r>
        <w:rPr>
          <w:rFonts w:hint="eastAsia" w:ascii="宋体" w:hAnsi="宋体" w:cs="微软雅黑"/>
          <w:color w:val="auto"/>
          <w:kern w:val="0"/>
          <w:szCs w:val="21"/>
          <w:highlight w:val="none"/>
          <w:u w:val="single"/>
        </w:rPr>
        <w:t>（电子交易平台网址）</w:t>
      </w:r>
      <w:r>
        <w:rPr>
          <w:rFonts w:hint="eastAsia" w:ascii="宋体" w:hAnsi="宋体" w:cs="微软雅黑"/>
          <w:color w:val="auto"/>
          <w:spacing w:val="-2"/>
          <w:kern w:val="0"/>
          <w:szCs w:val="21"/>
          <w:highlight w:val="none"/>
        </w:rPr>
        <w:t>获取电子版</w:t>
      </w:r>
      <w:r>
        <w:rPr>
          <w:rFonts w:hint="eastAsia" w:ascii="宋体" w:hAnsi="宋体" w:cs="微软雅黑"/>
          <w:color w:val="auto"/>
          <w:kern w:val="0"/>
          <w:szCs w:val="21"/>
          <w:highlight w:val="none"/>
          <w:lang w:eastAsia="zh-CN"/>
        </w:rPr>
        <w:t>磋商文件</w:t>
      </w:r>
      <w:r>
        <w:rPr>
          <w:rFonts w:hint="eastAsia" w:ascii="宋体" w:hAnsi="宋体" w:cs="微软雅黑"/>
          <w:color w:val="auto"/>
          <w:spacing w:val="-14"/>
          <w:kern w:val="0"/>
          <w:szCs w:val="21"/>
          <w:highlight w:val="none"/>
        </w:rPr>
        <w:t>。</w:t>
      </w:r>
    </w:p>
    <w:p w14:paraId="3CFC01A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color w:val="auto"/>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本项目进行资格预审，</w:t>
      </w:r>
      <w:r>
        <w:rPr>
          <w:rFonts w:hint="eastAsia" w:ascii="宋体" w:hAnsi="宋体"/>
          <w:iCs/>
          <w:color w:val="auto"/>
          <w:szCs w:val="21"/>
          <w:highlight w:val="none"/>
          <w:lang w:eastAsia="zh-CN"/>
        </w:rPr>
        <w:t>磋商文件</w:t>
      </w:r>
      <w:r>
        <w:rPr>
          <w:rFonts w:hint="eastAsia" w:ascii="宋体" w:hAnsi="宋体"/>
          <w:iCs/>
          <w:color w:val="auto"/>
          <w:szCs w:val="21"/>
          <w:highlight w:val="none"/>
        </w:rPr>
        <w:t>将向所有通过资格预审的供应商提供。</w:t>
      </w:r>
    </w:p>
    <w:bookmarkEnd w:id="22"/>
    <w:bookmarkEnd w:id="23"/>
    <w:bookmarkEnd w:id="24"/>
    <w:bookmarkEnd w:id="25"/>
    <w:p w14:paraId="2C1783C4">
      <w:pPr>
        <w:pStyle w:val="5"/>
        <w:rPr>
          <w:rFonts w:ascii="黑体" w:hAnsi="黑体" w:eastAsia="黑体"/>
          <w:color w:val="auto"/>
          <w:highlight w:val="none"/>
        </w:rPr>
      </w:pPr>
      <w:bookmarkStart w:id="27" w:name="_Toc17943"/>
      <w:r>
        <w:rPr>
          <w:rFonts w:hint="eastAsia" w:ascii="黑体" w:hAnsi="黑体" w:eastAsia="黑体"/>
          <w:color w:val="auto"/>
          <w:highlight w:val="none"/>
        </w:rPr>
        <w:t>六、投标截止时间、开标时间及地点</w:t>
      </w:r>
      <w:bookmarkEnd w:id="27"/>
    </w:p>
    <w:p w14:paraId="215D7EA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1、提交投标文件的截止时间：</w:t>
      </w:r>
      <w:r>
        <w:rPr>
          <w:rFonts w:hint="eastAsia" w:ascii="宋体" w:hAnsi="宋体"/>
          <w:color w:val="auto"/>
          <w:szCs w:val="21"/>
          <w:highlight w:val="none"/>
          <w:u w:val="single"/>
          <w:lang w:eastAsia="zh-CN"/>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10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20 </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00</w:t>
      </w:r>
      <w:r>
        <w:rPr>
          <w:rFonts w:hint="eastAsia" w:ascii="宋体" w:hAnsi="宋体"/>
          <w:color w:val="auto"/>
          <w:szCs w:val="21"/>
          <w:highlight w:val="none"/>
          <w:u w:val="single"/>
        </w:rPr>
        <w:t xml:space="preserve"> </w:t>
      </w:r>
      <w:r>
        <w:rPr>
          <w:rFonts w:hint="eastAsia" w:ascii="宋体" w:hAnsi="宋体"/>
          <w:color w:val="auto"/>
          <w:szCs w:val="21"/>
          <w:highlight w:val="none"/>
        </w:rPr>
        <w:t>分（北京时间）；</w:t>
      </w:r>
    </w:p>
    <w:p w14:paraId="75999E01">
      <w:pPr>
        <w:adjustRightInd w:val="0"/>
        <w:snapToGrid w:val="0"/>
        <w:spacing w:line="360" w:lineRule="auto"/>
        <w:ind w:firstLine="420" w:firstLineChars="200"/>
        <w:rPr>
          <w:rFonts w:hint="default" w:ascii="宋体" w:hAnsi="宋体" w:cs="宋体"/>
          <w:color w:val="auto"/>
          <w:highlight w:val="none"/>
          <w:lang w:val="en-US"/>
        </w:rPr>
      </w:pPr>
      <w:r>
        <w:rPr>
          <w:rFonts w:hint="eastAsia" w:ascii="宋体" w:hAnsi="宋体"/>
          <w:color w:val="auto"/>
          <w:szCs w:val="21"/>
          <w:highlight w:val="none"/>
        </w:rPr>
        <w:t>2、投标地点：</w:t>
      </w:r>
      <w:r>
        <w:rPr>
          <w:rFonts w:hint="eastAsia" w:ascii="宋体" w:hAnsi="宋体"/>
          <w:color w:val="auto"/>
          <w:szCs w:val="21"/>
          <w:highlight w:val="none"/>
          <w:u w:val="single"/>
          <w:lang w:val="en-US" w:eastAsia="zh-CN"/>
        </w:rPr>
        <w:t>张家界市公共资源交易中心（张家界市永定区子午路220号）</w:t>
      </w:r>
    </w:p>
    <w:p w14:paraId="2CCF2FF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3、开标时间：</w:t>
      </w:r>
      <w:r>
        <w:rPr>
          <w:rFonts w:hint="eastAsia" w:ascii="宋体" w:hAnsi="宋体"/>
          <w:color w:val="auto"/>
          <w:szCs w:val="21"/>
          <w:highlight w:val="none"/>
          <w:u w:val="single"/>
          <w:lang w:eastAsia="zh-CN"/>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10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20 </w:t>
      </w:r>
      <w:r>
        <w:rPr>
          <w:rFonts w:hint="eastAsia" w:ascii="宋体" w:hAnsi="宋体"/>
          <w:color w:val="auto"/>
          <w:szCs w:val="21"/>
          <w:highlight w:val="none"/>
        </w:rPr>
        <w:t>日</w:t>
      </w:r>
      <w:r>
        <w:rPr>
          <w:rFonts w:hint="eastAsia" w:ascii="宋体" w:hAnsi="宋体"/>
          <w:color w:val="auto"/>
          <w:szCs w:val="21"/>
          <w:highlight w:val="none"/>
          <w:u w:val="single"/>
          <w:lang w:val="en-US" w:eastAsia="zh-CN"/>
        </w:rPr>
        <w:t>10</w:t>
      </w:r>
      <w:r>
        <w:rPr>
          <w:rFonts w:hint="eastAsia" w:ascii="宋体" w:hAnsi="宋体"/>
          <w:color w:val="auto"/>
          <w:szCs w:val="21"/>
          <w:highlight w:val="none"/>
        </w:rPr>
        <w:t>时</w:t>
      </w:r>
      <w:r>
        <w:rPr>
          <w:rFonts w:hint="eastAsia" w:ascii="宋体" w:hAnsi="宋体"/>
          <w:color w:val="auto"/>
          <w:szCs w:val="21"/>
          <w:highlight w:val="none"/>
          <w:u w:val="single"/>
          <w:lang w:val="en-US" w:eastAsia="zh-CN"/>
        </w:rPr>
        <w:t>00</w:t>
      </w:r>
      <w:r>
        <w:rPr>
          <w:rFonts w:hint="eastAsia" w:ascii="宋体" w:hAnsi="宋体"/>
          <w:color w:val="auto"/>
          <w:szCs w:val="21"/>
          <w:highlight w:val="none"/>
        </w:rPr>
        <w:t xml:space="preserve">分（北京时间）。 </w:t>
      </w:r>
    </w:p>
    <w:p w14:paraId="79F8ADE1">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4、开标地点：</w:t>
      </w:r>
      <w:r>
        <w:rPr>
          <w:rFonts w:hint="eastAsia" w:ascii="宋体" w:hAnsi="宋体"/>
          <w:color w:val="auto"/>
          <w:szCs w:val="21"/>
          <w:highlight w:val="none"/>
          <w:u w:val="single"/>
          <w:lang w:val="en-US" w:eastAsia="zh-CN"/>
        </w:rPr>
        <w:t xml:space="preserve"> 张家界市公共资源交易中心（张家界市永定区子午路220号）</w:t>
      </w:r>
    </w:p>
    <w:p w14:paraId="2C34C5A4">
      <w:pPr>
        <w:pStyle w:val="5"/>
        <w:rPr>
          <w:rFonts w:ascii="黑体" w:hAnsi="黑体" w:eastAsia="黑体"/>
          <w:color w:val="auto"/>
          <w:highlight w:val="none"/>
        </w:rPr>
      </w:pPr>
      <w:bookmarkStart w:id="28" w:name="_Toc30990"/>
      <w:r>
        <w:rPr>
          <w:rFonts w:hint="eastAsia" w:ascii="黑体" w:hAnsi="黑体" w:eastAsia="黑体"/>
          <w:color w:val="auto"/>
          <w:highlight w:val="none"/>
        </w:rPr>
        <w:t>七、公告期限</w:t>
      </w:r>
      <w:bookmarkEnd w:id="28"/>
    </w:p>
    <w:p w14:paraId="359F82F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1、本招标公告在中国湖南政府采购网（www.ccgp-hunan.gov.cn）发布。公告期限从本招标公告发布之日起5个工作日。</w:t>
      </w:r>
    </w:p>
    <w:p w14:paraId="152079D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2、在其他媒体发布的招标公告，公告内容以本招标公告指定媒体发布的公告为准；公告期限自本招标公告指定媒体最先发布公告之日起算。</w:t>
      </w:r>
    </w:p>
    <w:p w14:paraId="1BDD06E7">
      <w:pPr>
        <w:pStyle w:val="5"/>
        <w:rPr>
          <w:rFonts w:ascii="黑体" w:hAnsi="黑体" w:eastAsia="黑体"/>
          <w:b w:val="0"/>
          <w:bCs w:val="0"/>
          <w:color w:val="auto"/>
          <w:highlight w:val="none"/>
        </w:rPr>
      </w:pPr>
      <w:bookmarkStart w:id="29" w:name="_Toc25941"/>
      <w:r>
        <w:rPr>
          <w:rFonts w:hint="eastAsia" w:ascii="黑体" w:hAnsi="黑体" w:eastAsia="黑体"/>
          <w:color w:val="auto"/>
          <w:highlight w:val="none"/>
        </w:rPr>
        <w:t>八、询问及质疑</w:t>
      </w:r>
      <w:bookmarkEnd w:id="29"/>
    </w:p>
    <w:p w14:paraId="0EDDF77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1、投标人对政府采购活动事项如有疑问的，可以向采购人、采购代理机构提出询问。采购人、采购代理机构将在3个工作日内作出答复。</w:t>
      </w:r>
    </w:p>
    <w:p w14:paraId="725EAEA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2、投标人对电子交易平台办理CA证书、操作等如有疑问，请咨询电子交易平台服务机构。</w:t>
      </w:r>
    </w:p>
    <w:p w14:paraId="723ED70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3、潜在投标人认为</w:t>
      </w:r>
      <w:r>
        <w:rPr>
          <w:rFonts w:hint="eastAsia" w:ascii="宋体" w:hAnsi="宋体"/>
          <w:color w:val="auto"/>
          <w:szCs w:val="21"/>
          <w:highlight w:val="none"/>
          <w:lang w:eastAsia="zh-CN"/>
        </w:rPr>
        <w:t>磋商文件</w:t>
      </w:r>
      <w:r>
        <w:rPr>
          <w:rFonts w:hint="eastAsia" w:ascii="宋体" w:hAnsi="宋体"/>
          <w:color w:val="auto"/>
          <w:szCs w:val="21"/>
          <w:highlight w:val="none"/>
        </w:rPr>
        <w:t>或招标公告使自己的合法权益受到损害的，可以在收到</w:t>
      </w:r>
      <w:r>
        <w:rPr>
          <w:rFonts w:hint="eastAsia" w:ascii="宋体" w:hAnsi="宋体"/>
          <w:color w:val="auto"/>
          <w:szCs w:val="21"/>
          <w:highlight w:val="none"/>
          <w:lang w:eastAsia="zh-CN"/>
        </w:rPr>
        <w:t>磋商文件</w:t>
      </w:r>
      <w:r>
        <w:rPr>
          <w:rFonts w:hint="eastAsia" w:ascii="宋体" w:hAnsi="宋体"/>
          <w:color w:val="auto"/>
          <w:szCs w:val="21"/>
          <w:highlight w:val="none"/>
        </w:rPr>
        <w:t>之日或招标公告期限届满之日起7个工作日内，按《湖南省财政厅关于印发＜政府采购质疑答复和投诉处理操作规程＞的通知》</w:t>
      </w:r>
      <w:r>
        <w:rPr>
          <w:rFonts w:hint="eastAsia" w:ascii="宋体" w:hAnsi="宋体"/>
          <w:color w:val="auto"/>
          <w:szCs w:val="21"/>
          <w:highlight w:val="none"/>
          <w:lang w:eastAsia="zh-CN"/>
        </w:rPr>
        <w:t>（</w:t>
      </w:r>
      <w:r>
        <w:rPr>
          <w:rFonts w:hint="eastAsia" w:ascii="宋体" w:hAnsi="宋体"/>
          <w:color w:val="auto"/>
          <w:szCs w:val="21"/>
          <w:highlight w:val="none"/>
        </w:rPr>
        <w:t>湘财购〔2019〕20号</w:t>
      </w:r>
      <w:r>
        <w:rPr>
          <w:rFonts w:hint="eastAsia" w:ascii="宋体" w:hAnsi="宋体"/>
          <w:color w:val="auto"/>
          <w:szCs w:val="21"/>
          <w:highlight w:val="none"/>
          <w:lang w:eastAsia="zh-CN"/>
        </w:rPr>
        <w:t>）</w:t>
      </w:r>
      <w:r>
        <w:rPr>
          <w:rFonts w:hint="eastAsia" w:ascii="宋体" w:hAnsi="宋体"/>
          <w:color w:val="auto"/>
          <w:szCs w:val="21"/>
          <w:highlight w:val="none"/>
        </w:rPr>
        <w:t>规定，以纸质书面形式向采购人、采购代理机构提出质疑。</w:t>
      </w:r>
    </w:p>
    <w:p w14:paraId="4D1515FA">
      <w:pPr>
        <w:pStyle w:val="5"/>
        <w:rPr>
          <w:rFonts w:ascii="黑体" w:hAnsi="黑体" w:eastAsia="黑体"/>
          <w:color w:val="auto"/>
          <w:highlight w:val="none"/>
        </w:rPr>
      </w:pPr>
      <w:bookmarkStart w:id="30" w:name="_Toc28012"/>
      <w:r>
        <w:rPr>
          <w:rFonts w:hint="eastAsia" w:ascii="黑体" w:hAnsi="黑体" w:eastAsia="黑体"/>
          <w:color w:val="auto"/>
          <w:highlight w:val="none"/>
        </w:rPr>
        <w:t>九、投标说明</w:t>
      </w:r>
      <w:bookmarkEnd w:id="30"/>
    </w:p>
    <w:p w14:paraId="4CE44ADB">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highlight w:val="none"/>
        </w:rPr>
      </w:pPr>
      <w:r>
        <w:rPr>
          <w:rFonts w:hint="eastAsia" w:ascii="宋体" w:hAnsi="宋体"/>
          <w:color w:val="auto"/>
          <w:szCs w:val="21"/>
          <w:highlight w:val="none"/>
        </w:rPr>
        <w:t>1、本公告选项：</w:t>
      </w:r>
      <w:r>
        <w:rPr>
          <w:rFonts w:hint="eastAsia" w:ascii="宋体" w:hAnsi="宋体"/>
          <w:color w:val="auto"/>
          <w:szCs w:val="21"/>
          <w:highlight w:val="none"/>
        </w:rPr>
        <w:sym w:font="Wingdings" w:char="00FE"/>
      </w:r>
      <w:r>
        <w:rPr>
          <w:rFonts w:hint="eastAsia" w:ascii="宋体" w:hAnsi="宋体"/>
          <w:color w:val="auto"/>
          <w:szCs w:val="21"/>
          <w:highlight w:val="none"/>
        </w:rPr>
        <w:t>表示选择，</w:t>
      </w:r>
      <w:r>
        <w:rPr>
          <w:rFonts w:hint="eastAsia" w:ascii="宋体" w:hAnsi="宋体"/>
          <w:color w:val="auto"/>
          <w:szCs w:val="21"/>
          <w:highlight w:val="none"/>
        </w:rPr>
        <w:sym w:font="Wingdings" w:char="00A8"/>
      </w:r>
      <w:r>
        <w:rPr>
          <w:rFonts w:hint="eastAsia" w:ascii="宋体" w:hAnsi="宋体"/>
          <w:color w:val="auto"/>
          <w:szCs w:val="21"/>
          <w:highlight w:val="none"/>
        </w:rPr>
        <w:t>表示未选择。</w:t>
      </w:r>
    </w:p>
    <w:p w14:paraId="4AEA30A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color w:val="auto"/>
          <w:highlight w:val="none"/>
        </w:rPr>
      </w:pPr>
      <w:r>
        <w:rPr>
          <w:rFonts w:hint="eastAsia" w:ascii="宋体" w:hAnsi="宋体"/>
          <w:color w:val="auto"/>
          <w:szCs w:val="21"/>
          <w:highlight w:val="none"/>
        </w:rPr>
        <w:t>2、投标人参与政府采购活动，无需向采购人、代理机构、交易平台缴纳任何费用。</w:t>
      </w:r>
    </w:p>
    <w:p w14:paraId="1511659F">
      <w:pPr>
        <w:pStyle w:val="5"/>
        <w:rPr>
          <w:rFonts w:ascii="黑体" w:hAnsi="黑体" w:eastAsia="黑体"/>
          <w:color w:val="auto"/>
          <w:highlight w:val="none"/>
        </w:rPr>
      </w:pPr>
      <w:bookmarkStart w:id="31" w:name="_Toc6421"/>
      <w:r>
        <w:rPr>
          <w:rFonts w:hint="eastAsia" w:ascii="黑体" w:hAnsi="黑体" w:eastAsia="黑体"/>
          <w:color w:val="auto"/>
          <w:highlight w:val="none"/>
        </w:rPr>
        <w:t>十、采购项目联系人姓名和电话</w:t>
      </w:r>
      <w:bookmarkEnd w:id="31"/>
    </w:p>
    <w:p w14:paraId="1B86256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1、联系人姓名：</w:t>
      </w:r>
      <w:r>
        <w:rPr>
          <w:rFonts w:hint="eastAsia" w:ascii="宋体" w:hAnsi="宋体"/>
          <w:color w:val="auto"/>
          <w:szCs w:val="21"/>
          <w:highlight w:val="none"/>
          <w:u w:val="single"/>
          <w:lang w:val="en-US" w:eastAsia="zh-CN"/>
        </w:rPr>
        <w:t>谭女士</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7C5A258">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2、电话：</w:t>
      </w:r>
      <w:r>
        <w:rPr>
          <w:rFonts w:hint="eastAsia" w:ascii="宋体" w:hAnsi="宋体"/>
          <w:color w:val="auto"/>
          <w:szCs w:val="21"/>
          <w:highlight w:val="none"/>
          <w:u w:val="single"/>
          <w:lang w:val="en-US" w:eastAsia="zh-CN"/>
        </w:rPr>
        <w:t xml:space="preserve"> 18807444404 </w:t>
      </w:r>
    </w:p>
    <w:p w14:paraId="1A3612C2">
      <w:pPr>
        <w:pStyle w:val="5"/>
        <w:rPr>
          <w:rFonts w:ascii="黑体" w:hAnsi="黑体" w:eastAsia="黑体"/>
          <w:color w:val="auto"/>
          <w:highlight w:val="none"/>
        </w:rPr>
      </w:pPr>
      <w:bookmarkStart w:id="32" w:name="_Toc2620"/>
      <w:r>
        <w:rPr>
          <w:rFonts w:hint="eastAsia" w:ascii="黑体" w:hAnsi="黑体" w:eastAsia="黑体"/>
          <w:color w:val="auto"/>
          <w:highlight w:val="none"/>
        </w:rPr>
        <w:t>十一、采购人、采购代理机构的名称、地址和联系方法</w:t>
      </w:r>
      <w:bookmarkEnd w:id="32"/>
    </w:p>
    <w:p w14:paraId="72811F73">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1</w:t>
      </w:r>
      <w:r>
        <w:rPr>
          <w:rFonts w:hint="eastAsia" w:ascii="宋体" w:hAnsi="宋体"/>
          <w:color w:val="auto"/>
          <w:szCs w:val="21"/>
          <w:highlight w:val="none"/>
        </w:rPr>
        <w:t>、</w:t>
      </w:r>
      <w:r>
        <w:rPr>
          <w:rFonts w:hint="eastAsia" w:ascii="宋体" w:hAnsi="宋体"/>
          <w:b/>
          <w:bCs/>
          <w:color w:val="auto"/>
          <w:szCs w:val="21"/>
          <w:highlight w:val="none"/>
        </w:rPr>
        <w:t>采购人信息</w:t>
      </w:r>
    </w:p>
    <w:p w14:paraId="1FF22ECB">
      <w:pPr>
        <w:adjustRightInd w:val="0"/>
        <w:snapToGrid w:val="0"/>
        <w:spacing w:line="360" w:lineRule="auto"/>
        <w:ind w:firstLine="411" w:firstLineChars="196"/>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lang w:eastAsia="zh-CN"/>
        </w:rPr>
        <w:t>张家界市机关事务管理局</w:t>
      </w:r>
    </w:p>
    <w:p w14:paraId="23CA8530">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（2）地  址：</w:t>
      </w:r>
      <w:r>
        <w:rPr>
          <w:rFonts w:hint="eastAsia" w:ascii="宋体" w:hAnsi="宋体"/>
          <w:color w:val="auto"/>
          <w:szCs w:val="21"/>
          <w:highlight w:val="none"/>
          <w:u w:val="single"/>
          <w:lang w:eastAsia="zh-CN"/>
        </w:rPr>
        <w:t>张家界市永定区教场路252号</w:t>
      </w:r>
    </w:p>
    <w:p w14:paraId="72AB9C44">
      <w:pPr>
        <w:adjustRightInd w:val="0"/>
        <w:snapToGrid w:val="0"/>
        <w:spacing w:line="360" w:lineRule="auto"/>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rPr>
        <w:t>（3）联系人：</w:t>
      </w:r>
      <w:r>
        <w:rPr>
          <w:rFonts w:hint="eastAsia" w:ascii="宋体" w:hAnsi="宋体"/>
          <w:color w:val="auto"/>
          <w:szCs w:val="21"/>
          <w:highlight w:val="none"/>
          <w:u w:val="single"/>
          <w:lang w:val="en-US" w:eastAsia="zh-CN"/>
        </w:rPr>
        <w:t>罗先生</w:t>
      </w:r>
    </w:p>
    <w:p w14:paraId="62A2632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（4）邮  编：</w:t>
      </w:r>
      <w:r>
        <w:rPr>
          <w:rFonts w:hint="eastAsia" w:ascii="宋体" w:hAnsi="宋体"/>
          <w:color w:val="auto"/>
          <w:szCs w:val="21"/>
          <w:highlight w:val="none"/>
          <w:u w:val="single"/>
        </w:rPr>
        <w:t xml:space="preserve">427000 </w:t>
      </w:r>
    </w:p>
    <w:p w14:paraId="6F868084">
      <w:pPr>
        <w:adjustRightInd w:val="0"/>
        <w:snapToGrid w:val="0"/>
        <w:spacing w:line="360" w:lineRule="auto"/>
        <w:ind w:firstLine="420" w:firstLineChars="200"/>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（5）电  话：</w:t>
      </w:r>
      <w:r>
        <w:rPr>
          <w:rFonts w:hint="eastAsia" w:ascii="宋体" w:hAnsi="宋体"/>
          <w:color w:val="auto"/>
          <w:szCs w:val="21"/>
          <w:highlight w:val="none"/>
          <w:u w:val="single"/>
          <w:lang w:val="en-US" w:eastAsia="zh-CN"/>
        </w:rPr>
        <w:t>15674401618</w:t>
      </w:r>
    </w:p>
    <w:p w14:paraId="30239650">
      <w:pPr>
        <w:adjustRightInd w:val="0"/>
        <w:snapToGrid w:val="0"/>
        <w:spacing w:line="360" w:lineRule="auto"/>
        <w:ind w:firstLine="413" w:firstLineChars="196"/>
        <w:rPr>
          <w:rFonts w:ascii="宋体" w:hAnsi="宋体"/>
          <w:b/>
          <w:bCs/>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w:t>
      </w:r>
      <w:r>
        <w:rPr>
          <w:rFonts w:hint="eastAsia" w:ascii="宋体" w:hAnsi="宋体"/>
          <w:b/>
          <w:bCs/>
          <w:color w:val="auto"/>
          <w:szCs w:val="21"/>
          <w:highlight w:val="none"/>
        </w:rPr>
        <w:t>采购代理机构信息</w:t>
      </w:r>
    </w:p>
    <w:p w14:paraId="62784E75">
      <w:pPr>
        <w:adjustRightInd w:val="0"/>
        <w:snapToGrid w:val="0"/>
        <w:spacing w:line="360" w:lineRule="auto"/>
        <w:ind w:firstLine="411" w:firstLineChars="196"/>
        <w:rPr>
          <w:rFonts w:hint="default" w:ascii="宋体" w:hAnsi="宋体"/>
          <w:color w:val="auto"/>
          <w:szCs w:val="21"/>
          <w:highlight w:val="none"/>
          <w:lang w:val="en-US"/>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lang w:val="en-US" w:eastAsia="zh-CN"/>
        </w:rPr>
        <w:t>张家界方正建设项目管理有限公司</w:t>
      </w:r>
      <w:r>
        <w:rPr>
          <w:rFonts w:hint="eastAsia" w:ascii="宋体" w:hAnsi="宋体"/>
          <w:color w:val="auto"/>
          <w:szCs w:val="21"/>
          <w:highlight w:val="none"/>
          <w:u w:val="single"/>
          <w:lang w:val="en-US" w:eastAsia="zh-CN"/>
        </w:rPr>
        <w:tab/>
      </w:r>
    </w:p>
    <w:p w14:paraId="524E0F50">
      <w:pPr>
        <w:adjustRightInd w:val="0"/>
        <w:snapToGrid w:val="0"/>
        <w:spacing w:line="360" w:lineRule="auto"/>
        <w:ind w:firstLine="420" w:firstLineChars="200"/>
        <w:rPr>
          <w:rFonts w:hint="default" w:ascii="宋体" w:hAnsi="宋体"/>
          <w:color w:val="auto"/>
          <w:szCs w:val="21"/>
          <w:highlight w:val="none"/>
          <w:lang w:val="en-US"/>
        </w:rPr>
      </w:pPr>
      <w:r>
        <w:rPr>
          <w:rFonts w:hint="eastAsia" w:ascii="宋体" w:hAnsi="宋体"/>
          <w:color w:val="auto"/>
          <w:szCs w:val="21"/>
          <w:highlight w:val="none"/>
        </w:rPr>
        <w:t>（2）地  址：</w:t>
      </w:r>
      <w:r>
        <w:rPr>
          <w:rFonts w:hint="eastAsia" w:ascii="宋体" w:hAnsi="宋体"/>
          <w:color w:val="auto"/>
          <w:szCs w:val="21"/>
          <w:highlight w:val="none"/>
          <w:u w:val="single"/>
          <w:lang w:val="en-US" w:eastAsia="zh-CN"/>
        </w:rPr>
        <w:t>张家界市永定区古庸路378号黄金大厦1913A</w:t>
      </w:r>
    </w:p>
    <w:p w14:paraId="4E99D048">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（3）联系人：</w:t>
      </w:r>
      <w:r>
        <w:rPr>
          <w:rFonts w:hint="eastAsia" w:ascii="宋体" w:hAnsi="宋体"/>
          <w:color w:val="auto"/>
          <w:szCs w:val="21"/>
          <w:highlight w:val="none"/>
          <w:u w:val="single"/>
          <w:lang w:val="en-US" w:eastAsia="zh-CN"/>
        </w:rPr>
        <w:t>谭女士</w:t>
      </w:r>
    </w:p>
    <w:p w14:paraId="115418FE">
      <w:pPr>
        <w:adjustRightInd w:val="0"/>
        <w:snapToGrid w:val="0"/>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（4）邮  编：</w:t>
      </w:r>
      <w:r>
        <w:rPr>
          <w:rFonts w:hint="eastAsia" w:ascii="宋体" w:hAnsi="宋体"/>
          <w:color w:val="auto"/>
          <w:szCs w:val="21"/>
          <w:highlight w:val="none"/>
          <w:u w:val="single"/>
          <w:lang w:val="en-US" w:eastAsia="zh-CN"/>
        </w:rPr>
        <w:t xml:space="preserve">427000 </w:t>
      </w:r>
    </w:p>
    <w:p w14:paraId="07AE6AF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（5）电  话：</w:t>
      </w:r>
      <w:r>
        <w:rPr>
          <w:rFonts w:hint="eastAsia" w:ascii="宋体" w:hAnsi="宋体"/>
          <w:color w:val="auto"/>
          <w:szCs w:val="21"/>
          <w:highlight w:val="none"/>
          <w:u w:val="single"/>
          <w:lang w:val="en-US" w:eastAsia="zh-CN"/>
        </w:rPr>
        <w:t>18807444404</w:t>
      </w:r>
      <w:r>
        <w:rPr>
          <w:rFonts w:hint="eastAsia" w:ascii="宋体" w:hAnsi="宋体"/>
          <w:color w:val="auto"/>
          <w:szCs w:val="21"/>
          <w:highlight w:val="none"/>
        </w:rPr>
        <w:t xml:space="preserve"> </w:t>
      </w:r>
    </w:p>
    <w:p w14:paraId="01FE9FC2">
      <w:pPr>
        <w:widowControl/>
        <w:jc w:val="left"/>
        <w:rPr>
          <w:rFonts w:ascii="新宋体" w:hAnsi="新宋体" w:eastAsia="新宋体" w:cs="新宋体"/>
          <w:bCs/>
          <w:color w:val="auto"/>
          <w:szCs w:val="21"/>
          <w:highlight w:val="none"/>
        </w:rPr>
      </w:pPr>
      <w:r>
        <w:rPr>
          <w:rFonts w:ascii="新宋体" w:hAnsi="新宋体" w:eastAsia="新宋体" w:cs="新宋体"/>
          <w:bCs/>
          <w:color w:val="auto"/>
          <w:highlight w:val="none"/>
        </w:rPr>
        <w:br w:type="page"/>
      </w:r>
    </w:p>
    <w:p w14:paraId="31B8A601">
      <w:pPr>
        <w:pStyle w:val="4"/>
        <w:adjustRightInd w:val="0"/>
        <w:snapToGrid w:val="0"/>
        <w:spacing w:before="156" w:beforeLines="50" w:line="360" w:lineRule="auto"/>
        <w:rPr>
          <w:rFonts w:ascii="黑体" w:hAnsi="黑体" w:eastAsia="黑体"/>
          <w:color w:val="auto"/>
          <w:sz w:val="32"/>
          <w:szCs w:val="32"/>
          <w:highlight w:val="none"/>
        </w:rPr>
      </w:pPr>
      <w:bookmarkStart w:id="33" w:name="_Toc34637762"/>
      <w:bookmarkStart w:id="34" w:name="_Toc23185"/>
      <w:r>
        <w:rPr>
          <w:rFonts w:hint="eastAsia" w:ascii="黑体" w:hAnsi="黑体" w:eastAsia="黑体"/>
          <w:color w:val="auto"/>
          <w:sz w:val="32"/>
          <w:szCs w:val="32"/>
          <w:highlight w:val="none"/>
        </w:rPr>
        <w:t>第二章 磋商须知</w:t>
      </w:r>
      <w:bookmarkEnd w:id="33"/>
      <w:bookmarkEnd w:id="34"/>
    </w:p>
    <w:p w14:paraId="0579AD1A">
      <w:pPr>
        <w:pStyle w:val="5"/>
        <w:adjustRightInd w:val="0"/>
        <w:snapToGrid w:val="0"/>
        <w:spacing w:before="156" w:beforeLines="50"/>
        <w:jc w:val="center"/>
        <w:rPr>
          <w:rFonts w:ascii="黑体" w:hAnsi="黑体" w:eastAsia="黑体"/>
          <w:color w:val="auto"/>
          <w:sz w:val="28"/>
          <w:szCs w:val="28"/>
          <w:highlight w:val="none"/>
        </w:rPr>
      </w:pPr>
      <w:bookmarkStart w:id="35" w:name="_Toc34637763"/>
      <w:bookmarkStart w:id="36" w:name="_Toc15783"/>
      <w:r>
        <w:rPr>
          <w:rFonts w:hint="eastAsia" w:ascii="黑体" w:hAnsi="黑体" w:eastAsia="黑体"/>
          <w:color w:val="auto"/>
          <w:sz w:val="28"/>
          <w:szCs w:val="28"/>
          <w:highlight w:val="none"/>
        </w:rPr>
        <w:t>第一节 磋商须知前附表</w:t>
      </w:r>
      <w:bookmarkEnd w:id="35"/>
      <w:bookmarkEnd w:id="36"/>
    </w:p>
    <w:tbl>
      <w:tblPr>
        <w:tblStyle w:val="19"/>
        <w:tblW w:w="9329" w:type="dxa"/>
        <w:jc w:val="center"/>
        <w:tblLayout w:type="fixed"/>
        <w:tblCellMar>
          <w:top w:w="0" w:type="dxa"/>
          <w:left w:w="0" w:type="dxa"/>
          <w:bottom w:w="0" w:type="dxa"/>
          <w:right w:w="0" w:type="dxa"/>
        </w:tblCellMar>
      </w:tblPr>
      <w:tblGrid>
        <w:gridCol w:w="1844"/>
        <w:gridCol w:w="834"/>
        <w:gridCol w:w="1251"/>
        <w:gridCol w:w="5400"/>
      </w:tblGrid>
      <w:tr w14:paraId="400A63DB">
        <w:tblPrEx>
          <w:tblCellMar>
            <w:top w:w="0" w:type="dxa"/>
            <w:left w:w="0" w:type="dxa"/>
            <w:bottom w:w="0" w:type="dxa"/>
            <w:right w:w="0" w:type="dxa"/>
          </w:tblCellMar>
        </w:tblPrEx>
        <w:trPr>
          <w:trHeight w:val="90" w:hRule="atLeast"/>
          <w:tblHeader/>
          <w:jc w:val="center"/>
        </w:trPr>
        <w:tc>
          <w:tcPr>
            <w:tcW w:w="1844" w:type="dxa"/>
            <w:tcBorders>
              <w:top w:val="double" w:color="000000" w:sz="4"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19FB954">
            <w:pPr>
              <w:snapToGrid w:val="0"/>
              <w:spacing w:before="62" w:after="62" w:line="220" w:lineRule="atLeast"/>
              <w:jc w:val="center"/>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条款号</w:t>
            </w:r>
          </w:p>
        </w:tc>
        <w:tc>
          <w:tcPr>
            <w:tcW w:w="2085" w:type="dxa"/>
            <w:gridSpan w:val="2"/>
            <w:tcBorders>
              <w:top w:val="doub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BB0C460">
            <w:pPr>
              <w:snapToGrid w:val="0"/>
              <w:spacing w:before="62" w:after="62" w:line="220" w:lineRule="atLeast"/>
              <w:jc w:val="center"/>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条款名称</w:t>
            </w:r>
          </w:p>
        </w:tc>
        <w:tc>
          <w:tcPr>
            <w:tcW w:w="5400" w:type="dxa"/>
            <w:tcBorders>
              <w:top w:val="double" w:color="000000" w:sz="4"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23D91AC8">
            <w:pPr>
              <w:snapToGrid w:val="0"/>
              <w:spacing w:before="62" w:after="62" w:line="220" w:lineRule="atLeast"/>
              <w:jc w:val="center"/>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编列内容规定</w:t>
            </w:r>
          </w:p>
        </w:tc>
      </w:tr>
      <w:tr w14:paraId="57DE27CB">
        <w:tblPrEx>
          <w:tblCellMar>
            <w:top w:w="0" w:type="dxa"/>
            <w:left w:w="0" w:type="dxa"/>
            <w:bottom w:w="0" w:type="dxa"/>
            <w:right w:w="0" w:type="dxa"/>
          </w:tblCellMar>
        </w:tblPrEx>
        <w:trPr>
          <w:trHeight w:val="90"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086929C8">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一、说明</w:t>
            </w:r>
          </w:p>
        </w:tc>
      </w:tr>
      <w:tr w14:paraId="5EB6600D">
        <w:tblPrEx>
          <w:tblCellMar>
            <w:top w:w="0" w:type="dxa"/>
            <w:left w:w="0" w:type="dxa"/>
            <w:bottom w:w="0" w:type="dxa"/>
            <w:right w:w="0" w:type="dxa"/>
          </w:tblCellMar>
        </w:tblPrEx>
        <w:trPr>
          <w:trHeight w:val="9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80CA65B">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43BE00C">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采购项目</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1CEEAB71">
            <w:pPr>
              <w:snapToGrid w:val="0"/>
              <w:spacing w:line="220" w:lineRule="atLeast"/>
              <w:rPr>
                <w:rFonts w:hint="eastAsia" w:ascii="新宋体" w:hAnsi="新宋体" w:eastAsia="新宋体" w:cs="新宋体"/>
                <w:color w:val="auto"/>
                <w:szCs w:val="21"/>
                <w:highlight w:val="none"/>
                <w:lang w:eastAsia="zh-CN"/>
              </w:rPr>
            </w:pPr>
            <w:r>
              <w:rPr>
                <w:rFonts w:hint="eastAsia" w:ascii="新宋体" w:hAnsi="新宋体" w:eastAsia="新宋体" w:cs="新宋体"/>
                <w:color w:val="auto"/>
                <w:szCs w:val="21"/>
                <w:highlight w:val="none"/>
                <w:lang w:eastAsia="zh-CN"/>
              </w:rPr>
              <w:t>张家界市原警卫处综合楼维修改造项目</w:t>
            </w:r>
          </w:p>
        </w:tc>
      </w:tr>
      <w:tr w14:paraId="0CB63EFB">
        <w:tblPrEx>
          <w:tblCellMar>
            <w:top w:w="0" w:type="dxa"/>
            <w:left w:w="0" w:type="dxa"/>
            <w:bottom w:w="0" w:type="dxa"/>
            <w:right w:w="0" w:type="dxa"/>
          </w:tblCellMar>
        </w:tblPrEx>
        <w:trPr>
          <w:trHeight w:val="1198"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9E9DF16">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5B875FC">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采购人</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2DFC164">
            <w:pPr>
              <w:snapToGrid w:val="0"/>
              <w:spacing w:line="220" w:lineRule="atLeast"/>
              <w:jc w:val="left"/>
              <w:rPr>
                <w:rFonts w:hint="eastAsia" w:ascii="新宋体" w:hAnsi="新宋体" w:eastAsia="新宋体" w:cs="新宋体"/>
                <w:color w:val="auto"/>
                <w:szCs w:val="21"/>
                <w:highlight w:val="none"/>
                <w:lang w:eastAsia="zh-CN"/>
              </w:rPr>
            </w:pPr>
            <w:r>
              <w:rPr>
                <w:rFonts w:hint="eastAsia" w:ascii="新宋体" w:hAnsi="新宋体" w:eastAsia="新宋体" w:cs="新宋体"/>
                <w:color w:val="auto"/>
                <w:szCs w:val="21"/>
                <w:highlight w:val="none"/>
              </w:rPr>
              <w:t>采 购 人：</w:t>
            </w:r>
            <w:r>
              <w:rPr>
                <w:rFonts w:hint="eastAsia" w:ascii="宋体" w:hAnsi="宋体" w:eastAsia="新宋体"/>
                <w:color w:val="auto"/>
                <w:highlight w:val="none"/>
                <w:lang w:eastAsia="zh-CN"/>
              </w:rPr>
              <w:t>张家界市机关事务管理局</w:t>
            </w:r>
          </w:p>
          <w:p w14:paraId="227C5A51">
            <w:pPr>
              <w:snapToGrid w:val="0"/>
              <w:spacing w:line="220" w:lineRule="atLeast"/>
              <w:jc w:val="left"/>
              <w:rPr>
                <w:rFonts w:hint="eastAsia" w:ascii="新宋体" w:hAnsi="新宋体" w:eastAsia="新宋体" w:cs="新宋体"/>
                <w:color w:val="auto"/>
                <w:szCs w:val="21"/>
                <w:highlight w:val="none"/>
                <w:lang w:val="en-US" w:eastAsia="zh-CN"/>
              </w:rPr>
            </w:pPr>
            <w:r>
              <w:rPr>
                <w:rFonts w:hint="eastAsia" w:ascii="新宋体" w:hAnsi="新宋体" w:eastAsia="新宋体" w:cs="新宋体"/>
                <w:color w:val="auto"/>
                <w:szCs w:val="21"/>
                <w:highlight w:val="none"/>
              </w:rPr>
              <w:t>联 系 人：</w:t>
            </w:r>
            <w:r>
              <w:rPr>
                <w:rFonts w:hint="eastAsia" w:ascii="新宋体" w:hAnsi="新宋体" w:eastAsia="新宋体" w:cs="新宋体"/>
                <w:color w:val="auto"/>
                <w:szCs w:val="21"/>
                <w:highlight w:val="none"/>
                <w:lang w:eastAsia="zh-CN"/>
              </w:rPr>
              <w:t>罗先生</w:t>
            </w:r>
            <w:r>
              <w:rPr>
                <w:rFonts w:hint="eastAsia" w:ascii="新宋体" w:hAnsi="新宋体" w:eastAsia="新宋体" w:cs="新宋体"/>
                <w:color w:val="auto"/>
                <w:szCs w:val="21"/>
                <w:highlight w:val="none"/>
                <w:lang w:val="en-US" w:eastAsia="zh-CN"/>
              </w:rPr>
              <w:t xml:space="preserve"> </w:t>
            </w:r>
          </w:p>
          <w:p w14:paraId="1C1EFEFC">
            <w:pPr>
              <w:snapToGrid w:val="0"/>
              <w:spacing w:line="220" w:lineRule="atLeast"/>
              <w:jc w:val="left"/>
              <w:rPr>
                <w:rFonts w:hint="default" w:ascii="新宋体" w:hAnsi="新宋体" w:eastAsia="新宋体" w:cs="新宋体"/>
                <w:color w:val="auto"/>
                <w:szCs w:val="21"/>
                <w:highlight w:val="none"/>
                <w:lang w:val="en-US"/>
              </w:rPr>
            </w:pPr>
            <w:r>
              <w:rPr>
                <w:rFonts w:hint="eastAsia" w:ascii="新宋体" w:hAnsi="新宋体" w:eastAsia="新宋体" w:cs="新宋体"/>
                <w:color w:val="auto"/>
                <w:szCs w:val="21"/>
                <w:highlight w:val="none"/>
              </w:rPr>
              <w:t>电    话：</w:t>
            </w:r>
            <w:r>
              <w:rPr>
                <w:rFonts w:hint="eastAsia" w:ascii="新宋体" w:hAnsi="新宋体" w:eastAsia="新宋体" w:cs="新宋体"/>
                <w:color w:val="auto"/>
                <w:szCs w:val="21"/>
                <w:highlight w:val="none"/>
                <w:lang w:val="en-US" w:eastAsia="zh-CN"/>
              </w:rPr>
              <w:t>15674401618</w:t>
            </w:r>
          </w:p>
          <w:p w14:paraId="24402860">
            <w:pPr>
              <w:snapToGrid w:val="0"/>
              <w:spacing w:line="220" w:lineRule="atLeast"/>
              <w:jc w:val="left"/>
              <w:rPr>
                <w:rFonts w:hint="eastAsia" w:ascii="新宋体" w:hAnsi="新宋体" w:eastAsia="新宋体" w:cs="新宋体"/>
                <w:color w:val="auto"/>
                <w:szCs w:val="21"/>
                <w:highlight w:val="none"/>
                <w:lang w:eastAsia="zh-CN"/>
              </w:rPr>
            </w:pPr>
            <w:r>
              <w:rPr>
                <w:rFonts w:hint="eastAsia" w:ascii="新宋体" w:hAnsi="新宋体" w:eastAsia="新宋体" w:cs="新宋体"/>
                <w:color w:val="auto"/>
                <w:szCs w:val="21"/>
                <w:highlight w:val="none"/>
              </w:rPr>
              <w:t>地    址：</w:t>
            </w:r>
            <w:r>
              <w:rPr>
                <w:rFonts w:hint="eastAsia" w:ascii="新宋体" w:hAnsi="新宋体" w:eastAsia="新宋体" w:cs="新宋体"/>
                <w:color w:val="auto"/>
                <w:szCs w:val="21"/>
                <w:highlight w:val="none"/>
                <w:lang w:eastAsia="zh-CN"/>
              </w:rPr>
              <w:t>张家界市永定区教场路252号</w:t>
            </w:r>
          </w:p>
        </w:tc>
      </w:tr>
      <w:tr w14:paraId="234D9403">
        <w:tblPrEx>
          <w:tblCellMar>
            <w:top w:w="0" w:type="dxa"/>
            <w:left w:w="0" w:type="dxa"/>
            <w:bottom w:w="0" w:type="dxa"/>
            <w:right w:w="0" w:type="dxa"/>
          </w:tblCellMar>
        </w:tblPrEx>
        <w:trPr>
          <w:trHeight w:val="1186"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46C2365">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第二章第2.2款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A0249A4">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采购代理机构</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3400EEBF">
            <w:pPr>
              <w:snapToGrid w:val="0"/>
              <w:spacing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名称：</w:t>
            </w:r>
            <w:r>
              <w:rPr>
                <w:rFonts w:hint="eastAsia" w:ascii="新宋体" w:hAnsi="新宋体" w:eastAsia="新宋体" w:cs="新宋体"/>
                <w:color w:val="auto"/>
                <w:szCs w:val="21"/>
                <w:highlight w:val="none"/>
                <w:lang w:eastAsia="zh-CN"/>
              </w:rPr>
              <w:t>张家界方正建设项目管理有限公司</w:t>
            </w:r>
            <w:r>
              <w:rPr>
                <w:rFonts w:hint="eastAsia" w:ascii="新宋体" w:hAnsi="新宋体" w:eastAsia="新宋体" w:cs="新宋体"/>
                <w:color w:val="auto"/>
                <w:szCs w:val="21"/>
                <w:highlight w:val="none"/>
                <w:lang w:val="en-US" w:eastAsia="zh-CN"/>
              </w:rPr>
              <w:t xml:space="preserve"> </w:t>
            </w:r>
            <w:r>
              <w:rPr>
                <w:rFonts w:hint="eastAsia" w:ascii="新宋体" w:hAnsi="新宋体" w:eastAsia="新宋体" w:cs="新宋体"/>
                <w:color w:val="auto"/>
                <w:szCs w:val="21"/>
                <w:highlight w:val="none"/>
              </w:rPr>
              <w:t xml:space="preserve"> </w:t>
            </w:r>
          </w:p>
          <w:p w14:paraId="404028DD">
            <w:pPr>
              <w:snapToGrid w:val="0"/>
              <w:spacing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地址：</w:t>
            </w:r>
            <w:r>
              <w:rPr>
                <w:rFonts w:hint="eastAsia" w:ascii="新宋体" w:hAnsi="新宋体" w:eastAsia="新宋体" w:cs="新宋体"/>
                <w:color w:val="auto"/>
                <w:szCs w:val="21"/>
                <w:highlight w:val="none"/>
                <w:lang w:eastAsia="zh-CN"/>
              </w:rPr>
              <w:t>张家界市永定区古庸路378号黄金大厦1913A</w:t>
            </w:r>
            <w:r>
              <w:rPr>
                <w:rFonts w:hint="eastAsia" w:ascii="新宋体" w:hAnsi="新宋体" w:eastAsia="新宋体" w:cs="新宋体"/>
                <w:color w:val="auto"/>
                <w:szCs w:val="21"/>
                <w:highlight w:val="none"/>
                <w:lang w:val="en-US" w:eastAsia="zh-CN"/>
              </w:rPr>
              <w:t xml:space="preserve"> </w:t>
            </w:r>
            <w:r>
              <w:rPr>
                <w:rFonts w:hint="eastAsia" w:ascii="宋体" w:hAnsi="宋体" w:eastAsia="新宋体"/>
                <w:color w:val="auto"/>
                <w:szCs w:val="21"/>
                <w:highlight w:val="none"/>
              </w:rPr>
              <w:t xml:space="preserve"> </w:t>
            </w:r>
          </w:p>
          <w:p w14:paraId="309F5DC7">
            <w:pPr>
              <w:snapToGrid w:val="0"/>
              <w:spacing w:line="220" w:lineRule="atLeast"/>
              <w:jc w:val="left"/>
              <w:rPr>
                <w:rFonts w:hint="eastAsia" w:ascii="新宋体" w:hAnsi="新宋体" w:eastAsia="新宋体" w:cs="新宋体"/>
                <w:color w:val="auto"/>
                <w:szCs w:val="21"/>
                <w:highlight w:val="none"/>
                <w:lang w:eastAsia="zh-CN"/>
              </w:rPr>
            </w:pPr>
            <w:r>
              <w:rPr>
                <w:rFonts w:hint="eastAsia" w:ascii="新宋体" w:hAnsi="新宋体" w:eastAsia="新宋体" w:cs="新宋体"/>
                <w:color w:val="auto"/>
                <w:szCs w:val="21"/>
                <w:highlight w:val="none"/>
              </w:rPr>
              <w:t>电话：</w:t>
            </w:r>
            <w:r>
              <w:rPr>
                <w:rFonts w:hint="eastAsia" w:ascii="新宋体" w:hAnsi="新宋体" w:eastAsia="新宋体" w:cs="新宋体"/>
                <w:color w:val="auto"/>
                <w:szCs w:val="21"/>
                <w:highlight w:val="none"/>
                <w:lang w:eastAsia="zh-CN"/>
              </w:rPr>
              <w:t>18807444404</w:t>
            </w:r>
            <w:r>
              <w:rPr>
                <w:rFonts w:hint="eastAsia" w:ascii="宋体" w:hAnsi="宋体" w:eastAsia="新宋体" w:cs="宋体"/>
                <w:color w:val="auto"/>
                <w:szCs w:val="21"/>
                <w:highlight w:val="none"/>
                <w:lang w:val="en-US" w:eastAsia="zh-CN"/>
              </w:rPr>
              <w:t xml:space="preserve"> </w:t>
            </w:r>
          </w:p>
          <w:p w14:paraId="3A96A5FF">
            <w:pPr>
              <w:snapToGrid w:val="0"/>
              <w:spacing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联系人：</w:t>
            </w:r>
            <w:r>
              <w:rPr>
                <w:rFonts w:hint="eastAsia" w:ascii="新宋体" w:hAnsi="新宋体" w:eastAsia="新宋体" w:cs="新宋体"/>
                <w:color w:val="auto"/>
                <w:szCs w:val="21"/>
                <w:highlight w:val="none"/>
                <w:lang w:eastAsia="zh-CN"/>
              </w:rPr>
              <w:t>谭女士</w:t>
            </w:r>
            <w:r>
              <w:rPr>
                <w:rFonts w:hint="eastAsia" w:ascii="新宋体" w:hAnsi="新宋体" w:eastAsia="新宋体" w:cs="新宋体"/>
                <w:color w:val="auto"/>
                <w:szCs w:val="21"/>
                <w:highlight w:val="none"/>
                <w:lang w:val="en-US" w:eastAsia="zh-CN"/>
              </w:rPr>
              <w:t xml:space="preserve"> </w:t>
            </w:r>
          </w:p>
        </w:tc>
      </w:tr>
      <w:tr w14:paraId="0FD2A0E2">
        <w:tblPrEx>
          <w:tblCellMar>
            <w:top w:w="0" w:type="dxa"/>
            <w:left w:w="0" w:type="dxa"/>
            <w:bottom w:w="0" w:type="dxa"/>
            <w:right w:w="0" w:type="dxa"/>
          </w:tblCellMar>
        </w:tblPrEx>
        <w:trPr>
          <w:trHeight w:val="384"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006CCF9C">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第二章第2.3款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C926E0F">
            <w:pPr>
              <w:snapToGrid w:val="0"/>
              <w:spacing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供应商的邀请方式</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63CDBF99">
            <w:pPr>
              <w:snapToGrid w:val="0"/>
              <w:spacing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发布邀请公告</w:t>
            </w:r>
          </w:p>
        </w:tc>
      </w:tr>
      <w:tr w14:paraId="3AAC40A4">
        <w:tblPrEx>
          <w:tblCellMar>
            <w:top w:w="0" w:type="dxa"/>
            <w:left w:w="0" w:type="dxa"/>
            <w:bottom w:w="0" w:type="dxa"/>
            <w:right w:w="0" w:type="dxa"/>
          </w:tblCellMar>
        </w:tblPrEx>
        <w:trPr>
          <w:trHeight w:val="1267" w:hRule="atLeast"/>
          <w:jc w:val="center"/>
        </w:trPr>
        <w:tc>
          <w:tcPr>
            <w:tcW w:w="1844" w:type="dxa"/>
            <w:tcBorders>
              <w:top w:val="single" w:color="000000" w:sz="4"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44B94004">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第二章第3.1款</w:t>
            </w:r>
          </w:p>
        </w:tc>
        <w:tc>
          <w:tcPr>
            <w:tcW w:w="2085" w:type="dxa"/>
            <w:gridSpan w:val="2"/>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062F089">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供应商资格条件</w:t>
            </w:r>
          </w:p>
        </w:tc>
        <w:tc>
          <w:tcPr>
            <w:tcW w:w="5400" w:type="dxa"/>
            <w:tcBorders>
              <w:top w:val="single" w:color="000000" w:sz="4"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415EDDF">
            <w:pPr>
              <w:adjustRightInd w:val="0"/>
              <w:snapToGrid w:val="0"/>
              <w:spacing w:before="50"/>
              <w:rPr>
                <w:rFonts w:ascii="宋体" w:hAnsi="宋体"/>
                <w:color w:val="auto"/>
                <w:szCs w:val="21"/>
                <w:highlight w:val="none"/>
              </w:rPr>
            </w:pPr>
            <w:r>
              <w:rPr>
                <w:rFonts w:hint="eastAsia" w:ascii="宋体" w:hAnsi="宋体"/>
                <w:color w:val="auto"/>
                <w:szCs w:val="21"/>
                <w:highlight w:val="none"/>
              </w:rPr>
              <w:t>1、供应商的基本资格条件：供应商必须是在中华人民共和国境内注册登记的法人、其他组织或者自然人，且应当符合《政府采购法》第二十二条第一款的规定，即：</w:t>
            </w:r>
            <w:r>
              <w:rPr>
                <w:rFonts w:ascii="宋体" w:hAnsi="宋体"/>
                <w:color w:val="auto"/>
                <w:szCs w:val="21"/>
                <w:highlight w:val="none"/>
              </w:rPr>
              <w:t xml:space="preserve"> </w:t>
            </w:r>
          </w:p>
          <w:p w14:paraId="17496362">
            <w:pPr>
              <w:adjustRightInd w:val="0"/>
              <w:snapToGrid w:val="0"/>
              <w:spacing w:before="50"/>
              <w:rPr>
                <w:rFonts w:hint="eastAsia" w:ascii="宋体" w:hAnsi="宋体" w:eastAsia="宋体"/>
                <w:color w:val="auto"/>
                <w:szCs w:val="21"/>
                <w:highlight w:val="none"/>
              </w:rPr>
            </w:pPr>
            <w:r>
              <w:rPr>
                <w:rFonts w:hint="eastAsia" w:ascii="宋体" w:hAnsi="宋体" w:eastAsia="宋体"/>
                <w:color w:val="auto"/>
                <w:szCs w:val="21"/>
                <w:highlight w:val="none"/>
              </w:rPr>
              <w:t>（1）具有独立承担民事责任的能力；</w:t>
            </w:r>
          </w:p>
          <w:p w14:paraId="1791DB58">
            <w:pPr>
              <w:adjustRightInd w:val="0"/>
              <w:snapToGrid w:val="0"/>
              <w:spacing w:before="50"/>
              <w:rPr>
                <w:rFonts w:hint="eastAsia" w:ascii="宋体" w:hAnsi="宋体" w:eastAsia="宋体"/>
                <w:color w:val="auto"/>
                <w:szCs w:val="21"/>
                <w:highlight w:val="none"/>
              </w:rPr>
            </w:pPr>
            <w:r>
              <w:rPr>
                <w:rFonts w:hint="eastAsia" w:ascii="宋体" w:hAnsi="宋体" w:eastAsia="宋体"/>
                <w:color w:val="auto"/>
                <w:szCs w:val="21"/>
                <w:highlight w:val="none"/>
              </w:rPr>
              <w:t>（2）具有良好的商业信誉和健全的财务会计制度；</w:t>
            </w:r>
          </w:p>
          <w:p w14:paraId="3C242A9A">
            <w:pPr>
              <w:adjustRightInd w:val="0"/>
              <w:snapToGrid w:val="0"/>
              <w:spacing w:before="50"/>
              <w:rPr>
                <w:rFonts w:hint="eastAsia" w:ascii="宋体" w:hAnsi="宋体" w:eastAsia="宋体"/>
                <w:color w:val="auto"/>
                <w:szCs w:val="21"/>
                <w:highlight w:val="none"/>
              </w:rPr>
            </w:pPr>
            <w:r>
              <w:rPr>
                <w:rFonts w:hint="eastAsia" w:ascii="宋体" w:hAnsi="宋体" w:eastAsia="宋体"/>
                <w:color w:val="auto"/>
                <w:szCs w:val="21"/>
                <w:highlight w:val="none"/>
              </w:rPr>
              <w:t>（3）具有履行合同所必需的设备和专业技术能力；</w:t>
            </w:r>
          </w:p>
          <w:p w14:paraId="07FD36A1">
            <w:pPr>
              <w:adjustRightInd w:val="0"/>
              <w:snapToGrid w:val="0"/>
              <w:spacing w:before="50"/>
              <w:rPr>
                <w:rFonts w:hint="eastAsia" w:ascii="宋体" w:hAnsi="宋体" w:eastAsia="宋体"/>
                <w:color w:val="auto"/>
                <w:szCs w:val="21"/>
                <w:highlight w:val="none"/>
              </w:rPr>
            </w:pPr>
            <w:r>
              <w:rPr>
                <w:rFonts w:hint="eastAsia" w:ascii="宋体" w:hAnsi="宋体" w:eastAsia="宋体"/>
                <w:color w:val="auto"/>
                <w:szCs w:val="21"/>
                <w:highlight w:val="none"/>
              </w:rPr>
              <w:t>（4）有依法缴纳税收和社会保障资金的良好记录；</w:t>
            </w:r>
          </w:p>
          <w:p w14:paraId="25B10CA1">
            <w:pPr>
              <w:adjustRightInd w:val="0"/>
              <w:snapToGrid w:val="0"/>
              <w:spacing w:before="50"/>
              <w:rPr>
                <w:rFonts w:hint="eastAsia" w:ascii="宋体" w:hAnsi="宋体" w:eastAsia="宋体"/>
                <w:color w:val="auto"/>
                <w:szCs w:val="21"/>
                <w:highlight w:val="none"/>
              </w:rPr>
            </w:pPr>
            <w:r>
              <w:rPr>
                <w:rFonts w:hint="eastAsia" w:ascii="宋体" w:hAnsi="宋体" w:eastAsia="宋体"/>
                <w:color w:val="auto"/>
                <w:szCs w:val="21"/>
                <w:highlight w:val="none"/>
              </w:rPr>
              <w:t>（5）参加政府采购活动前三年内，在经营活动中没有重大违法记录；</w:t>
            </w:r>
          </w:p>
          <w:p w14:paraId="42F66948">
            <w:pPr>
              <w:adjustRightInd w:val="0"/>
              <w:snapToGrid w:val="0"/>
              <w:spacing w:before="50"/>
              <w:rPr>
                <w:rFonts w:hint="eastAsia" w:ascii="宋体" w:hAnsi="宋体" w:eastAsia="宋体"/>
                <w:color w:val="auto"/>
                <w:szCs w:val="21"/>
                <w:highlight w:val="none"/>
                <w:lang w:eastAsia="zh-CN"/>
              </w:rPr>
            </w:pPr>
            <w:r>
              <w:rPr>
                <w:rFonts w:hint="eastAsia" w:ascii="宋体" w:hAnsi="宋体" w:eastAsia="宋体"/>
                <w:color w:val="auto"/>
                <w:szCs w:val="21"/>
                <w:highlight w:val="none"/>
              </w:rPr>
              <w:t>（6）供应商在“信用中国”网站查询未被列入失信被执行人和重大税收违法案件当事人名单和“中国政府采购网”网站查询未被列入政府采购严重违法失信行为记录名单，提供查询结果截图打印件并加盖公章</w:t>
            </w:r>
            <w:r>
              <w:rPr>
                <w:rFonts w:hint="eastAsia" w:ascii="宋体" w:hAnsi="宋体" w:eastAsia="宋体"/>
                <w:color w:val="auto"/>
                <w:szCs w:val="21"/>
                <w:highlight w:val="none"/>
                <w:lang w:eastAsia="zh-CN"/>
              </w:rPr>
              <w:t>；</w:t>
            </w:r>
          </w:p>
          <w:p w14:paraId="209789BC">
            <w:pPr>
              <w:adjustRightInd w:val="0"/>
              <w:snapToGrid w:val="0"/>
              <w:spacing w:before="50"/>
              <w:rPr>
                <w:rFonts w:ascii="宋体" w:hAnsi="宋体"/>
                <w:color w:val="auto"/>
                <w:szCs w:val="21"/>
                <w:highlight w:val="none"/>
              </w:rPr>
            </w:pPr>
            <w:r>
              <w:rPr>
                <w:rFonts w:hint="eastAsia" w:ascii="宋体" w:hAnsi="宋体"/>
                <w:color w:val="auto"/>
                <w:szCs w:val="21"/>
                <w:highlight w:val="none"/>
              </w:rPr>
              <w:t>（7）法律、行政法规规定的其他条件。</w:t>
            </w:r>
          </w:p>
          <w:p w14:paraId="00F5D888">
            <w:pPr>
              <w:adjustRightInd w:val="0"/>
              <w:snapToGrid w:val="0"/>
              <w:spacing w:line="240" w:lineRule="auto"/>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采购项目的特定资格条件：（1）供应商须具备住房城乡建设主管部门颁发的建筑工程施工总承包三级及以上资质且处于有效期，企业安全生产许可证处于有效期；湖南省外企业须按照湘建建【2015】190 号文件要求办理省外入湘企业基本情况登记（以“湖南省住房和城乡建设网 ”查询为准）或具有入湘施工登记证（处于有效期内）；</w:t>
            </w:r>
          </w:p>
          <w:p w14:paraId="385464F6">
            <w:pPr>
              <w:adjustRightInd w:val="0"/>
              <w:snapToGrid w:val="0"/>
              <w:spacing w:line="240" w:lineRule="auto"/>
              <w:rPr>
                <w:rFonts w:hint="eastAsia" w:ascii="宋体" w:hAnsi="宋体"/>
                <w:color w:val="auto"/>
                <w:szCs w:val="21"/>
                <w:highlight w:val="none"/>
              </w:rPr>
            </w:pPr>
            <w:r>
              <w:rPr>
                <w:rFonts w:hint="eastAsia" w:ascii="宋体" w:hAnsi="宋体"/>
                <w:color w:val="auto"/>
                <w:szCs w:val="21"/>
                <w:highlight w:val="none"/>
              </w:rPr>
              <w:t>（2）项目负责人（项目经理，后同）具有建筑工程二级及以上注册建造师执业资格证书，并且具有有效期内的安全生产考核合格证（B证）；项目负责人必须是本企业在职人员且不得有在建项目（提供无在建工程查询截图和无在建承诺书原件，格式自拟）。</w:t>
            </w:r>
          </w:p>
          <w:p w14:paraId="6F7A03E0">
            <w:pPr>
              <w:adjustRightInd w:val="0"/>
              <w:snapToGrid w:val="0"/>
              <w:spacing w:line="240" w:lineRule="auto"/>
              <w:rPr>
                <w:rFonts w:hint="eastAsia" w:ascii="宋体" w:hAnsi="宋体"/>
                <w:color w:val="auto"/>
                <w:szCs w:val="21"/>
                <w:highlight w:val="none"/>
              </w:rPr>
            </w:pPr>
            <w:r>
              <w:rPr>
                <w:rFonts w:hint="eastAsia" w:ascii="宋体" w:hAnsi="宋体"/>
                <w:color w:val="auto"/>
                <w:szCs w:val="21"/>
                <w:highlight w:val="none"/>
              </w:rPr>
              <w:t>（3）施工项目部关键岗位其他人员实行承诺制。响应时不要求提供具体人员信息，其中标后按照国家和省有关法律法规、规范标准和湖南省建筑工程施工监理关键岗位人员管理办法（湘建建〔2020〕208 号文）规定配备施工项目部关键岗位人员（提供相应承诺书原件，格式自拟）。</w:t>
            </w:r>
          </w:p>
          <w:p w14:paraId="75364554">
            <w:pPr>
              <w:adjustRightInd w:val="0"/>
              <w:snapToGrid w:val="0"/>
              <w:spacing w:line="240" w:lineRule="auto"/>
              <w:rPr>
                <w:rFonts w:hint="eastAsia" w:ascii="宋体" w:hAnsi="宋体"/>
                <w:b/>
                <w:bCs/>
                <w:color w:val="auto"/>
                <w:szCs w:val="21"/>
                <w:highlight w:val="none"/>
              </w:rPr>
            </w:pPr>
            <w:r>
              <w:rPr>
                <w:rFonts w:hint="eastAsia" w:ascii="宋体" w:hAnsi="宋体"/>
                <w:color w:val="auto"/>
                <w:szCs w:val="21"/>
                <w:highlight w:val="none"/>
              </w:rPr>
              <w:t>注：本项目面向中小企业采购，供应商须提供《湖南省政府采购供应商资格承诺函》和《中小企业声明函》。</w:t>
            </w:r>
          </w:p>
          <w:p w14:paraId="4B1BCF31">
            <w:pPr>
              <w:adjustRightInd w:val="0"/>
              <w:snapToGrid w:val="0"/>
              <w:spacing w:before="50"/>
              <w:rPr>
                <w:rFonts w:ascii="宋体" w:hAnsi="宋体"/>
                <w:color w:val="auto"/>
                <w:szCs w:val="21"/>
                <w:highlight w:val="none"/>
              </w:rPr>
            </w:pPr>
            <w:r>
              <w:rPr>
                <w:rFonts w:hint="eastAsia" w:ascii="宋体" w:hAnsi="宋体"/>
                <w:color w:val="auto"/>
                <w:szCs w:val="21"/>
                <w:highlight w:val="none"/>
              </w:rPr>
              <w:t>3、单位负责人为同一人或者存在直接控股、管理关系的不同投标人，不得参加同一合同项下的政府采购活动。</w:t>
            </w:r>
          </w:p>
          <w:p w14:paraId="0CB3B5BD">
            <w:pPr>
              <w:adjustRightInd w:val="0"/>
              <w:snapToGrid w:val="0"/>
              <w:spacing w:before="50"/>
              <w:rPr>
                <w:rFonts w:ascii="宋体" w:hAnsi="宋体"/>
                <w:color w:val="auto"/>
                <w:szCs w:val="21"/>
                <w:highlight w:val="none"/>
              </w:rPr>
            </w:pPr>
            <w:r>
              <w:rPr>
                <w:rFonts w:hint="eastAsia" w:ascii="宋体" w:hAnsi="宋体"/>
                <w:color w:val="auto"/>
                <w:szCs w:val="21"/>
                <w:highlight w:val="none"/>
              </w:rPr>
              <w:t>4、为本采购项目提供整体设计、规范编制或者项目管理、监理、检测等服务的，不得再参加此项目的其他政府采购采购活动。</w:t>
            </w:r>
          </w:p>
          <w:p w14:paraId="37E4A390">
            <w:pPr>
              <w:adjustRightInd w:val="0"/>
              <w:snapToGrid w:val="0"/>
              <w:spacing w:before="50"/>
              <w:rPr>
                <w:rFonts w:ascii="宋体" w:hAnsi="宋体"/>
                <w:color w:val="auto"/>
                <w:szCs w:val="21"/>
                <w:highlight w:val="none"/>
              </w:rPr>
            </w:pPr>
            <w:r>
              <w:rPr>
                <w:rFonts w:hint="eastAsia"/>
                <w:color w:val="auto"/>
                <w:szCs w:val="21"/>
                <w:highlight w:val="none"/>
              </w:rPr>
              <w:t>5、列入失信被执行人、重大税收违法案件当事人名单，列入政府采购严重违法失信行为记录名单的，拒绝其参与政府采购活动。</w:t>
            </w:r>
          </w:p>
        </w:tc>
      </w:tr>
      <w:tr w14:paraId="61FDFC4D">
        <w:tblPrEx>
          <w:tblCellMar>
            <w:top w:w="0" w:type="dxa"/>
            <w:left w:w="0" w:type="dxa"/>
            <w:bottom w:w="0" w:type="dxa"/>
            <w:right w:w="0" w:type="dxa"/>
          </w:tblCellMar>
        </w:tblPrEx>
        <w:trPr>
          <w:trHeight w:val="90" w:hRule="atLeast"/>
          <w:jc w:val="center"/>
        </w:trPr>
        <w:tc>
          <w:tcPr>
            <w:tcW w:w="1844" w:type="dxa"/>
            <w:tcBorders>
              <w:top w:val="single" w:color="000000" w:sz="4"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31D73221">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第二章第6.1款</w:t>
            </w:r>
          </w:p>
        </w:tc>
        <w:tc>
          <w:tcPr>
            <w:tcW w:w="2085" w:type="dxa"/>
            <w:gridSpan w:val="2"/>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41D2757">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联合体形式</w:t>
            </w:r>
          </w:p>
        </w:tc>
        <w:tc>
          <w:tcPr>
            <w:tcW w:w="5400" w:type="dxa"/>
            <w:tcBorders>
              <w:top w:val="single" w:color="000000" w:sz="4"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1D0C02B3">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本次采购</w:t>
            </w:r>
            <w:r>
              <w:rPr>
                <w:rFonts w:hint="eastAsia" w:ascii="新宋体" w:hAnsi="新宋体" w:eastAsia="新宋体" w:cs="新宋体"/>
                <w:b/>
                <w:bCs/>
                <w:color w:val="auto"/>
                <w:szCs w:val="21"/>
                <w:highlight w:val="none"/>
              </w:rPr>
              <w:t>不接受</w:t>
            </w:r>
            <w:r>
              <w:rPr>
                <w:rFonts w:hint="eastAsia" w:ascii="新宋体" w:hAnsi="新宋体" w:eastAsia="新宋体" w:cs="新宋体"/>
                <w:color w:val="auto"/>
                <w:szCs w:val="21"/>
                <w:highlight w:val="none"/>
              </w:rPr>
              <w:t>联合体形式投标。</w:t>
            </w:r>
          </w:p>
        </w:tc>
      </w:tr>
      <w:tr w14:paraId="459F9EDB">
        <w:tblPrEx>
          <w:tblCellMar>
            <w:top w:w="0" w:type="dxa"/>
            <w:left w:w="0" w:type="dxa"/>
            <w:bottom w:w="0" w:type="dxa"/>
            <w:right w:w="0" w:type="dxa"/>
          </w:tblCellMar>
        </w:tblPrEx>
        <w:trPr>
          <w:trHeight w:val="688" w:hRule="atLeast"/>
          <w:jc w:val="center"/>
        </w:trPr>
        <w:tc>
          <w:tcPr>
            <w:tcW w:w="1844" w:type="dxa"/>
            <w:tcBorders>
              <w:top w:val="single" w:color="000000" w:sz="4"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49D95D5D">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第二章第6.2款</w:t>
            </w:r>
          </w:p>
        </w:tc>
        <w:tc>
          <w:tcPr>
            <w:tcW w:w="2085" w:type="dxa"/>
            <w:gridSpan w:val="2"/>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8E6955B">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对联合体各方的要求</w:t>
            </w:r>
          </w:p>
        </w:tc>
        <w:tc>
          <w:tcPr>
            <w:tcW w:w="5400" w:type="dxa"/>
            <w:tcBorders>
              <w:top w:val="single" w:color="000000" w:sz="4"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371637EB">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不适用</w:t>
            </w:r>
          </w:p>
        </w:tc>
      </w:tr>
      <w:tr w14:paraId="7E2AD9E6">
        <w:tblPrEx>
          <w:tblCellMar>
            <w:top w:w="0" w:type="dxa"/>
            <w:left w:w="0" w:type="dxa"/>
            <w:bottom w:w="0" w:type="dxa"/>
            <w:right w:w="0" w:type="dxa"/>
          </w:tblCellMar>
        </w:tblPrEx>
        <w:trPr>
          <w:trHeight w:val="407"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3AE194EF">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第二章第7.1款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1DD1DFB">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现场勘察</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129D3D2B">
            <w:pPr>
              <w:snapToGrid w:val="0"/>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不统一组织</w:t>
            </w:r>
          </w:p>
        </w:tc>
      </w:tr>
      <w:tr w14:paraId="5D00C9C2">
        <w:tblPrEx>
          <w:tblCellMar>
            <w:top w:w="0" w:type="dxa"/>
            <w:left w:w="0" w:type="dxa"/>
            <w:bottom w:w="0" w:type="dxa"/>
            <w:right w:w="0" w:type="dxa"/>
          </w:tblCellMar>
        </w:tblPrEx>
        <w:trPr>
          <w:trHeight w:val="305" w:hRule="atLeast"/>
          <w:jc w:val="center"/>
        </w:trPr>
        <w:tc>
          <w:tcPr>
            <w:tcW w:w="1844" w:type="dxa"/>
            <w:tcBorders>
              <w:top w:val="single" w:color="000000" w:sz="6" w:space="0"/>
              <w:left w:val="double" w:color="000000" w:sz="4" w:space="0"/>
              <w:bottom w:val="single" w:color="000000" w:sz="4" w:space="0"/>
              <w:right w:val="single" w:color="000000" w:sz="6" w:space="0"/>
            </w:tcBorders>
            <w:tcMar>
              <w:top w:w="0" w:type="dxa"/>
              <w:left w:w="108" w:type="dxa"/>
              <w:bottom w:w="0" w:type="dxa"/>
              <w:right w:w="108" w:type="dxa"/>
            </w:tcMar>
            <w:vAlign w:val="center"/>
          </w:tcPr>
          <w:p w14:paraId="3C7FAF25">
            <w:pPr>
              <w:spacing w:line="32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第二章第8.1款</w:t>
            </w:r>
          </w:p>
        </w:tc>
        <w:tc>
          <w:tcPr>
            <w:tcW w:w="2085" w:type="dxa"/>
            <w:gridSpan w:val="2"/>
            <w:tcBorders>
              <w:top w:val="single" w:color="000000" w:sz="6" w:space="0"/>
              <w:left w:val="single" w:color="000000" w:sz="6" w:space="0"/>
              <w:bottom w:val="single" w:color="000000" w:sz="4" w:space="0"/>
              <w:right w:val="single" w:color="000000" w:sz="6" w:space="0"/>
            </w:tcBorders>
            <w:tcMar>
              <w:top w:w="0" w:type="dxa"/>
              <w:left w:w="108" w:type="dxa"/>
              <w:bottom w:w="0" w:type="dxa"/>
              <w:right w:w="108" w:type="dxa"/>
            </w:tcMar>
            <w:vAlign w:val="center"/>
          </w:tcPr>
          <w:p w14:paraId="46F4F0E0">
            <w:pPr>
              <w:spacing w:line="32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采购进口产品</w:t>
            </w:r>
          </w:p>
        </w:tc>
        <w:tc>
          <w:tcPr>
            <w:tcW w:w="5400" w:type="dxa"/>
            <w:tcBorders>
              <w:top w:val="single" w:color="000000" w:sz="6" w:space="0"/>
              <w:left w:val="single" w:color="000000" w:sz="6" w:space="0"/>
              <w:bottom w:val="single" w:color="000000" w:sz="4" w:space="0"/>
              <w:right w:val="double" w:color="000000" w:sz="4" w:space="0"/>
            </w:tcBorders>
            <w:tcMar>
              <w:top w:w="0" w:type="dxa"/>
              <w:left w:w="108" w:type="dxa"/>
              <w:bottom w:w="0" w:type="dxa"/>
              <w:right w:w="108" w:type="dxa"/>
            </w:tcMar>
            <w:vAlign w:val="center"/>
          </w:tcPr>
          <w:p w14:paraId="1AE0FB79">
            <w:pPr>
              <w:snapToGrid w:val="0"/>
              <w:spacing w:before="156" w:line="320" w:lineRule="exact"/>
              <w:rPr>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w:t>
            </w:r>
            <w:r>
              <w:rPr>
                <w:rFonts w:hint="eastAsia" w:ascii="新宋体" w:hAnsi="新宋体" w:eastAsia="新宋体" w:cs="新宋体"/>
                <w:color w:val="auto"/>
                <w:szCs w:val="21"/>
                <w:highlight w:val="none"/>
              </w:rPr>
              <w:t>本采购项目拒绝进口产品参加投标</w:t>
            </w:r>
          </w:p>
          <w:p w14:paraId="5B570569">
            <w:pPr>
              <w:spacing w:line="32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 本采购项目已经财政部门审核同意购买进口产品</w:t>
            </w:r>
          </w:p>
        </w:tc>
      </w:tr>
      <w:tr w14:paraId="7A503289">
        <w:tblPrEx>
          <w:tblCellMar>
            <w:top w:w="0" w:type="dxa"/>
            <w:left w:w="0" w:type="dxa"/>
            <w:bottom w:w="0" w:type="dxa"/>
            <w:right w:w="0" w:type="dxa"/>
          </w:tblCellMar>
        </w:tblPrEx>
        <w:trPr>
          <w:trHeight w:val="90"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613D7E6A">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二、磋商文件</w:t>
            </w:r>
          </w:p>
        </w:tc>
      </w:tr>
      <w:tr w14:paraId="4A585676">
        <w:tblPrEx>
          <w:tblCellMar>
            <w:top w:w="0" w:type="dxa"/>
            <w:left w:w="0" w:type="dxa"/>
            <w:bottom w:w="0" w:type="dxa"/>
            <w:right w:w="0" w:type="dxa"/>
          </w:tblCellMar>
        </w:tblPrEx>
        <w:trPr>
          <w:trHeight w:val="335"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21418EE">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第二章第10.2款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003B5C8">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磋商文件的可能实质性变动内容</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6A0F4EA7">
            <w:pPr>
              <w:snapToGrid w:val="0"/>
              <w:spacing w:before="62" w:after="62"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1、技术要求；</w:t>
            </w:r>
          </w:p>
          <w:p w14:paraId="32675965">
            <w:pPr>
              <w:snapToGrid w:val="0"/>
              <w:spacing w:before="62" w:after="62"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2、服务要求；</w:t>
            </w:r>
          </w:p>
          <w:p w14:paraId="5B18FFF4">
            <w:pPr>
              <w:snapToGrid w:val="0"/>
              <w:spacing w:before="62" w:after="62"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3、合同条款</w:t>
            </w:r>
          </w:p>
        </w:tc>
      </w:tr>
      <w:tr w14:paraId="25555DAC">
        <w:tblPrEx>
          <w:tblCellMar>
            <w:top w:w="0" w:type="dxa"/>
            <w:left w:w="0" w:type="dxa"/>
            <w:bottom w:w="0" w:type="dxa"/>
            <w:right w:w="0" w:type="dxa"/>
          </w:tblCellMar>
        </w:tblPrEx>
        <w:trPr>
          <w:trHeight w:val="46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2C06CE32">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第二章第11.1款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E99D7B5">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提供磋商文件期限</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0BF86EEA">
            <w:pPr>
              <w:snapToGrid w:val="0"/>
              <w:spacing w:before="62" w:after="62" w:line="220" w:lineRule="atLeast"/>
              <w:jc w:val="left"/>
              <w:rPr>
                <w:rFonts w:ascii="新宋体" w:hAnsi="新宋体" w:eastAsia="新宋体" w:cs="新宋体"/>
                <w:color w:val="0000FF"/>
                <w:szCs w:val="21"/>
                <w:highlight w:val="none"/>
              </w:rPr>
            </w:pPr>
            <w:r>
              <w:rPr>
                <w:rFonts w:hint="eastAsia" w:ascii="新宋体" w:hAnsi="新宋体" w:eastAsia="新宋体" w:cs="新宋体"/>
                <w:color w:val="auto"/>
                <w:szCs w:val="21"/>
                <w:highlight w:val="none"/>
                <w:lang w:eastAsia="zh-CN"/>
              </w:rPr>
              <w:t>202</w:t>
            </w:r>
            <w:r>
              <w:rPr>
                <w:rFonts w:hint="eastAsia" w:ascii="新宋体" w:hAnsi="新宋体" w:eastAsia="新宋体" w:cs="新宋体"/>
                <w:color w:val="auto"/>
                <w:szCs w:val="21"/>
                <w:highlight w:val="none"/>
                <w:lang w:val="en-US" w:eastAsia="zh-CN"/>
              </w:rPr>
              <w:t>6</w:t>
            </w:r>
            <w:r>
              <w:rPr>
                <w:rFonts w:hint="eastAsia" w:ascii="新宋体" w:hAnsi="新宋体" w:eastAsia="新宋体" w:cs="新宋体"/>
                <w:color w:val="auto"/>
                <w:szCs w:val="21"/>
                <w:highlight w:val="none"/>
              </w:rPr>
              <w:t>年</w:t>
            </w:r>
            <w:r>
              <w:rPr>
                <w:rFonts w:hint="eastAsia" w:ascii="新宋体" w:hAnsi="新宋体" w:eastAsia="新宋体" w:cs="新宋体"/>
                <w:color w:val="auto"/>
                <w:szCs w:val="21"/>
                <w:highlight w:val="none"/>
                <w:lang w:val="en-US" w:eastAsia="zh-CN"/>
              </w:rPr>
              <w:t xml:space="preserve">10 </w:t>
            </w:r>
            <w:r>
              <w:rPr>
                <w:rFonts w:hint="eastAsia" w:ascii="新宋体" w:hAnsi="新宋体" w:eastAsia="新宋体" w:cs="新宋体"/>
                <w:color w:val="auto"/>
                <w:szCs w:val="21"/>
                <w:highlight w:val="none"/>
              </w:rPr>
              <w:t>月</w:t>
            </w:r>
            <w:r>
              <w:rPr>
                <w:rFonts w:hint="eastAsia" w:ascii="新宋体" w:hAnsi="新宋体" w:eastAsia="新宋体" w:cs="新宋体"/>
                <w:color w:val="auto"/>
                <w:szCs w:val="21"/>
                <w:highlight w:val="none"/>
                <w:lang w:val="en-US" w:eastAsia="zh-CN"/>
              </w:rPr>
              <w:t>10</w:t>
            </w:r>
            <w:r>
              <w:rPr>
                <w:rFonts w:hint="eastAsia" w:ascii="新宋体" w:hAnsi="新宋体" w:eastAsia="新宋体" w:cs="新宋体"/>
                <w:color w:val="auto"/>
                <w:szCs w:val="21"/>
                <w:highlight w:val="none"/>
              </w:rPr>
              <w:t>日至</w:t>
            </w:r>
            <w:r>
              <w:rPr>
                <w:rFonts w:hint="eastAsia" w:ascii="新宋体" w:hAnsi="新宋体" w:eastAsia="新宋体" w:cs="新宋体"/>
                <w:color w:val="auto"/>
                <w:szCs w:val="21"/>
                <w:highlight w:val="none"/>
                <w:lang w:eastAsia="zh-CN"/>
              </w:rPr>
              <w:t>202</w:t>
            </w:r>
            <w:r>
              <w:rPr>
                <w:rFonts w:hint="eastAsia" w:ascii="新宋体" w:hAnsi="新宋体" w:eastAsia="新宋体" w:cs="新宋体"/>
                <w:color w:val="auto"/>
                <w:szCs w:val="21"/>
                <w:highlight w:val="none"/>
                <w:lang w:val="en-US" w:eastAsia="zh-CN"/>
              </w:rPr>
              <w:t>6</w:t>
            </w:r>
            <w:r>
              <w:rPr>
                <w:rFonts w:hint="eastAsia" w:ascii="新宋体" w:hAnsi="新宋体" w:eastAsia="新宋体" w:cs="新宋体"/>
                <w:color w:val="auto"/>
                <w:szCs w:val="21"/>
                <w:highlight w:val="none"/>
              </w:rPr>
              <w:t>年</w:t>
            </w:r>
            <w:r>
              <w:rPr>
                <w:rFonts w:hint="eastAsia" w:ascii="新宋体" w:hAnsi="新宋体" w:eastAsia="新宋体" w:cs="新宋体"/>
                <w:color w:val="auto"/>
                <w:szCs w:val="21"/>
                <w:highlight w:val="none"/>
                <w:lang w:val="en-US" w:eastAsia="zh-CN"/>
              </w:rPr>
              <w:t>10</w:t>
            </w:r>
            <w:r>
              <w:rPr>
                <w:rFonts w:hint="eastAsia" w:ascii="新宋体" w:hAnsi="新宋体" w:eastAsia="新宋体" w:cs="新宋体"/>
                <w:color w:val="auto"/>
                <w:szCs w:val="21"/>
                <w:highlight w:val="none"/>
              </w:rPr>
              <w:t>月</w:t>
            </w:r>
            <w:r>
              <w:rPr>
                <w:rFonts w:hint="eastAsia" w:ascii="新宋体" w:hAnsi="新宋体" w:eastAsia="新宋体" w:cs="新宋体"/>
                <w:color w:val="auto"/>
                <w:szCs w:val="21"/>
                <w:highlight w:val="none"/>
                <w:lang w:val="en-US" w:eastAsia="zh-CN"/>
              </w:rPr>
              <w:t>15</w:t>
            </w:r>
            <w:r>
              <w:rPr>
                <w:rFonts w:hint="eastAsia" w:ascii="新宋体" w:hAnsi="新宋体" w:eastAsia="新宋体" w:cs="新宋体"/>
                <w:color w:val="auto"/>
                <w:szCs w:val="21"/>
                <w:highlight w:val="none"/>
              </w:rPr>
              <w:t>日</w:t>
            </w:r>
          </w:p>
        </w:tc>
      </w:tr>
      <w:tr w14:paraId="3461B7D0">
        <w:tblPrEx>
          <w:tblCellMar>
            <w:top w:w="0" w:type="dxa"/>
            <w:left w:w="0" w:type="dxa"/>
            <w:bottom w:w="0" w:type="dxa"/>
            <w:right w:w="0" w:type="dxa"/>
          </w:tblCellMar>
        </w:tblPrEx>
        <w:trPr>
          <w:trHeight w:val="3"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2554C9DF">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第二章第11.3款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6B1A880">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领取或购买磋商文件时应提供的资料</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29765F48">
            <w:pPr>
              <w:snapToGrid w:val="0"/>
              <w:spacing w:before="62" w:after="62" w:line="220" w:lineRule="atLeast"/>
              <w:jc w:val="left"/>
              <w:rPr>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持法定代表人身份证明原件或者授权委托书原件并附法定代表人身份证明原件、个人身份证原件。</w:t>
            </w:r>
          </w:p>
        </w:tc>
      </w:tr>
      <w:tr w14:paraId="0D6A0FDA">
        <w:tblPrEx>
          <w:tblCellMar>
            <w:top w:w="0" w:type="dxa"/>
            <w:left w:w="0" w:type="dxa"/>
            <w:bottom w:w="0" w:type="dxa"/>
            <w:right w:w="0" w:type="dxa"/>
          </w:tblCellMar>
        </w:tblPrEx>
        <w:trPr>
          <w:trHeight w:val="701" w:hRule="atLeast"/>
          <w:jc w:val="center"/>
        </w:trPr>
        <w:tc>
          <w:tcPr>
            <w:tcW w:w="1844" w:type="dxa"/>
            <w:vMerge w:val="restart"/>
            <w:tcBorders>
              <w:top w:val="single" w:color="000000" w:sz="6" w:space="0"/>
              <w:left w:val="double" w:color="000000" w:sz="4" w:space="0"/>
              <w:right w:val="single" w:color="000000" w:sz="6" w:space="0"/>
            </w:tcBorders>
            <w:tcMar>
              <w:top w:w="0" w:type="dxa"/>
              <w:left w:w="108" w:type="dxa"/>
              <w:bottom w:w="0" w:type="dxa"/>
              <w:right w:w="108" w:type="dxa"/>
            </w:tcMar>
            <w:vAlign w:val="center"/>
          </w:tcPr>
          <w:p w14:paraId="3FA73CBA">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第二章第12.1款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AF7A1BE">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响应文件的递交截止时间</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3B62FDA7">
            <w:pPr>
              <w:snapToGrid w:val="0"/>
              <w:spacing w:before="62" w:after="62" w:line="220" w:lineRule="atLeast"/>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 xml:space="preserve"> </w:t>
            </w:r>
            <w:r>
              <w:rPr>
                <w:rFonts w:hint="eastAsia" w:ascii="新宋体" w:hAnsi="新宋体" w:eastAsia="新宋体" w:cs="新宋体"/>
                <w:color w:val="auto"/>
                <w:szCs w:val="21"/>
                <w:highlight w:val="none"/>
                <w:lang w:eastAsia="zh-CN"/>
              </w:rPr>
              <w:t>202</w:t>
            </w:r>
            <w:r>
              <w:rPr>
                <w:rFonts w:hint="eastAsia" w:ascii="新宋体" w:hAnsi="新宋体" w:eastAsia="新宋体" w:cs="新宋体"/>
                <w:color w:val="auto"/>
                <w:szCs w:val="21"/>
                <w:highlight w:val="none"/>
                <w:lang w:val="en-US" w:eastAsia="zh-CN"/>
              </w:rPr>
              <w:t>6</w:t>
            </w:r>
            <w:r>
              <w:rPr>
                <w:rFonts w:hint="eastAsia" w:ascii="新宋体" w:hAnsi="新宋体" w:eastAsia="新宋体" w:cs="新宋体"/>
                <w:color w:val="auto"/>
                <w:szCs w:val="21"/>
                <w:highlight w:val="none"/>
              </w:rPr>
              <w:t>年</w:t>
            </w:r>
            <w:r>
              <w:rPr>
                <w:rFonts w:hint="eastAsia" w:ascii="新宋体" w:hAnsi="新宋体" w:eastAsia="新宋体" w:cs="新宋体"/>
                <w:color w:val="auto"/>
                <w:szCs w:val="21"/>
                <w:highlight w:val="none"/>
                <w:lang w:val="en-US" w:eastAsia="zh-CN"/>
              </w:rPr>
              <w:t xml:space="preserve">10 </w:t>
            </w:r>
            <w:r>
              <w:rPr>
                <w:rFonts w:hint="eastAsia" w:ascii="新宋体" w:hAnsi="新宋体" w:eastAsia="新宋体" w:cs="新宋体"/>
                <w:color w:val="auto"/>
                <w:szCs w:val="21"/>
                <w:highlight w:val="none"/>
              </w:rPr>
              <w:t>月</w:t>
            </w:r>
            <w:r>
              <w:rPr>
                <w:rFonts w:hint="eastAsia" w:ascii="新宋体" w:hAnsi="新宋体" w:eastAsia="新宋体" w:cs="新宋体"/>
                <w:color w:val="auto"/>
                <w:szCs w:val="21"/>
                <w:highlight w:val="none"/>
                <w:lang w:val="en-US" w:eastAsia="zh-CN"/>
              </w:rPr>
              <w:t xml:space="preserve">20 </w:t>
            </w:r>
            <w:r>
              <w:rPr>
                <w:rFonts w:hint="eastAsia" w:ascii="新宋体" w:hAnsi="新宋体" w:eastAsia="新宋体" w:cs="新宋体"/>
                <w:color w:val="auto"/>
                <w:szCs w:val="21"/>
                <w:highlight w:val="none"/>
              </w:rPr>
              <w:t>日</w:t>
            </w:r>
            <w:r>
              <w:rPr>
                <w:rFonts w:hint="eastAsia" w:ascii="新宋体" w:hAnsi="新宋体" w:eastAsia="新宋体" w:cs="新宋体"/>
                <w:color w:val="auto"/>
                <w:szCs w:val="21"/>
                <w:highlight w:val="none"/>
                <w:lang w:val="en-US" w:eastAsia="zh-CN"/>
              </w:rPr>
              <w:t>10</w:t>
            </w:r>
            <w:r>
              <w:rPr>
                <w:rFonts w:hint="eastAsia" w:ascii="新宋体" w:hAnsi="新宋体" w:eastAsia="新宋体" w:cs="新宋体"/>
                <w:color w:val="auto"/>
                <w:szCs w:val="21"/>
                <w:highlight w:val="none"/>
              </w:rPr>
              <w:t xml:space="preserve"> 时 </w:t>
            </w:r>
            <w:r>
              <w:rPr>
                <w:rFonts w:hint="eastAsia" w:ascii="新宋体" w:hAnsi="新宋体" w:eastAsia="新宋体" w:cs="新宋体"/>
                <w:color w:val="auto"/>
                <w:szCs w:val="21"/>
                <w:highlight w:val="none"/>
                <w:lang w:val="en-US" w:eastAsia="zh-CN"/>
              </w:rPr>
              <w:t>00</w:t>
            </w:r>
            <w:r>
              <w:rPr>
                <w:rFonts w:hint="eastAsia" w:ascii="新宋体" w:hAnsi="新宋体" w:eastAsia="新宋体" w:cs="新宋体"/>
                <w:color w:val="auto"/>
                <w:szCs w:val="21"/>
                <w:highlight w:val="none"/>
              </w:rPr>
              <w:t xml:space="preserve"> 分</w:t>
            </w:r>
            <w:r>
              <w:rPr>
                <w:rFonts w:hint="eastAsia" w:ascii="新宋体" w:hAnsi="新宋体" w:eastAsia="新宋体" w:cs="新宋体"/>
                <w:color w:val="auto"/>
                <w:szCs w:val="21"/>
                <w:highlight w:val="none"/>
                <w:lang w:eastAsia="zh-CN"/>
              </w:rPr>
              <w:t>（</w:t>
            </w:r>
            <w:r>
              <w:rPr>
                <w:rFonts w:hint="eastAsia" w:ascii="新宋体" w:hAnsi="新宋体" w:eastAsia="新宋体" w:cs="新宋体"/>
                <w:color w:val="auto"/>
                <w:szCs w:val="21"/>
                <w:highlight w:val="none"/>
              </w:rPr>
              <w:t>北京时间</w:t>
            </w:r>
            <w:r>
              <w:rPr>
                <w:rFonts w:hint="eastAsia" w:ascii="新宋体" w:hAnsi="新宋体" w:eastAsia="新宋体" w:cs="新宋体"/>
                <w:color w:val="auto"/>
                <w:szCs w:val="21"/>
                <w:highlight w:val="none"/>
                <w:lang w:eastAsia="zh-CN"/>
              </w:rPr>
              <w:t>）</w:t>
            </w:r>
          </w:p>
        </w:tc>
      </w:tr>
      <w:tr w14:paraId="074FA460">
        <w:tblPrEx>
          <w:tblCellMar>
            <w:top w:w="0" w:type="dxa"/>
            <w:left w:w="0" w:type="dxa"/>
            <w:bottom w:w="0" w:type="dxa"/>
            <w:right w:w="0" w:type="dxa"/>
          </w:tblCellMar>
        </w:tblPrEx>
        <w:trPr>
          <w:trHeight w:val="701" w:hRule="atLeast"/>
          <w:jc w:val="center"/>
        </w:trPr>
        <w:tc>
          <w:tcPr>
            <w:tcW w:w="1844" w:type="dxa"/>
            <w:vMerge w:val="continue"/>
            <w:tcBorders>
              <w:left w:val="double" w:color="000000" w:sz="4" w:space="0"/>
              <w:bottom w:val="single" w:color="000000" w:sz="6" w:space="0"/>
              <w:right w:val="single" w:color="000000" w:sz="6" w:space="0"/>
            </w:tcBorders>
            <w:tcMar>
              <w:top w:w="0" w:type="dxa"/>
              <w:left w:w="108" w:type="dxa"/>
              <w:bottom w:w="0" w:type="dxa"/>
              <w:right w:w="108" w:type="dxa"/>
            </w:tcMar>
            <w:vAlign w:val="center"/>
          </w:tcPr>
          <w:p w14:paraId="2C3FDD72">
            <w:pPr>
              <w:snapToGrid w:val="0"/>
              <w:spacing w:before="62" w:after="62" w:line="220" w:lineRule="atLeast"/>
              <w:jc w:val="center"/>
              <w:rPr>
                <w:rFonts w:ascii="新宋体" w:hAnsi="新宋体" w:eastAsia="新宋体" w:cs="新宋体"/>
                <w:color w:val="auto"/>
                <w:szCs w:val="21"/>
                <w:highlight w:val="none"/>
              </w:rPr>
            </w:pP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E74C770">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响应文件的递交地点及开标地点</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4E3D6B3B">
            <w:pPr>
              <w:pStyle w:val="22"/>
              <w:ind w:firstLine="0" w:firstLineChars="0"/>
              <w:rPr>
                <w:rFonts w:hint="default" w:ascii="新宋体" w:hAnsi="新宋体" w:cs="新宋体"/>
                <w:color w:val="auto"/>
                <w:szCs w:val="21"/>
                <w:highlight w:val="none"/>
                <w:lang w:val="en-US"/>
              </w:rPr>
            </w:pPr>
            <w:r>
              <w:rPr>
                <w:rFonts w:hint="eastAsia" w:ascii="新宋体" w:hAnsi="新宋体" w:eastAsia="新宋体" w:cs="新宋体"/>
                <w:color w:val="auto"/>
                <w:kern w:val="2"/>
                <w:sz w:val="21"/>
                <w:szCs w:val="21"/>
                <w:highlight w:val="none"/>
                <w:lang w:val="en-US" w:eastAsia="zh-CN" w:bidi="ar-SA"/>
              </w:rPr>
              <w:t xml:space="preserve"> 张家界市公共资源交易中心（张家界市永定区子午路220号）</w:t>
            </w:r>
          </w:p>
        </w:tc>
      </w:tr>
      <w:tr w14:paraId="199C6DA5">
        <w:tblPrEx>
          <w:tblCellMar>
            <w:top w:w="0" w:type="dxa"/>
            <w:left w:w="0" w:type="dxa"/>
            <w:bottom w:w="0" w:type="dxa"/>
            <w:right w:w="0" w:type="dxa"/>
          </w:tblCellMar>
        </w:tblPrEx>
        <w:trPr>
          <w:trHeight w:val="569"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7E447017">
            <w:pPr>
              <w:snapToGrid w:val="0"/>
              <w:spacing w:line="360" w:lineRule="auto"/>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第二章第26.3款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5265D52">
            <w:pPr>
              <w:snapToGrid w:val="0"/>
              <w:spacing w:line="360" w:lineRule="auto"/>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一般条款允许偏离的最高项数</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AC95F42">
            <w:pPr>
              <w:snapToGrid w:val="0"/>
              <w:spacing w:line="360" w:lineRule="auto"/>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 xml:space="preserve">一般商务和技术条款偏离项数之和≥ </w:t>
            </w:r>
            <w:r>
              <w:rPr>
                <w:rFonts w:hint="eastAsia" w:ascii="新宋体" w:hAnsi="新宋体" w:eastAsia="新宋体" w:cs="新宋体"/>
                <w:color w:val="auto"/>
                <w:szCs w:val="21"/>
                <w:highlight w:val="none"/>
                <w:lang w:val="en-US" w:eastAsia="zh-CN"/>
              </w:rPr>
              <w:t>5</w:t>
            </w:r>
            <w:r>
              <w:rPr>
                <w:rFonts w:hint="eastAsia" w:ascii="新宋体" w:hAnsi="新宋体" w:eastAsia="新宋体" w:cs="新宋体"/>
                <w:color w:val="auto"/>
                <w:szCs w:val="21"/>
                <w:highlight w:val="none"/>
              </w:rPr>
              <w:t>项将导致无效响应。</w:t>
            </w:r>
          </w:p>
        </w:tc>
      </w:tr>
      <w:tr w14:paraId="666004DC">
        <w:tblPrEx>
          <w:tblCellMar>
            <w:top w:w="0" w:type="dxa"/>
            <w:left w:w="0" w:type="dxa"/>
            <w:bottom w:w="0" w:type="dxa"/>
            <w:right w:w="0" w:type="dxa"/>
          </w:tblCellMar>
        </w:tblPrEx>
        <w:trPr>
          <w:trHeight w:val="596"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B403FD2">
            <w:pPr>
              <w:snapToGrid w:val="0"/>
              <w:spacing w:line="360" w:lineRule="auto"/>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第二章第26.4款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D109571">
            <w:pPr>
              <w:snapToGrid w:val="0"/>
              <w:spacing w:line="360" w:lineRule="auto"/>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条款数（最高项数）的统计方法</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648A3D87">
            <w:pPr>
              <w:snapToGrid w:val="0"/>
              <w:spacing w:line="360" w:lineRule="auto"/>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按编号的商务和技术条款进行统计。</w:t>
            </w:r>
          </w:p>
        </w:tc>
      </w:tr>
      <w:tr w14:paraId="79C7AFEE">
        <w:tblPrEx>
          <w:tblCellMar>
            <w:top w:w="0" w:type="dxa"/>
            <w:left w:w="0" w:type="dxa"/>
            <w:bottom w:w="0" w:type="dxa"/>
            <w:right w:w="0" w:type="dxa"/>
          </w:tblCellMar>
        </w:tblPrEx>
        <w:trPr>
          <w:trHeight w:val="3"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1FA3E444">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三、响应文件的编写</w:t>
            </w:r>
          </w:p>
        </w:tc>
      </w:tr>
      <w:tr w14:paraId="54582E19">
        <w:tblPrEx>
          <w:tblCellMar>
            <w:top w:w="0" w:type="dxa"/>
            <w:left w:w="0" w:type="dxa"/>
            <w:bottom w:w="0" w:type="dxa"/>
            <w:right w:w="0" w:type="dxa"/>
          </w:tblCellMar>
        </w:tblPrEx>
        <w:trPr>
          <w:trHeight w:val="188"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394EF2CD">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第二章第16.4款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4BE5E1B">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采购项目预算</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2A72D792">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lang w:val="en-US" w:eastAsia="zh-CN"/>
              </w:rPr>
              <w:t>2636534.69</w:t>
            </w:r>
            <w:r>
              <w:rPr>
                <w:rFonts w:hint="eastAsia" w:ascii="新宋体" w:hAnsi="新宋体" w:eastAsia="新宋体" w:cs="新宋体"/>
                <w:color w:val="auto"/>
                <w:szCs w:val="21"/>
                <w:highlight w:val="none"/>
              </w:rPr>
              <w:t>元（人民币）</w:t>
            </w:r>
          </w:p>
        </w:tc>
      </w:tr>
      <w:tr w14:paraId="20E16FD5">
        <w:tblPrEx>
          <w:tblCellMar>
            <w:top w:w="0" w:type="dxa"/>
            <w:left w:w="0" w:type="dxa"/>
            <w:bottom w:w="0" w:type="dxa"/>
            <w:right w:w="0" w:type="dxa"/>
          </w:tblCellMar>
        </w:tblPrEx>
        <w:trPr>
          <w:trHeight w:val="275"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56CDE6CC">
            <w:pPr>
              <w:snapToGrid w:val="0"/>
              <w:spacing w:line="360" w:lineRule="exact"/>
              <w:jc w:val="center"/>
              <w:rPr>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第二章第17.3款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92E6226">
            <w:pPr>
              <w:snapToGrid w:val="0"/>
              <w:spacing w:line="36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非制造商的证明文件</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2080D7B">
            <w:pPr>
              <w:snapToGrid w:val="0"/>
              <w:spacing w:line="360" w:lineRule="exact"/>
              <w:rPr>
                <w:rStyle w:val="24"/>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■不要求提供</w:t>
            </w:r>
          </w:p>
          <w:p w14:paraId="37DE214D">
            <w:pPr>
              <w:snapToGrid w:val="0"/>
              <w:spacing w:line="360" w:lineRule="exact"/>
              <w:rPr>
                <w:rStyle w:val="24"/>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  要求提供：（证明文件复印件须加盖供应商单位公章，否则视为无效响应。）</w:t>
            </w:r>
          </w:p>
          <w:p w14:paraId="196D9249">
            <w:pPr>
              <w:snapToGrid w:val="0"/>
              <w:spacing w:line="360" w:lineRule="exact"/>
              <w:rPr>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经销、或代理投标货物、或为投标货物提供售后服务的证明文件。</w:t>
            </w:r>
          </w:p>
        </w:tc>
      </w:tr>
      <w:tr w14:paraId="72A8A137">
        <w:tblPrEx>
          <w:tblCellMar>
            <w:top w:w="0" w:type="dxa"/>
            <w:left w:w="0" w:type="dxa"/>
            <w:bottom w:w="0" w:type="dxa"/>
            <w:right w:w="0" w:type="dxa"/>
          </w:tblCellMar>
        </w:tblPrEx>
        <w:trPr>
          <w:trHeight w:val="44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545E24C2">
            <w:pPr>
              <w:snapToGrid w:val="0"/>
              <w:spacing w:line="360" w:lineRule="exact"/>
              <w:jc w:val="center"/>
              <w:rPr>
                <w:rStyle w:val="24"/>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第二章第18.1款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8405A5F">
            <w:pPr>
              <w:snapToGrid w:val="0"/>
              <w:spacing w:line="360" w:lineRule="exact"/>
              <w:rPr>
                <w:rStyle w:val="24"/>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样品提供及样品提交的时间、地点</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C73198D">
            <w:pPr>
              <w:snapToGrid w:val="0"/>
              <w:spacing w:line="360" w:lineRule="exact"/>
              <w:rPr>
                <w:rStyle w:val="24"/>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 不要求提供</w:t>
            </w:r>
          </w:p>
          <w:p w14:paraId="07FED500">
            <w:pPr>
              <w:snapToGrid w:val="0"/>
              <w:spacing w:line="360" w:lineRule="exact"/>
              <w:rPr>
                <w:rStyle w:val="24"/>
                <w:rFonts w:ascii="新宋体" w:hAnsi="新宋体" w:eastAsia="新宋体" w:cs="新宋体"/>
                <w:color w:val="auto"/>
                <w:szCs w:val="21"/>
                <w:highlight w:val="none"/>
              </w:rPr>
            </w:pPr>
            <w:r>
              <w:rPr>
                <w:rStyle w:val="24"/>
                <w:rFonts w:hint="eastAsia" w:ascii="新宋体" w:hAnsi="新宋体" w:eastAsia="新宋体" w:cs="新宋体"/>
                <w:color w:val="auto"/>
                <w:szCs w:val="21"/>
                <w:highlight w:val="none"/>
              </w:rPr>
              <w:t>□ 要求提供，提交的样品</w:t>
            </w:r>
            <w:r>
              <w:rPr>
                <w:rStyle w:val="24"/>
                <w:rFonts w:hint="eastAsia" w:ascii="新宋体" w:hAnsi="新宋体" w:eastAsia="新宋体" w:cs="新宋体"/>
                <w:color w:val="auto"/>
                <w:szCs w:val="21"/>
                <w:highlight w:val="none"/>
                <w:lang w:eastAsia="zh-CN"/>
              </w:rPr>
              <w:t>：</w:t>
            </w:r>
            <w:r>
              <w:rPr>
                <w:rStyle w:val="24"/>
                <w:rFonts w:hint="eastAsia" w:ascii="新宋体" w:hAnsi="新宋体" w:eastAsia="新宋体" w:cs="新宋体"/>
                <w:color w:val="auto"/>
                <w:szCs w:val="21"/>
                <w:highlight w:val="none"/>
                <w:u w:val="single"/>
              </w:rPr>
              <w:t xml:space="preserve">       </w:t>
            </w:r>
            <w:r>
              <w:rPr>
                <w:rStyle w:val="24"/>
                <w:rFonts w:hint="eastAsia" w:ascii="新宋体" w:hAnsi="新宋体" w:eastAsia="新宋体" w:cs="新宋体"/>
                <w:color w:val="auto"/>
                <w:szCs w:val="21"/>
                <w:highlight w:val="none"/>
                <w:u w:val="single"/>
                <w:lang w:eastAsia="zh-CN"/>
              </w:rPr>
              <w:t>，</w:t>
            </w:r>
            <w:r>
              <w:rPr>
                <w:rStyle w:val="24"/>
                <w:rFonts w:hint="eastAsia" w:ascii="新宋体" w:hAnsi="新宋体" w:eastAsia="新宋体" w:cs="新宋体"/>
                <w:color w:val="auto"/>
                <w:szCs w:val="21"/>
                <w:highlight w:val="none"/>
              </w:rPr>
              <w:t>提交的时间：</w:t>
            </w:r>
            <w:r>
              <w:rPr>
                <w:rStyle w:val="24"/>
                <w:rFonts w:hint="eastAsia" w:ascii="新宋体" w:hAnsi="新宋体" w:eastAsia="新宋体" w:cs="新宋体"/>
                <w:color w:val="auto"/>
                <w:szCs w:val="21"/>
                <w:highlight w:val="none"/>
                <w:u w:val="single"/>
              </w:rPr>
              <w:t xml:space="preserve">           </w:t>
            </w:r>
            <w:r>
              <w:rPr>
                <w:rStyle w:val="24"/>
                <w:rFonts w:hint="eastAsia" w:ascii="新宋体" w:hAnsi="新宋体" w:eastAsia="新宋体" w:cs="新宋体"/>
                <w:color w:val="auto"/>
                <w:szCs w:val="21"/>
                <w:highlight w:val="none"/>
              </w:rPr>
              <w:t xml:space="preserve"> 、地点</w:t>
            </w:r>
            <w:r>
              <w:rPr>
                <w:rStyle w:val="24"/>
                <w:rFonts w:hint="eastAsia" w:ascii="新宋体" w:hAnsi="新宋体" w:eastAsia="新宋体" w:cs="新宋体"/>
                <w:color w:val="auto"/>
                <w:szCs w:val="21"/>
                <w:highlight w:val="none"/>
                <w:lang w:eastAsia="zh-CN"/>
              </w:rPr>
              <w:t>：</w:t>
            </w:r>
            <w:r>
              <w:rPr>
                <w:rStyle w:val="24"/>
                <w:rFonts w:hint="eastAsia" w:ascii="新宋体" w:hAnsi="新宋体" w:eastAsia="新宋体" w:cs="新宋体"/>
                <w:color w:val="auto"/>
                <w:szCs w:val="21"/>
                <w:highlight w:val="none"/>
                <w:u w:val="single"/>
              </w:rPr>
              <w:t xml:space="preserve">               </w:t>
            </w:r>
            <w:r>
              <w:rPr>
                <w:rStyle w:val="24"/>
                <w:rFonts w:hint="eastAsia" w:ascii="新宋体" w:hAnsi="新宋体" w:eastAsia="新宋体" w:cs="新宋体"/>
                <w:color w:val="auto"/>
                <w:szCs w:val="21"/>
                <w:highlight w:val="none"/>
              </w:rPr>
              <w:t xml:space="preserve"> 。</w:t>
            </w:r>
          </w:p>
        </w:tc>
      </w:tr>
      <w:tr w14:paraId="0376B81C">
        <w:tblPrEx>
          <w:tblCellMar>
            <w:top w:w="0" w:type="dxa"/>
            <w:left w:w="0" w:type="dxa"/>
            <w:bottom w:w="0" w:type="dxa"/>
            <w:right w:w="0" w:type="dxa"/>
          </w:tblCellMar>
        </w:tblPrEx>
        <w:trPr>
          <w:trHeight w:val="561"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16882D45">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第二章第17.1款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3A6ED91">
            <w:pPr>
              <w:snapToGrid w:val="0"/>
              <w:spacing w:before="62" w:after="62" w:line="220" w:lineRule="atLeast"/>
              <w:ind w:left="-533" w:firstLine="533"/>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磋商保证金</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701F979">
            <w:pPr>
              <w:spacing w:line="440" w:lineRule="exact"/>
              <w:rPr>
                <w:color w:val="auto"/>
                <w:highlight w:val="none"/>
              </w:rPr>
            </w:pPr>
            <w:r>
              <w:rPr>
                <w:rStyle w:val="24"/>
                <w:rFonts w:hint="eastAsia" w:ascii="新宋体" w:hAnsi="新宋体" w:eastAsia="新宋体" w:cs="新宋体"/>
                <w:color w:val="auto"/>
                <w:szCs w:val="21"/>
                <w:highlight w:val="none"/>
              </w:rPr>
              <w:t>■</w:t>
            </w:r>
            <w:r>
              <w:rPr>
                <w:rFonts w:hint="eastAsia"/>
                <w:color w:val="auto"/>
                <w:highlight w:val="none"/>
              </w:rPr>
              <w:t xml:space="preserve"> 不要求提供</w:t>
            </w:r>
          </w:p>
          <w:p w14:paraId="7404CD28">
            <w:pPr>
              <w:spacing w:line="440" w:lineRule="exact"/>
              <w:rPr>
                <w:color w:val="auto"/>
                <w:highlight w:val="none"/>
              </w:rPr>
            </w:pPr>
            <w:r>
              <w:rPr>
                <w:rFonts w:hint="eastAsia"/>
                <w:color w:val="auto"/>
                <w:highlight w:val="none"/>
                <w:lang w:eastAsia="zh-CN"/>
              </w:rPr>
              <w:t>□</w:t>
            </w:r>
            <w:r>
              <w:rPr>
                <w:rStyle w:val="24"/>
                <w:rFonts w:hint="eastAsia" w:ascii="新宋体" w:hAnsi="新宋体" w:eastAsia="新宋体" w:cs="新宋体"/>
                <w:color w:val="auto"/>
                <w:szCs w:val="21"/>
                <w:highlight w:val="none"/>
              </w:rPr>
              <w:t xml:space="preserve"> </w:t>
            </w:r>
            <w:r>
              <w:rPr>
                <w:rFonts w:hint="eastAsia"/>
                <w:color w:val="auto"/>
                <w:highlight w:val="none"/>
              </w:rPr>
              <w:t> 要求提供</w:t>
            </w:r>
          </w:p>
          <w:p w14:paraId="5C82EC13">
            <w:pPr>
              <w:spacing w:line="440" w:lineRule="exact"/>
              <w:jc w:val="left"/>
              <w:rPr>
                <w:rFonts w:hint="default"/>
                <w:color w:val="auto"/>
                <w:highlight w:val="none"/>
                <w:lang w:val="en-US"/>
              </w:rPr>
            </w:pPr>
            <w:r>
              <w:rPr>
                <w:rFonts w:hint="eastAsia"/>
                <w:color w:val="auto"/>
                <w:highlight w:val="none"/>
              </w:rPr>
              <w:t>1、投标保证金数额：人民币</w:t>
            </w:r>
            <w:r>
              <w:rPr>
                <w:rFonts w:hint="eastAsia"/>
                <w:color w:val="auto"/>
                <w:highlight w:val="none"/>
                <w:lang w:val="en-US" w:eastAsia="zh-CN"/>
              </w:rPr>
              <w:t xml:space="preserve"> /</w:t>
            </w:r>
          </w:p>
          <w:p w14:paraId="6416D258">
            <w:pPr>
              <w:spacing w:line="440" w:lineRule="exact"/>
              <w:rPr>
                <w:rFonts w:ascii="宋体" w:hAnsi="宋体" w:cs="宋体"/>
                <w:color w:val="auto"/>
                <w:szCs w:val="21"/>
                <w:highlight w:val="none"/>
              </w:rPr>
            </w:pPr>
            <w:r>
              <w:rPr>
                <w:rFonts w:hint="eastAsia"/>
                <w:color w:val="auto"/>
                <w:highlight w:val="none"/>
              </w:rPr>
              <w:t>2、缴纳</w:t>
            </w:r>
            <w:r>
              <w:rPr>
                <w:rFonts w:hint="eastAsia" w:ascii="宋体" w:hAnsi="宋体" w:cs="宋体"/>
                <w:color w:val="auto"/>
                <w:szCs w:val="21"/>
                <w:highlight w:val="none"/>
              </w:rPr>
              <w:t>方式：保证金要求以银行电汇、</w:t>
            </w:r>
            <w:r>
              <w:rPr>
                <w:rFonts w:hint="eastAsia" w:ascii="宋体" w:hAnsi="宋体" w:cs="宋体"/>
                <w:color w:val="auto"/>
                <w:szCs w:val="21"/>
                <w:highlight w:val="none"/>
                <w:lang w:eastAsia="zh-CN"/>
              </w:rPr>
              <w:t>转账等</w:t>
            </w:r>
            <w:r>
              <w:rPr>
                <w:rFonts w:hint="eastAsia" w:ascii="宋体" w:hAnsi="宋体" w:cs="宋体"/>
                <w:color w:val="auto"/>
                <w:szCs w:val="21"/>
                <w:highlight w:val="none"/>
              </w:rPr>
              <w:t>非现金方式提交</w:t>
            </w:r>
            <w:r>
              <w:rPr>
                <w:rFonts w:hint="eastAsia" w:ascii="宋体" w:hAnsi="宋体" w:cs="宋体"/>
                <w:color w:val="auto"/>
                <w:szCs w:val="21"/>
                <w:highlight w:val="none"/>
                <w:lang w:eastAsia="zh-CN"/>
              </w:rPr>
              <w:t>，</w:t>
            </w:r>
            <w:r>
              <w:rPr>
                <w:rFonts w:hint="eastAsia" w:ascii="宋体" w:hAnsi="宋体" w:cs="宋体"/>
                <w:color w:val="auto"/>
                <w:szCs w:val="21"/>
                <w:highlight w:val="none"/>
              </w:rPr>
              <w:t>要求在投标</w:t>
            </w:r>
            <w:r>
              <w:rPr>
                <w:rFonts w:hint="eastAsia" w:ascii="宋体" w:hAnsi="宋体" w:cs="宋体"/>
                <w:color w:val="auto"/>
                <w:szCs w:val="21"/>
                <w:highlight w:val="none"/>
                <w:lang w:eastAsia="zh-CN"/>
              </w:rPr>
              <w:t>截止时间</w:t>
            </w:r>
            <w:r>
              <w:rPr>
                <w:rFonts w:hint="eastAsia" w:ascii="宋体" w:hAnsi="宋体" w:cs="宋体"/>
                <w:color w:val="auto"/>
                <w:szCs w:val="21"/>
                <w:highlight w:val="none"/>
              </w:rPr>
              <w:t>前从各投标单位基本账户</w:t>
            </w:r>
            <w:r>
              <w:rPr>
                <w:rFonts w:hint="eastAsia" w:ascii="宋体" w:hAnsi="宋体" w:cs="宋体"/>
                <w:color w:val="auto"/>
                <w:szCs w:val="21"/>
                <w:highlight w:val="none"/>
                <w:lang w:eastAsia="zh-CN"/>
              </w:rPr>
              <w:t>转账</w:t>
            </w:r>
            <w:r>
              <w:rPr>
                <w:rFonts w:hint="eastAsia" w:ascii="宋体" w:hAnsi="宋体" w:cs="宋体"/>
                <w:color w:val="auto"/>
                <w:szCs w:val="21"/>
                <w:highlight w:val="none"/>
              </w:rPr>
              <w:t>并到</w:t>
            </w:r>
            <w:r>
              <w:rPr>
                <w:rFonts w:hint="eastAsia" w:ascii="宋体" w:hAnsi="宋体" w:cs="宋体"/>
                <w:color w:val="auto"/>
                <w:szCs w:val="21"/>
                <w:highlight w:val="none"/>
                <w:lang w:eastAsia="zh-CN"/>
              </w:rPr>
              <w:t>账</w:t>
            </w:r>
            <w:r>
              <w:rPr>
                <w:rFonts w:hint="eastAsia" w:ascii="宋体" w:hAnsi="宋体" w:cs="宋体"/>
                <w:color w:val="auto"/>
                <w:szCs w:val="21"/>
                <w:highlight w:val="none"/>
              </w:rPr>
              <w:t>投标保证金托管账户，在进账单用途栏或备注栏中注明所投标的项目名称（或项目编号），否则将被认定为没有提交投标保证金。</w:t>
            </w:r>
          </w:p>
          <w:p w14:paraId="2D02110C">
            <w:pPr>
              <w:rPr>
                <w:rFonts w:ascii="宋体" w:hAnsi="宋体" w:cs="宋体"/>
                <w:color w:val="auto"/>
                <w:szCs w:val="21"/>
                <w:highlight w:val="none"/>
              </w:rPr>
            </w:pPr>
            <w:r>
              <w:rPr>
                <w:rFonts w:hint="eastAsia" w:ascii="宋体" w:hAnsi="宋体" w:cs="宋体"/>
                <w:color w:val="auto"/>
                <w:szCs w:val="21"/>
                <w:highlight w:val="none"/>
              </w:rPr>
              <w:t>3、保证金账号：</w:t>
            </w:r>
          </w:p>
          <w:p w14:paraId="00B83DC3">
            <w:pPr>
              <w:pStyle w:val="11"/>
              <w:adjustRightInd w:val="0"/>
              <w:snapToGrid w:val="0"/>
              <w:spacing w:line="360" w:lineRule="auto"/>
              <w:jc w:val="left"/>
              <w:rPr>
                <w:rFonts w:hint="eastAsia" w:hAnsi="宋体"/>
                <w:color w:val="auto"/>
                <w:highlight w:val="none"/>
                <w:u w:val="single"/>
                <w:lang w:val="en-US" w:eastAsia="zh-CN"/>
              </w:rPr>
            </w:pPr>
            <w:r>
              <w:rPr>
                <w:rFonts w:hint="eastAsia" w:hAnsi="宋体" w:cs="宋体"/>
                <w:color w:val="auto"/>
                <w:highlight w:val="none"/>
              </w:rPr>
              <w:t>保证金汇至</w:t>
            </w:r>
            <w:r>
              <w:rPr>
                <w:rFonts w:hint="eastAsia" w:hAnsi="宋体" w:cs="宋体"/>
                <w:color w:val="auto"/>
                <w:highlight w:val="none"/>
                <w:lang w:eastAsia="zh-CN"/>
              </w:rPr>
              <w:t>：</w:t>
            </w:r>
          </w:p>
          <w:p w14:paraId="01DEACD1">
            <w:pPr>
              <w:pStyle w:val="11"/>
              <w:adjustRightInd w:val="0"/>
              <w:snapToGrid w:val="0"/>
              <w:spacing w:line="360" w:lineRule="auto"/>
              <w:jc w:val="left"/>
              <w:rPr>
                <w:rFonts w:hint="eastAsia" w:hAnsi="宋体" w:eastAsia="宋体" w:cs="宋体"/>
                <w:color w:val="auto"/>
                <w:highlight w:val="none"/>
                <w:lang w:eastAsia="zh-CN"/>
              </w:rPr>
            </w:pPr>
            <w:r>
              <w:rPr>
                <w:rFonts w:hint="eastAsia" w:hAnsi="宋体" w:cs="宋体"/>
                <w:color w:val="auto"/>
                <w:highlight w:val="none"/>
              </w:rPr>
              <w:t>开 户 行</w:t>
            </w:r>
            <w:r>
              <w:rPr>
                <w:rFonts w:hint="eastAsia" w:hAnsi="宋体" w:cs="宋体"/>
                <w:color w:val="auto"/>
                <w:highlight w:val="none"/>
                <w:lang w:eastAsia="zh-CN"/>
              </w:rPr>
              <w:t>：</w:t>
            </w:r>
          </w:p>
          <w:p w14:paraId="01E985E4">
            <w:pPr>
              <w:pStyle w:val="11"/>
              <w:adjustRightInd w:val="0"/>
              <w:snapToGrid w:val="0"/>
              <w:spacing w:line="360" w:lineRule="auto"/>
              <w:jc w:val="left"/>
              <w:rPr>
                <w:rFonts w:hint="eastAsia" w:hAnsi="宋体" w:eastAsia="宋体" w:cs="宋体"/>
                <w:color w:val="auto"/>
                <w:highlight w:val="none"/>
                <w:u w:val="single"/>
                <w:lang w:val="en-US" w:eastAsia="zh-CN"/>
              </w:rPr>
            </w:pPr>
            <w:r>
              <w:rPr>
                <w:rFonts w:hint="eastAsia" w:hAnsi="宋体" w:cs="宋体"/>
                <w:color w:val="auto"/>
                <w:highlight w:val="none"/>
                <w:lang w:eastAsia="zh-CN"/>
              </w:rPr>
              <w:t>银行账号：</w:t>
            </w:r>
          </w:p>
          <w:p w14:paraId="1897FB2C">
            <w:pPr>
              <w:snapToGrid w:val="0"/>
              <w:spacing w:before="31" w:after="31" w:line="220" w:lineRule="atLeast"/>
              <w:rPr>
                <w:rFonts w:ascii="新宋体" w:hAnsi="新宋体" w:eastAsia="新宋体" w:cs="新宋体"/>
                <w:b/>
                <w:color w:val="auto"/>
                <w:szCs w:val="21"/>
                <w:highlight w:val="none"/>
                <w:u w:val="single"/>
              </w:rPr>
            </w:pPr>
            <w:r>
              <w:rPr>
                <w:rFonts w:hint="eastAsia" w:hAnsi="宋体" w:cs="宋体"/>
                <w:color w:val="auto"/>
                <w:highlight w:val="none"/>
              </w:rPr>
              <w:t>4、注明项目名称。</w:t>
            </w:r>
            <w:r>
              <w:rPr>
                <w:rFonts w:hint="eastAsia" w:hAnsi="宋体" w:cs="宋体"/>
                <w:color w:val="auto"/>
                <w:kern w:val="0"/>
                <w:highlight w:val="none"/>
              </w:rPr>
              <w:t>（★）</w:t>
            </w:r>
          </w:p>
        </w:tc>
      </w:tr>
      <w:tr w14:paraId="64C4804C">
        <w:tblPrEx>
          <w:tblCellMar>
            <w:top w:w="0" w:type="dxa"/>
            <w:left w:w="0" w:type="dxa"/>
            <w:bottom w:w="0" w:type="dxa"/>
            <w:right w:w="0" w:type="dxa"/>
          </w:tblCellMar>
        </w:tblPrEx>
        <w:trPr>
          <w:trHeight w:val="9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3FCF5D88">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第二章第18.1款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FD2FF2F">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响应文件有效期</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476C301E">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u w:val="single"/>
              </w:rPr>
              <w:t>90</w:t>
            </w:r>
            <w:r>
              <w:rPr>
                <w:rFonts w:hint="eastAsia" w:ascii="新宋体" w:hAnsi="新宋体" w:eastAsia="新宋体" w:cs="新宋体"/>
                <w:color w:val="auto"/>
                <w:szCs w:val="21"/>
                <w:highlight w:val="none"/>
              </w:rPr>
              <w:t>天</w:t>
            </w:r>
            <w:r>
              <w:rPr>
                <w:rFonts w:hint="eastAsia" w:ascii="新宋体" w:hAnsi="新宋体" w:eastAsia="新宋体" w:cs="新宋体"/>
                <w:color w:val="auto"/>
                <w:szCs w:val="21"/>
                <w:highlight w:val="none"/>
                <w:lang w:eastAsia="zh-CN"/>
              </w:rPr>
              <w:t>（</w:t>
            </w:r>
            <w:r>
              <w:rPr>
                <w:rFonts w:hint="eastAsia" w:ascii="新宋体" w:hAnsi="新宋体" w:eastAsia="新宋体" w:cs="新宋体"/>
                <w:color w:val="auto"/>
                <w:szCs w:val="21"/>
                <w:highlight w:val="none"/>
              </w:rPr>
              <w:t>日历日</w:t>
            </w:r>
            <w:r>
              <w:rPr>
                <w:rFonts w:hint="eastAsia" w:ascii="新宋体" w:hAnsi="新宋体" w:eastAsia="新宋体" w:cs="新宋体"/>
                <w:color w:val="auto"/>
                <w:szCs w:val="21"/>
                <w:highlight w:val="none"/>
                <w:lang w:eastAsia="zh-CN"/>
              </w:rPr>
              <w:t>）</w:t>
            </w:r>
          </w:p>
        </w:tc>
      </w:tr>
      <w:tr w14:paraId="0A49FC56">
        <w:tblPrEx>
          <w:tblCellMar>
            <w:top w:w="0" w:type="dxa"/>
            <w:left w:w="0" w:type="dxa"/>
            <w:bottom w:w="0" w:type="dxa"/>
            <w:right w:w="0" w:type="dxa"/>
          </w:tblCellMar>
        </w:tblPrEx>
        <w:trPr>
          <w:trHeight w:val="1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1CE534AA">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第二章第19.1款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90E8F9D">
            <w:pPr>
              <w:snapToGrid w:val="0"/>
              <w:spacing w:line="340" w:lineRule="exac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响应文件份数</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04E72D8E">
            <w:pPr>
              <w:snapToGrid w:val="0"/>
              <w:spacing w:line="34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正本壹份、副本贰份，采用胶装方式装订，电子文档1份（U盘）</w:t>
            </w:r>
          </w:p>
        </w:tc>
      </w:tr>
      <w:tr w14:paraId="5326FDA2">
        <w:tblPrEx>
          <w:tblCellMar>
            <w:top w:w="0" w:type="dxa"/>
            <w:left w:w="0" w:type="dxa"/>
            <w:bottom w:w="0" w:type="dxa"/>
            <w:right w:w="0" w:type="dxa"/>
          </w:tblCellMar>
        </w:tblPrEx>
        <w:trPr>
          <w:trHeight w:val="3"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321CC6DC">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四、响应文件的递交</w:t>
            </w:r>
          </w:p>
        </w:tc>
      </w:tr>
      <w:tr w14:paraId="3DDD2E36">
        <w:tblPrEx>
          <w:tblCellMar>
            <w:top w:w="0" w:type="dxa"/>
            <w:left w:w="0" w:type="dxa"/>
            <w:bottom w:w="0" w:type="dxa"/>
            <w:right w:w="0" w:type="dxa"/>
          </w:tblCellMar>
        </w:tblPrEx>
        <w:trPr>
          <w:trHeight w:val="2128"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28FC206B">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第二章第20.2款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148953F">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封套上应载明的信息</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10961B5F">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u w:val="single"/>
                <w:lang w:eastAsia="zh-CN"/>
              </w:rPr>
              <w:t>张家界市原警卫处综合楼维修改造项目</w:t>
            </w:r>
            <w:r>
              <w:rPr>
                <w:rFonts w:hint="eastAsia" w:ascii="新宋体" w:hAnsi="新宋体" w:eastAsia="新宋体" w:cs="新宋体"/>
                <w:color w:val="auto"/>
                <w:szCs w:val="21"/>
                <w:highlight w:val="none"/>
              </w:rPr>
              <w:t>（竞争性磋商响应文件）</w:t>
            </w:r>
          </w:p>
          <w:p w14:paraId="0C745C7E">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lang w:eastAsia="zh-CN"/>
              </w:rPr>
              <w:t>采购项目编号</w:t>
            </w:r>
            <w:r>
              <w:rPr>
                <w:rFonts w:hint="eastAsia" w:ascii="新宋体" w:hAnsi="新宋体" w:eastAsia="新宋体" w:cs="新宋体"/>
                <w:color w:val="auto"/>
                <w:szCs w:val="21"/>
                <w:highlight w:val="none"/>
              </w:rPr>
              <w:t>：</w:t>
            </w:r>
            <w:r>
              <w:rPr>
                <w:rFonts w:hint="eastAsia" w:ascii="新宋体" w:hAnsi="新宋体" w:eastAsia="新宋体" w:cs="新宋体"/>
                <w:color w:val="auto"/>
                <w:szCs w:val="21"/>
                <w:highlight w:val="none"/>
                <w:lang w:val="en-US" w:eastAsia="zh-CN"/>
              </w:rPr>
              <w:t xml:space="preserve">    </w:t>
            </w:r>
            <w:r>
              <w:rPr>
                <w:rFonts w:hint="eastAsia" w:ascii="新宋体" w:hAnsi="新宋体" w:eastAsia="新宋体" w:cs="新宋体"/>
                <w:color w:val="auto"/>
                <w:szCs w:val="21"/>
                <w:highlight w:val="none"/>
              </w:rPr>
              <w:t xml:space="preserve">       </w:t>
            </w:r>
          </w:p>
          <w:p w14:paraId="594A3893">
            <w:pPr>
              <w:snapToGrid w:val="0"/>
              <w:spacing w:before="62" w:after="62" w:line="220" w:lineRule="atLeast"/>
              <w:rPr>
                <w:rFonts w:hint="default" w:ascii="新宋体" w:hAnsi="新宋体" w:eastAsia="宋体" w:cs="新宋体"/>
                <w:color w:val="auto"/>
                <w:szCs w:val="21"/>
                <w:highlight w:val="none"/>
                <w:u w:val="single"/>
                <w:lang w:val="en-US" w:eastAsia="zh-CN"/>
              </w:rPr>
            </w:pPr>
            <w:r>
              <w:rPr>
                <w:rFonts w:hint="eastAsia"/>
                <w:color w:val="auto"/>
                <w:highlight w:val="none"/>
              </w:rPr>
              <w:t>代理机构编号：</w:t>
            </w:r>
            <w:r>
              <w:rPr>
                <w:rFonts w:hint="eastAsia"/>
                <w:color w:val="auto"/>
                <w:highlight w:val="none"/>
                <w:u w:val="single"/>
                <w:lang w:val="en-US" w:eastAsia="zh-CN"/>
              </w:rPr>
              <w:t xml:space="preserve">        </w:t>
            </w:r>
            <w:r>
              <w:rPr>
                <w:rFonts w:hint="eastAsia" w:asciiTheme="minorEastAsia" w:hAnsiTheme="minorEastAsia" w:eastAsiaTheme="minorEastAsia"/>
                <w:color w:val="auto"/>
                <w:highlight w:val="none"/>
                <w:u w:val="single"/>
                <w:lang w:val="en-US" w:eastAsia="zh-CN"/>
              </w:rPr>
              <w:t xml:space="preserve"> </w:t>
            </w:r>
          </w:p>
          <w:p w14:paraId="4EC173C8">
            <w:pPr>
              <w:tabs>
                <w:tab w:val="left" w:pos="2063"/>
              </w:tabs>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供应商名称：</w:t>
            </w:r>
            <w:r>
              <w:rPr>
                <w:rFonts w:hint="eastAsia" w:ascii="新宋体" w:hAnsi="新宋体" w:eastAsia="新宋体" w:cs="新宋体"/>
                <w:color w:val="auto"/>
                <w:szCs w:val="21"/>
                <w:highlight w:val="none"/>
                <w:u w:val="single"/>
              </w:rPr>
              <w:tab/>
            </w:r>
            <w:r>
              <w:rPr>
                <w:rFonts w:hint="eastAsia" w:ascii="新宋体" w:hAnsi="新宋体" w:eastAsia="新宋体" w:cs="新宋体"/>
                <w:color w:val="auto"/>
                <w:szCs w:val="21"/>
                <w:highlight w:val="none"/>
                <w:u w:val="single"/>
              </w:rPr>
              <w:t xml:space="preserve">      </w:t>
            </w:r>
          </w:p>
          <w:p w14:paraId="63B9667D">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在</w:t>
            </w:r>
            <w:r>
              <w:rPr>
                <w:rFonts w:hint="eastAsia" w:ascii="新宋体" w:hAnsi="新宋体" w:eastAsia="新宋体" w:cs="新宋体"/>
                <w:color w:val="auto"/>
                <w:szCs w:val="21"/>
                <w:highlight w:val="none"/>
                <w:u w:val="single"/>
                <w:lang w:val="en-US" w:eastAsia="zh-CN"/>
              </w:rPr>
              <w:t xml:space="preserve">     </w:t>
            </w:r>
            <w:r>
              <w:rPr>
                <w:rFonts w:hint="eastAsia" w:ascii="新宋体" w:hAnsi="新宋体" w:eastAsia="新宋体" w:cs="新宋体"/>
                <w:color w:val="auto"/>
                <w:szCs w:val="21"/>
                <w:highlight w:val="none"/>
                <w:u w:val="single"/>
              </w:rPr>
              <w:t>年</w:t>
            </w:r>
            <w:r>
              <w:rPr>
                <w:rFonts w:hint="eastAsia" w:ascii="新宋体" w:hAnsi="新宋体" w:eastAsia="新宋体" w:cs="新宋体"/>
                <w:color w:val="auto"/>
                <w:szCs w:val="21"/>
                <w:highlight w:val="none"/>
                <w:u w:val="single"/>
                <w:lang w:val="en-US" w:eastAsia="zh-CN"/>
              </w:rPr>
              <w:t xml:space="preserve">   </w:t>
            </w:r>
            <w:r>
              <w:rPr>
                <w:rFonts w:hint="eastAsia" w:ascii="新宋体" w:hAnsi="新宋体" w:eastAsia="新宋体" w:cs="新宋体"/>
                <w:color w:val="auto"/>
                <w:szCs w:val="21"/>
                <w:highlight w:val="none"/>
                <w:u w:val="single"/>
              </w:rPr>
              <w:t>月</w:t>
            </w:r>
            <w:r>
              <w:rPr>
                <w:rFonts w:hint="eastAsia" w:ascii="新宋体" w:hAnsi="新宋体" w:eastAsia="新宋体" w:cs="新宋体"/>
                <w:color w:val="auto"/>
                <w:szCs w:val="21"/>
                <w:highlight w:val="none"/>
                <w:u w:val="single"/>
                <w:lang w:val="en-US" w:eastAsia="zh-CN"/>
              </w:rPr>
              <w:t xml:space="preserve">    </w:t>
            </w:r>
            <w:r>
              <w:rPr>
                <w:rFonts w:hint="eastAsia" w:ascii="新宋体" w:hAnsi="新宋体" w:eastAsia="新宋体" w:cs="新宋体"/>
                <w:color w:val="auto"/>
                <w:szCs w:val="21"/>
                <w:highlight w:val="none"/>
                <w:u w:val="single"/>
              </w:rPr>
              <w:t>日</w:t>
            </w:r>
            <w:r>
              <w:rPr>
                <w:rFonts w:hint="eastAsia" w:ascii="新宋体" w:hAnsi="新宋体" w:eastAsia="新宋体" w:cs="新宋体"/>
                <w:color w:val="auto"/>
                <w:szCs w:val="21"/>
                <w:highlight w:val="none"/>
                <w:u w:val="single"/>
                <w:lang w:val="en-US" w:eastAsia="zh-CN"/>
              </w:rPr>
              <w:t xml:space="preserve">  </w:t>
            </w:r>
            <w:r>
              <w:rPr>
                <w:rFonts w:hint="eastAsia" w:ascii="新宋体" w:hAnsi="新宋体" w:eastAsia="新宋体" w:cs="新宋体"/>
                <w:color w:val="auto"/>
                <w:szCs w:val="21"/>
                <w:highlight w:val="none"/>
                <w:u w:val="single"/>
              </w:rPr>
              <w:t xml:space="preserve"> 时</w:t>
            </w:r>
            <w:r>
              <w:rPr>
                <w:rFonts w:hint="eastAsia" w:ascii="新宋体" w:hAnsi="新宋体" w:eastAsia="新宋体" w:cs="新宋体"/>
                <w:color w:val="auto"/>
                <w:szCs w:val="21"/>
                <w:highlight w:val="none"/>
                <w:u w:val="single"/>
                <w:lang w:val="en-US" w:eastAsia="zh-CN"/>
              </w:rPr>
              <w:t>00</w:t>
            </w:r>
            <w:r>
              <w:rPr>
                <w:rFonts w:hint="eastAsia" w:ascii="新宋体" w:hAnsi="新宋体" w:eastAsia="新宋体" w:cs="新宋体"/>
                <w:color w:val="auto"/>
                <w:szCs w:val="21"/>
                <w:highlight w:val="none"/>
                <w:u w:val="single"/>
              </w:rPr>
              <w:t xml:space="preserve"> 分</w:t>
            </w:r>
            <w:r>
              <w:rPr>
                <w:rFonts w:hint="eastAsia" w:ascii="新宋体" w:hAnsi="新宋体" w:eastAsia="新宋体" w:cs="新宋体"/>
                <w:color w:val="auto"/>
                <w:szCs w:val="21"/>
                <w:highlight w:val="none"/>
              </w:rPr>
              <w:t>之前不得启封</w:t>
            </w:r>
          </w:p>
        </w:tc>
      </w:tr>
      <w:tr w14:paraId="39563A81">
        <w:tblPrEx>
          <w:tblCellMar>
            <w:top w:w="0" w:type="dxa"/>
            <w:left w:w="0" w:type="dxa"/>
            <w:bottom w:w="0" w:type="dxa"/>
            <w:right w:w="0" w:type="dxa"/>
          </w:tblCellMar>
        </w:tblPrEx>
        <w:trPr>
          <w:trHeight w:val="10"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61CA2E15">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五、响应文件的磋商与评审</w:t>
            </w:r>
          </w:p>
        </w:tc>
      </w:tr>
      <w:tr w14:paraId="358092FC">
        <w:tblPrEx>
          <w:tblCellMar>
            <w:top w:w="0" w:type="dxa"/>
            <w:left w:w="0" w:type="dxa"/>
            <w:bottom w:w="0" w:type="dxa"/>
            <w:right w:w="0" w:type="dxa"/>
          </w:tblCellMar>
        </w:tblPrEx>
        <w:trPr>
          <w:trHeight w:val="1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358C8FF3">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第二章第29.6款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94B40FC">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评审因素和标准</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31859A0F">
            <w:pPr>
              <w:snapToGrid w:val="0"/>
              <w:spacing w:before="62" w:after="62" w:line="220" w:lineRule="atLeast"/>
              <w:rPr>
                <w:rFonts w:hint="eastAsia" w:ascii="新宋体" w:hAnsi="新宋体" w:eastAsia="新宋体" w:cs="新宋体"/>
                <w:color w:val="auto"/>
                <w:szCs w:val="21"/>
                <w:highlight w:val="none"/>
                <w:lang w:eastAsia="zh-CN"/>
              </w:rPr>
            </w:pPr>
            <w:r>
              <w:rPr>
                <w:rFonts w:hint="eastAsia" w:ascii="新宋体" w:hAnsi="新宋体" w:eastAsia="新宋体" w:cs="新宋体"/>
                <w:color w:val="auto"/>
                <w:szCs w:val="21"/>
                <w:highlight w:val="none"/>
              </w:rPr>
              <w:t>见附表</w:t>
            </w:r>
            <w:r>
              <w:rPr>
                <w:rFonts w:hint="eastAsia" w:ascii="新宋体" w:hAnsi="新宋体" w:eastAsia="新宋体" w:cs="新宋体"/>
                <w:color w:val="auto"/>
                <w:szCs w:val="21"/>
                <w:highlight w:val="none"/>
                <w:lang w:val="en-US" w:eastAsia="zh-CN"/>
              </w:rPr>
              <w:t>3</w:t>
            </w:r>
          </w:p>
        </w:tc>
      </w:tr>
      <w:tr w14:paraId="55BC63DC">
        <w:tblPrEx>
          <w:tblCellMar>
            <w:top w:w="0" w:type="dxa"/>
            <w:left w:w="0" w:type="dxa"/>
            <w:bottom w:w="0" w:type="dxa"/>
            <w:right w:w="0" w:type="dxa"/>
          </w:tblCellMar>
        </w:tblPrEx>
        <w:trPr>
          <w:trHeight w:val="532"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2FA42C8F">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六、成交结果信息公布与授予合同</w:t>
            </w:r>
          </w:p>
        </w:tc>
      </w:tr>
      <w:tr w14:paraId="3F42E32C">
        <w:tblPrEx>
          <w:tblCellMar>
            <w:top w:w="0" w:type="dxa"/>
            <w:left w:w="0" w:type="dxa"/>
            <w:bottom w:w="0" w:type="dxa"/>
            <w:right w:w="0" w:type="dxa"/>
          </w:tblCellMar>
        </w:tblPrEx>
        <w:trPr>
          <w:trHeight w:val="464"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54AECD4B">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第二章第35.1款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3120F39">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财政部门指定的媒体</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81E9933">
            <w:pPr>
              <w:snapToGrid w:val="0"/>
              <w:spacing w:line="360" w:lineRule="auto"/>
              <w:rPr>
                <w:rFonts w:ascii="新宋体" w:hAnsi="新宋体" w:eastAsia="新宋体" w:cs="新宋体"/>
                <w:color w:val="auto"/>
                <w:szCs w:val="21"/>
                <w:highlight w:val="none"/>
                <w:u w:val="single"/>
              </w:rPr>
            </w:pPr>
            <w:r>
              <w:rPr>
                <w:rFonts w:hint="eastAsia" w:ascii="新宋体" w:hAnsi="新宋体" w:eastAsia="新宋体" w:cs="新宋体"/>
                <w:color w:val="auto"/>
                <w:szCs w:val="21"/>
                <w:highlight w:val="none"/>
              </w:rPr>
              <w:t>中国湖南政府采购网</w:t>
            </w:r>
            <w:r>
              <w:rPr>
                <w:rFonts w:hint="eastAsia" w:ascii="新宋体" w:hAnsi="新宋体" w:eastAsia="新宋体" w:cs="新宋体"/>
                <w:color w:val="auto"/>
                <w:szCs w:val="21"/>
                <w:highlight w:val="none"/>
                <w:lang w:eastAsia="zh-CN"/>
              </w:rPr>
              <w:t>（</w:t>
            </w:r>
            <w:r>
              <w:rPr>
                <w:rFonts w:hint="eastAsia" w:ascii="新宋体" w:hAnsi="新宋体" w:eastAsia="新宋体" w:cs="新宋体"/>
                <w:color w:val="auto"/>
                <w:szCs w:val="21"/>
                <w:highlight w:val="none"/>
              </w:rPr>
              <w:t>www.ccgp-hunan.gov.cn</w:t>
            </w:r>
            <w:r>
              <w:rPr>
                <w:rFonts w:hint="eastAsia" w:ascii="新宋体" w:hAnsi="新宋体" w:eastAsia="新宋体" w:cs="新宋体"/>
                <w:color w:val="auto"/>
                <w:szCs w:val="21"/>
                <w:highlight w:val="none"/>
                <w:lang w:eastAsia="zh-CN"/>
              </w:rPr>
              <w:t>）</w:t>
            </w:r>
          </w:p>
        </w:tc>
      </w:tr>
      <w:tr w14:paraId="2D21A371">
        <w:tblPrEx>
          <w:tblCellMar>
            <w:top w:w="0" w:type="dxa"/>
            <w:left w:w="0" w:type="dxa"/>
            <w:bottom w:w="0" w:type="dxa"/>
            <w:right w:w="0" w:type="dxa"/>
          </w:tblCellMar>
        </w:tblPrEx>
        <w:trPr>
          <w:trHeight w:val="1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6E9A62AB">
            <w:pPr>
              <w:adjustRightInd w:val="0"/>
              <w:snapToGrid w:val="0"/>
              <w:spacing w:line="400" w:lineRule="exac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第二章第36.3款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DD75248">
            <w:pPr>
              <w:adjustRightInd w:val="0"/>
              <w:snapToGrid w:val="0"/>
              <w:spacing w:line="400" w:lineRule="exact"/>
              <w:jc w:val="left"/>
              <w:rPr>
                <w:rFonts w:ascii="新宋体" w:hAnsi="新宋体" w:eastAsia="新宋体" w:cs="新宋体"/>
                <w:color w:val="auto"/>
                <w:szCs w:val="21"/>
                <w:highlight w:val="none"/>
              </w:rPr>
            </w:pPr>
            <w:r>
              <w:rPr>
                <w:rFonts w:hint="eastAsia" w:ascii="宋体" w:hAnsi="宋体"/>
                <w:color w:val="auto"/>
                <w:szCs w:val="21"/>
                <w:highlight w:val="none"/>
              </w:rPr>
              <w:t>接收质疑函的联系部门、联系电话和通讯地址</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481D5992">
            <w:pPr>
              <w:adjustRightInd w:val="0"/>
              <w:snapToGrid w:val="0"/>
              <w:spacing w:line="400" w:lineRule="exact"/>
              <w:rPr>
                <w:rFonts w:hint="default" w:ascii="宋体" w:hAnsi="宋体" w:eastAsia="宋体"/>
                <w:color w:val="auto"/>
                <w:szCs w:val="21"/>
                <w:highlight w:val="none"/>
                <w:lang w:val="en-US" w:eastAsia="zh-CN"/>
              </w:rPr>
            </w:pPr>
            <w:r>
              <w:rPr>
                <w:rFonts w:hint="eastAsia" w:ascii="宋体" w:hAnsi="宋体"/>
                <w:color w:val="auto"/>
                <w:szCs w:val="21"/>
                <w:highlight w:val="none"/>
              </w:rPr>
              <w:t>联系人：</w:t>
            </w:r>
            <w:r>
              <w:rPr>
                <w:rFonts w:hint="eastAsia" w:ascii="宋体" w:hAnsi="宋体"/>
                <w:color w:val="auto"/>
                <w:szCs w:val="21"/>
                <w:highlight w:val="none"/>
                <w:lang w:val="en-US" w:eastAsia="zh-CN"/>
              </w:rPr>
              <w:t xml:space="preserve">谭女士   </w:t>
            </w:r>
          </w:p>
          <w:p w14:paraId="581479D5">
            <w:pPr>
              <w:adjustRightInd w:val="0"/>
              <w:snapToGrid w:val="0"/>
              <w:spacing w:line="400" w:lineRule="exact"/>
              <w:rPr>
                <w:rFonts w:hint="eastAsia" w:ascii="宋体" w:hAnsi="宋体" w:eastAsia="宋体"/>
                <w:color w:val="auto"/>
                <w:szCs w:val="21"/>
                <w:highlight w:val="none"/>
                <w:lang w:eastAsia="zh-CN"/>
              </w:rPr>
            </w:pPr>
            <w:r>
              <w:rPr>
                <w:rFonts w:hint="eastAsia" w:ascii="宋体" w:hAnsi="宋体"/>
                <w:color w:val="auto"/>
                <w:szCs w:val="21"/>
                <w:highlight w:val="none"/>
              </w:rPr>
              <w:t>电话：</w:t>
            </w:r>
            <w:r>
              <w:rPr>
                <w:rFonts w:hint="eastAsia" w:ascii="宋体" w:hAnsi="宋体"/>
                <w:color w:val="auto"/>
                <w:szCs w:val="21"/>
                <w:highlight w:val="none"/>
                <w:lang w:val="en-US" w:eastAsia="zh-CN"/>
              </w:rPr>
              <w:t xml:space="preserve">18807444404 </w:t>
            </w:r>
          </w:p>
          <w:p w14:paraId="337E9E0F">
            <w:pPr>
              <w:adjustRightInd w:val="0"/>
              <w:snapToGrid w:val="0"/>
              <w:spacing w:line="400" w:lineRule="exact"/>
              <w:rPr>
                <w:rFonts w:hint="eastAsia" w:ascii="新宋体" w:hAnsi="新宋体" w:eastAsia="宋体" w:cs="新宋体"/>
                <w:color w:val="auto"/>
                <w:szCs w:val="21"/>
                <w:highlight w:val="none"/>
                <w:lang w:eastAsia="zh-CN"/>
              </w:rPr>
            </w:pPr>
            <w:r>
              <w:rPr>
                <w:rFonts w:hint="eastAsia" w:ascii="宋体" w:hAnsi="宋体" w:cs="宋体"/>
                <w:color w:val="auto"/>
                <w:szCs w:val="21"/>
                <w:highlight w:val="none"/>
              </w:rPr>
              <w:t>联系地址：</w:t>
            </w:r>
            <w:r>
              <w:rPr>
                <w:rFonts w:hint="eastAsia" w:ascii="宋体" w:hAnsi="宋体" w:cs="宋体"/>
                <w:color w:val="auto"/>
                <w:szCs w:val="21"/>
                <w:highlight w:val="none"/>
                <w:lang w:val="en-US" w:eastAsia="zh-CN"/>
              </w:rPr>
              <w:t>张家界市永定区古庸路378号黄金大厦1913A</w:t>
            </w:r>
          </w:p>
        </w:tc>
      </w:tr>
      <w:tr w14:paraId="6E806D36">
        <w:tblPrEx>
          <w:tblCellMar>
            <w:top w:w="0" w:type="dxa"/>
            <w:left w:w="0" w:type="dxa"/>
            <w:bottom w:w="0" w:type="dxa"/>
            <w:right w:w="0" w:type="dxa"/>
          </w:tblCellMar>
        </w:tblPrEx>
        <w:trPr>
          <w:trHeight w:val="1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085143DD">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第二章第38.3款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E1503FF">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履约担保</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076F93FD">
            <w:pPr>
              <w:pStyle w:val="28"/>
              <w:pageBreakBefore w:val="0"/>
              <w:numPr>
                <w:ilvl w:val="0"/>
                <w:numId w:val="0"/>
              </w:numPr>
              <w:kinsoku/>
              <w:wordWrap/>
              <w:overflowPunct/>
              <w:topLinePunct w:val="0"/>
              <w:autoSpaceDE/>
              <w:autoSpaceDN/>
              <w:bidi w:val="0"/>
              <w:adjustRightInd/>
              <w:snapToGrid/>
              <w:spacing w:line="240" w:lineRule="auto"/>
              <w:ind w:right="-48" w:rightChars="-23"/>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履约担保的</w:t>
            </w:r>
            <w:r>
              <w:rPr>
                <w:rFonts w:hint="eastAsia" w:ascii="宋体" w:hAnsi="宋体" w:eastAsia="宋体" w:cs="宋体"/>
                <w:color w:val="auto"/>
                <w:sz w:val="21"/>
                <w:szCs w:val="21"/>
                <w:highlight w:val="none"/>
              </w:rPr>
              <w:t>金额：成交金额降价幅度不超过采购预算10%的，履约保证金为成交金额的10%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成交金额降价幅度超过采购预算10%以上的，履约保证金为采购预算减去成交金额的差额。</w:t>
            </w:r>
          </w:p>
          <w:p w14:paraId="1F8F8FF8">
            <w:pPr>
              <w:pStyle w:val="28"/>
              <w:pageBreakBefore w:val="0"/>
              <w:numPr>
                <w:ilvl w:val="0"/>
                <w:numId w:val="0"/>
              </w:numPr>
              <w:kinsoku/>
              <w:wordWrap/>
              <w:overflowPunct/>
              <w:topLinePunct w:val="0"/>
              <w:autoSpaceDE/>
              <w:autoSpaceDN/>
              <w:bidi w:val="0"/>
              <w:adjustRightInd/>
              <w:snapToGrid/>
              <w:spacing w:line="240" w:lineRule="auto"/>
              <w:ind w:right="-48" w:rightChars="-2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支付方式：</w:t>
            </w:r>
          </w:p>
          <w:p w14:paraId="48C8F2DF">
            <w:pPr>
              <w:pStyle w:val="28"/>
              <w:pageBreakBefore w:val="0"/>
              <w:kinsoku/>
              <w:wordWrap/>
              <w:overflowPunct/>
              <w:topLinePunct w:val="0"/>
              <w:autoSpaceDE/>
              <w:autoSpaceDN/>
              <w:bidi w:val="0"/>
              <w:adjustRightInd/>
              <w:snapToGrid/>
              <w:spacing w:line="240" w:lineRule="auto"/>
              <w:ind w:firstLine="44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rPr>
              <w:sym w:font="Wingdings" w:char="00FE"/>
            </w:r>
            <w:r>
              <w:rPr>
                <w:rFonts w:hint="eastAsia" w:ascii="宋体" w:hAnsi="宋体" w:eastAsia="宋体" w:cs="宋体"/>
                <w:b/>
                <w:bCs/>
                <w:color w:val="auto"/>
                <w:sz w:val="21"/>
                <w:szCs w:val="21"/>
                <w:highlight w:val="none"/>
              </w:rPr>
              <w:t xml:space="preserve">银行转账 </w:t>
            </w:r>
            <w:r>
              <w:rPr>
                <w:rFonts w:hint="eastAsia" w:ascii="宋体" w:hAnsi="宋体" w:eastAsia="宋体" w:cs="宋体"/>
                <w:color w:val="auto"/>
                <w:sz w:val="21"/>
                <w:szCs w:val="21"/>
              </w:rPr>
              <w:sym w:font="Wingdings" w:char="00FE"/>
            </w:r>
            <w:r>
              <w:rPr>
                <w:rFonts w:hint="eastAsia" w:ascii="宋体" w:hAnsi="宋体" w:eastAsia="宋体" w:cs="宋体"/>
                <w:b/>
                <w:bCs/>
                <w:color w:val="auto"/>
                <w:sz w:val="21"/>
                <w:szCs w:val="21"/>
                <w:highlight w:val="none"/>
              </w:rPr>
              <w:t>支票</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sz w:val="21"/>
                <w:szCs w:val="21"/>
              </w:rPr>
              <w:sym w:font="Wingdings" w:char="00FE"/>
            </w:r>
            <w:r>
              <w:rPr>
                <w:rFonts w:hint="eastAsia" w:ascii="宋体" w:hAnsi="宋体" w:eastAsia="宋体" w:cs="宋体"/>
                <w:b/>
                <w:bCs/>
                <w:color w:val="auto"/>
                <w:sz w:val="21"/>
                <w:szCs w:val="21"/>
                <w:highlight w:val="none"/>
              </w:rPr>
              <w:t>汇票</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sz w:val="21"/>
                <w:szCs w:val="21"/>
              </w:rPr>
              <w:sym w:font="Wingdings" w:char="00FE"/>
            </w:r>
            <w:r>
              <w:rPr>
                <w:rFonts w:hint="eastAsia" w:ascii="宋体" w:hAnsi="宋体" w:eastAsia="宋体" w:cs="宋体"/>
                <w:b/>
                <w:bCs/>
                <w:color w:val="auto"/>
                <w:sz w:val="21"/>
                <w:szCs w:val="21"/>
                <w:highlight w:val="none"/>
              </w:rPr>
              <w:t>本票</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sz w:val="21"/>
                <w:szCs w:val="21"/>
              </w:rPr>
              <w:sym w:font="Wingdings" w:char="00FE"/>
            </w:r>
            <w:r>
              <w:rPr>
                <w:rFonts w:hint="eastAsia" w:ascii="宋体" w:hAnsi="宋体" w:eastAsia="宋体" w:cs="宋体"/>
                <w:b/>
                <w:bCs/>
                <w:color w:val="auto"/>
                <w:sz w:val="21"/>
                <w:szCs w:val="21"/>
                <w:highlight w:val="none"/>
                <w:lang w:eastAsia="zh-CN"/>
              </w:rPr>
              <w:t>银行</w:t>
            </w:r>
            <w:r>
              <w:rPr>
                <w:rFonts w:hint="eastAsia" w:ascii="宋体" w:hAnsi="宋体" w:eastAsia="宋体" w:cs="宋体"/>
                <w:b/>
                <w:bCs/>
                <w:color w:val="auto"/>
                <w:sz w:val="21"/>
                <w:szCs w:val="21"/>
                <w:highlight w:val="none"/>
              </w:rPr>
              <w:t xml:space="preserve">保函 </w:t>
            </w:r>
          </w:p>
          <w:p w14:paraId="0AB0AD6A">
            <w:pPr>
              <w:pStyle w:val="28"/>
              <w:pageBreakBefore w:val="0"/>
              <w:kinsoku/>
              <w:wordWrap/>
              <w:overflowPunct/>
              <w:topLinePunct w:val="0"/>
              <w:autoSpaceDE/>
              <w:autoSpaceDN/>
              <w:bidi w:val="0"/>
              <w:adjustRightInd/>
              <w:snapToGrid/>
              <w:spacing w:line="240" w:lineRule="auto"/>
              <w:ind w:firstLine="44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提交保函的要求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提交的银行保函，在项目交付使用前不可撤销、不可转让、见索即付，履约担保责任至对应项目交付使用之日终止。银行保函应当是投标人注册地或者项目所在地市域内的银行出具的保函。银行保函由采购人负责核验</w:t>
            </w:r>
            <w:r>
              <w:rPr>
                <w:rFonts w:hint="eastAsia" w:ascii="宋体" w:hAnsi="宋体" w:eastAsia="宋体" w:cs="宋体"/>
                <w:color w:val="auto"/>
                <w:sz w:val="21"/>
                <w:szCs w:val="21"/>
                <w:highlight w:val="none"/>
                <w:lang w:eastAsia="zh-CN"/>
              </w:rPr>
              <w:t>。</w:t>
            </w:r>
          </w:p>
          <w:p w14:paraId="7E147F4D">
            <w:pPr>
              <w:bidi w:val="0"/>
              <w:rPr>
                <w:rFonts w:hint="eastAsia"/>
                <w:color w:val="auto"/>
                <w:lang w:eastAsia="zh-CN"/>
              </w:rPr>
            </w:pPr>
            <w:r>
              <w:rPr>
                <w:rFonts w:hint="eastAsia"/>
                <w:lang w:val="en-US" w:eastAsia="zh-CN"/>
              </w:rPr>
              <w:t>3.</w:t>
            </w:r>
            <w:r>
              <w:rPr>
                <w:rFonts w:hint="eastAsia"/>
              </w:rPr>
              <w:t>缴纳</w:t>
            </w:r>
            <w:r>
              <w:rPr>
                <w:rFonts w:hint="eastAsia"/>
                <w:lang w:val="en-US" w:eastAsia="zh-CN"/>
              </w:rPr>
              <w:t>期限</w:t>
            </w:r>
            <w:r>
              <w:rPr>
                <w:rFonts w:hint="eastAsia"/>
              </w:rPr>
              <w:t>：</w:t>
            </w:r>
            <w:r>
              <w:rPr>
                <w:rFonts w:hint="eastAsia"/>
                <w:lang w:eastAsia="zh-CN"/>
              </w:rPr>
              <w:t>供应商自领取成交通知书后7个工作日内提交履约保证金，最长不超过14个工作日。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rPr>
              <w:t>。</w:t>
            </w:r>
          </w:p>
        </w:tc>
      </w:tr>
      <w:tr w14:paraId="29763030">
        <w:tblPrEx>
          <w:tblCellMar>
            <w:top w:w="0" w:type="dxa"/>
            <w:left w:w="0" w:type="dxa"/>
            <w:bottom w:w="0" w:type="dxa"/>
            <w:right w:w="0" w:type="dxa"/>
          </w:tblCellMar>
        </w:tblPrEx>
        <w:trPr>
          <w:trHeight w:val="10"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410414FD">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b/>
                <w:bCs/>
                <w:color w:val="auto"/>
                <w:szCs w:val="21"/>
                <w:highlight w:val="none"/>
              </w:rPr>
              <w:t>七、政府采购政策</w:t>
            </w:r>
          </w:p>
        </w:tc>
      </w:tr>
      <w:tr w14:paraId="71696BA6">
        <w:tblPrEx>
          <w:tblCellMar>
            <w:top w:w="0" w:type="dxa"/>
            <w:left w:w="0" w:type="dxa"/>
            <w:bottom w:w="0" w:type="dxa"/>
            <w:right w:w="0" w:type="dxa"/>
          </w:tblCellMar>
        </w:tblPrEx>
        <w:trPr>
          <w:trHeight w:val="1865" w:hRule="atLeast"/>
          <w:jc w:val="center"/>
        </w:trPr>
        <w:tc>
          <w:tcPr>
            <w:tcW w:w="1844" w:type="dxa"/>
            <w:vMerge w:val="restart"/>
            <w:tcBorders>
              <w:top w:val="single" w:color="000000" w:sz="6" w:space="0"/>
              <w:left w:val="double" w:color="000000" w:sz="4" w:space="0"/>
              <w:right w:val="single" w:color="000000" w:sz="6" w:space="0"/>
            </w:tcBorders>
            <w:tcMar>
              <w:top w:w="0" w:type="dxa"/>
              <w:left w:w="108" w:type="dxa"/>
              <w:bottom w:w="0" w:type="dxa"/>
              <w:right w:w="108" w:type="dxa"/>
            </w:tcMar>
            <w:vAlign w:val="center"/>
          </w:tcPr>
          <w:p w14:paraId="52626C94">
            <w:pPr>
              <w:pStyle w:val="22"/>
              <w:ind w:firstLine="0" w:firstLineChars="0"/>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第二章39.1款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7D92EEE">
            <w:pPr>
              <w:adjustRightInd w:val="0"/>
              <w:snapToGrid w:val="0"/>
              <w:spacing w:before="156" w:beforeLines="50" w:line="360" w:lineRule="auto"/>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价格评审优惠</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47FACF61">
            <w:pP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①给予小型和微型企业产品的价格给予</w:t>
            </w:r>
            <w:r>
              <w:rPr>
                <w:rFonts w:hint="eastAsia" w:ascii="新宋体" w:hAnsi="新宋体" w:eastAsia="新宋体" w:cs="新宋体"/>
                <w:color w:val="auto"/>
                <w:szCs w:val="21"/>
                <w:highlight w:val="none"/>
                <w:lang w:eastAsia="zh-CN"/>
              </w:rPr>
              <w:t>10%—20%</w:t>
            </w:r>
            <w:r>
              <w:rPr>
                <w:rFonts w:hint="eastAsia" w:ascii="新宋体" w:hAnsi="新宋体" w:eastAsia="新宋体" w:cs="新宋体"/>
                <w:color w:val="auto"/>
                <w:szCs w:val="21"/>
                <w:highlight w:val="none"/>
              </w:rPr>
              <w:t>的扣除，用扣除后的价格参与评审，本项目具体扣除比例为</w:t>
            </w:r>
            <w:r>
              <w:rPr>
                <w:rFonts w:hint="eastAsia" w:ascii="新宋体" w:hAnsi="新宋体" w:eastAsia="新宋体" w:cs="新宋体"/>
                <w:color w:val="auto"/>
                <w:szCs w:val="21"/>
                <w:highlight w:val="none"/>
                <w:u w:val="single"/>
              </w:rPr>
              <w:t xml:space="preserve"> </w:t>
            </w:r>
            <w:r>
              <w:rPr>
                <w:rFonts w:hint="eastAsia" w:ascii="宋体" w:hAnsi="宋体" w:eastAsia="新宋体" w:cs="宋体"/>
                <w:color w:val="auto"/>
                <w:szCs w:val="21"/>
                <w:u w:val="single"/>
                <w:lang w:val="en-US" w:eastAsia="zh-CN"/>
              </w:rPr>
              <w:t>/</w:t>
            </w:r>
            <w:r>
              <w:rPr>
                <w:rFonts w:hint="eastAsia" w:ascii="新宋体" w:hAnsi="新宋体" w:eastAsia="新宋体" w:cs="新宋体"/>
                <w:color w:val="auto"/>
                <w:szCs w:val="21"/>
                <w:highlight w:val="none"/>
                <w:u w:val="single"/>
              </w:rPr>
              <w:t xml:space="preserve"> ％</w:t>
            </w:r>
            <w:r>
              <w:rPr>
                <w:rFonts w:hint="eastAsia" w:ascii="新宋体" w:hAnsi="新宋体" w:eastAsia="新宋体" w:cs="新宋体"/>
                <w:color w:val="auto"/>
                <w:szCs w:val="21"/>
                <w:highlight w:val="none"/>
              </w:rPr>
              <w:t>；</w:t>
            </w:r>
          </w:p>
          <w:p w14:paraId="60818BD4">
            <w:pPr>
              <w:adjustRightInd w:val="0"/>
              <w:snapToGrid w:val="0"/>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②给予联合体</w:t>
            </w:r>
            <w:r>
              <w:rPr>
                <w:rFonts w:hint="eastAsia" w:ascii="新宋体" w:hAnsi="新宋体" w:eastAsia="新宋体" w:cs="新宋体"/>
                <w:color w:val="auto"/>
                <w:szCs w:val="21"/>
                <w:highlight w:val="none"/>
                <w:lang w:eastAsia="zh-CN"/>
              </w:rPr>
              <w:t>2%—3%</w:t>
            </w:r>
            <w:r>
              <w:rPr>
                <w:rFonts w:hint="eastAsia" w:ascii="新宋体" w:hAnsi="新宋体" w:eastAsia="新宋体" w:cs="新宋体"/>
                <w:color w:val="auto"/>
                <w:szCs w:val="21"/>
                <w:highlight w:val="none"/>
              </w:rPr>
              <w:t>的价格扣除，用扣除后的价格参与评审，本项目具体扣除比例为</w:t>
            </w:r>
            <w:r>
              <w:rPr>
                <w:rFonts w:hint="eastAsia" w:ascii="新宋体" w:hAnsi="新宋体" w:eastAsia="新宋体" w:cs="新宋体"/>
                <w:color w:val="auto"/>
                <w:szCs w:val="21"/>
                <w:highlight w:val="none"/>
                <w:u w:val="single"/>
              </w:rPr>
              <w:t xml:space="preserve"> /  </w:t>
            </w:r>
            <w:r>
              <w:rPr>
                <w:rFonts w:hint="eastAsia" w:ascii="新宋体" w:hAnsi="新宋体" w:eastAsia="新宋体" w:cs="新宋体"/>
                <w:color w:val="auto"/>
                <w:szCs w:val="21"/>
                <w:highlight w:val="none"/>
              </w:rPr>
              <w:t>％。本文件所称联合体价格扣除是指联合协议中约定，小型、微型企业的协议合同金额占到联合体协议合同总金额30%以上的，可给予联合体价格扣除。</w:t>
            </w:r>
          </w:p>
        </w:tc>
      </w:tr>
      <w:tr w14:paraId="15784ADC">
        <w:tblPrEx>
          <w:tblCellMar>
            <w:top w:w="0" w:type="dxa"/>
            <w:left w:w="0" w:type="dxa"/>
            <w:bottom w:w="0" w:type="dxa"/>
            <w:right w:w="0" w:type="dxa"/>
          </w:tblCellMar>
        </w:tblPrEx>
        <w:trPr>
          <w:trHeight w:val="198" w:hRule="atLeast"/>
          <w:jc w:val="center"/>
        </w:trPr>
        <w:tc>
          <w:tcPr>
            <w:tcW w:w="1844" w:type="dxa"/>
            <w:vMerge w:val="continue"/>
            <w:tcBorders>
              <w:left w:val="double" w:color="000000" w:sz="4" w:space="0"/>
              <w:bottom w:val="single" w:color="000000" w:sz="6" w:space="0"/>
              <w:right w:val="single" w:color="000000" w:sz="6" w:space="0"/>
            </w:tcBorders>
            <w:tcMar>
              <w:top w:w="0" w:type="dxa"/>
              <w:left w:w="108" w:type="dxa"/>
              <w:bottom w:w="0" w:type="dxa"/>
              <w:right w:w="108" w:type="dxa"/>
            </w:tcMar>
            <w:vAlign w:val="center"/>
          </w:tcPr>
          <w:p w14:paraId="3BBB5FE8">
            <w:pPr>
              <w:snapToGrid w:val="0"/>
              <w:spacing w:before="62" w:after="62" w:line="220" w:lineRule="atLeast"/>
              <w:rPr>
                <w:color w:val="auto"/>
                <w:highlight w:val="none"/>
              </w:rPr>
            </w:pPr>
          </w:p>
        </w:tc>
        <w:tc>
          <w:tcPr>
            <w:tcW w:w="8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14:paraId="1F3BF012">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优先采 购</w:t>
            </w:r>
          </w:p>
        </w:tc>
        <w:tc>
          <w:tcPr>
            <w:tcW w:w="1251"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14:paraId="1E47C989">
            <w:pPr>
              <w:snapToGrid w:val="0"/>
              <w:spacing w:before="62" w:after="62" w:line="220" w:lineRule="atLeas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节能产品或环境标志产品</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7CD269C9">
            <w:pPr>
              <w:overflowPunct w:val="0"/>
              <w:spacing w:line="320" w:lineRule="exact"/>
              <w:jc w:val="left"/>
              <w:rPr>
                <w:rFonts w:hint="default" w:ascii="新宋体" w:hAnsi="新宋体" w:eastAsia="新宋体" w:cs="新宋体"/>
                <w:color w:val="auto"/>
                <w:szCs w:val="21"/>
                <w:highlight w:val="none"/>
                <w:lang w:val="en-US" w:eastAsia="zh-CN"/>
              </w:rPr>
            </w:pPr>
            <w:r>
              <w:rPr>
                <w:rFonts w:hint="eastAsia" w:ascii="新宋体" w:hAnsi="新宋体" w:eastAsia="新宋体" w:cs="新宋体"/>
                <w:color w:val="auto"/>
                <w:szCs w:val="21"/>
                <w:highlight w:val="none"/>
                <w:lang w:val="en-US" w:eastAsia="zh-CN"/>
              </w:rPr>
              <w:t>本项目不适用</w:t>
            </w:r>
          </w:p>
        </w:tc>
      </w:tr>
      <w:tr w14:paraId="4D4D7CC9">
        <w:tblPrEx>
          <w:tblCellMar>
            <w:top w:w="0" w:type="dxa"/>
            <w:left w:w="0" w:type="dxa"/>
            <w:bottom w:w="0" w:type="dxa"/>
            <w:right w:w="0" w:type="dxa"/>
          </w:tblCellMar>
        </w:tblPrEx>
        <w:trPr>
          <w:trHeight w:val="198" w:hRule="atLeast"/>
          <w:jc w:val="center"/>
        </w:trPr>
        <w:tc>
          <w:tcPr>
            <w:tcW w:w="1844" w:type="dxa"/>
            <w:vMerge w:val="continue"/>
            <w:tcBorders>
              <w:left w:val="double" w:color="000000" w:sz="4" w:space="0"/>
              <w:bottom w:val="single" w:color="000000" w:sz="6" w:space="0"/>
              <w:right w:val="single" w:color="000000" w:sz="6" w:space="0"/>
            </w:tcBorders>
            <w:tcMar>
              <w:top w:w="0" w:type="dxa"/>
              <w:left w:w="108" w:type="dxa"/>
              <w:bottom w:w="0" w:type="dxa"/>
              <w:right w:w="108" w:type="dxa"/>
            </w:tcMar>
            <w:vAlign w:val="center"/>
          </w:tcPr>
          <w:p w14:paraId="4599FCCA">
            <w:pPr>
              <w:snapToGrid w:val="0"/>
              <w:spacing w:before="62" w:after="62" w:line="220" w:lineRule="atLeast"/>
              <w:rPr>
                <w:color w:val="auto"/>
                <w:highlight w:val="none"/>
              </w:rPr>
            </w:pPr>
          </w:p>
        </w:tc>
        <w:tc>
          <w:tcPr>
            <w:tcW w:w="8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14:paraId="6B12BA86">
            <w:pPr>
              <w:snapToGrid w:val="0"/>
              <w:spacing w:before="62" w:after="62" w:line="220" w:lineRule="atLeast"/>
              <w:rPr>
                <w:color w:val="auto"/>
                <w:highlight w:val="none"/>
              </w:rPr>
            </w:pPr>
          </w:p>
        </w:tc>
        <w:tc>
          <w:tcPr>
            <w:tcW w:w="1251"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14:paraId="7D3C6D8A">
            <w:pPr>
              <w:snapToGrid w:val="0"/>
              <w:spacing w:before="62" w:after="62" w:line="220" w:lineRule="atLeast"/>
              <w:rPr>
                <w:color w:val="auto"/>
                <w:highlight w:val="none"/>
              </w:rPr>
            </w:pP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tcPr>
          <w:p w14:paraId="2BE77269">
            <w:pPr>
              <w:snapToGrid w:val="0"/>
              <w:spacing w:before="62" w:after="62" w:line="320" w:lineRule="exac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lang w:val="en-US" w:eastAsia="zh-CN"/>
              </w:rPr>
              <w:t>本项目不适用</w:t>
            </w:r>
          </w:p>
        </w:tc>
      </w:tr>
      <w:tr w14:paraId="141BA0E5">
        <w:tblPrEx>
          <w:tblCellMar>
            <w:top w:w="0" w:type="dxa"/>
            <w:left w:w="0" w:type="dxa"/>
            <w:bottom w:w="0" w:type="dxa"/>
            <w:right w:w="0" w:type="dxa"/>
          </w:tblCellMar>
        </w:tblPrEx>
        <w:trPr>
          <w:trHeight w:val="10" w:hRule="atLeast"/>
          <w:jc w:val="center"/>
        </w:trPr>
        <w:tc>
          <w:tcPr>
            <w:tcW w:w="9329" w:type="dxa"/>
            <w:gridSpan w:val="4"/>
            <w:tcBorders>
              <w:top w:val="single" w:color="000000" w:sz="6" w:space="0"/>
              <w:left w:val="double" w:color="000000" w:sz="4" w:space="0"/>
              <w:bottom w:val="single" w:color="000000" w:sz="6" w:space="0"/>
              <w:right w:val="double" w:color="000000" w:sz="4" w:space="0"/>
            </w:tcBorders>
            <w:tcMar>
              <w:top w:w="0" w:type="dxa"/>
              <w:left w:w="108" w:type="dxa"/>
              <w:bottom w:w="0" w:type="dxa"/>
              <w:right w:w="108" w:type="dxa"/>
            </w:tcMar>
            <w:vAlign w:val="center"/>
          </w:tcPr>
          <w:p w14:paraId="32F094EF">
            <w:pPr>
              <w:snapToGrid w:val="0"/>
              <w:spacing w:before="62" w:after="62" w:line="220" w:lineRule="atLeast"/>
              <w:rPr>
                <w:rFonts w:ascii="新宋体" w:hAnsi="新宋体" w:eastAsia="新宋体" w:cs="新宋体"/>
                <w:b/>
                <w:color w:val="auto"/>
                <w:szCs w:val="21"/>
                <w:highlight w:val="none"/>
              </w:rPr>
            </w:pPr>
            <w:r>
              <w:rPr>
                <w:rFonts w:hint="eastAsia" w:ascii="新宋体" w:hAnsi="新宋体" w:eastAsia="新宋体" w:cs="新宋体"/>
                <w:b/>
                <w:color w:val="auto"/>
                <w:szCs w:val="21"/>
                <w:highlight w:val="none"/>
              </w:rPr>
              <w:t>八、其他规定</w:t>
            </w:r>
          </w:p>
        </w:tc>
      </w:tr>
      <w:tr w14:paraId="2FA2E56B">
        <w:tblPrEx>
          <w:tblCellMar>
            <w:top w:w="0" w:type="dxa"/>
            <w:left w:w="0" w:type="dxa"/>
            <w:bottom w:w="0" w:type="dxa"/>
            <w:right w:w="0" w:type="dxa"/>
          </w:tblCellMar>
        </w:tblPrEx>
        <w:trPr>
          <w:trHeight w:val="10" w:hRule="atLeast"/>
          <w:jc w:val="center"/>
        </w:trPr>
        <w:tc>
          <w:tcPr>
            <w:tcW w:w="1844" w:type="dxa"/>
            <w:tcBorders>
              <w:top w:val="single" w:color="000000" w:sz="6" w:space="0"/>
              <w:left w:val="double" w:color="000000" w:sz="4" w:space="0"/>
              <w:bottom w:val="single" w:color="000000" w:sz="6" w:space="0"/>
              <w:right w:val="single" w:color="000000" w:sz="6" w:space="0"/>
            </w:tcBorders>
            <w:tcMar>
              <w:top w:w="0" w:type="dxa"/>
              <w:left w:w="108" w:type="dxa"/>
              <w:bottom w:w="0" w:type="dxa"/>
              <w:right w:w="108" w:type="dxa"/>
            </w:tcMar>
            <w:vAlign w:val="center"/>
          </w:tcPr>
          <w:p w14:paraId="792FFCBA">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第二章第40.1款</w:t>
            </w:r>
          </w:p>
        </w:tc>
        <w:tc>
          <w:tcPr>
            <w:tcW w:w="2085"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9A26E4F">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采购代理服务费</w:t>
            </w:r>
          </w:p>
        </w:tc>
        <w:tc>
          <w:tcPr>
            <w:tcW w:w="5400" w:type="dxa"/>
            <w:tcBorders>
              <w:top w:val="single" w:color="000000" w:sz="6" w:space="0"/>
              <w:left w:val="single" w:color="000000" w:sz="6" w:space="0"/>
              <w:bottom w:val="single" w:color="000000" w:sz="6" w:space="0"/>
              <w:right w:val="double" w:color="000000" w:sz="4" w:space="0"/>
            </w:tcBorders>
            <w:tcMar>
              <w:top w:w="0" w:type="dxa"/>
              <w:left w:w="108" w:type="dxa"/>
              <w:bottom w:w="0" w:type="dxa"/>
              <w:right w:w="108" w:type="dxa"/>
            </w:tcMar>
            <w:vAlign w:val="center"/>
          </w:tcPr>
          <w:p w14:paraId="607DA547">
            <w:pPr>
              <w:snapToGrid w:val="0"/>
              <w:spacing w:before="62" w:after="62" w:line="220" w:lineRule="atLeast"/>
              <w:rPr>
                <w:rFonts w:ascii="新宋体" w:hAnsi="新宋体" w:eastAsia="新宋体" w:cs="新宋体"/>
                <w:b/>
                <w:color w:val="auto"/>
                <w:szCs w:val="21"/>
                <w:highlight w:val="none"/>
                <w:u w:val="single"/>
              </w:rPr>
            </w:pPr>
            <w:r>
              <w:rPr>
                <w:rFonts w:hint="eastAsia" w:ascii="宋体" w:hAnsi="宋体" w:cs="宋体"/>
                <w:color w:val="auto"/>
                <w:szCs w:val="21"/>
              </w:rPr>
              <w:t>本项目代理服务费</w:t>
            </w:r>
            <w:r>
              <w:rPr>
                <w:rFonts w:hint="eastAsia" w:ascii="宋体" w:hAnsi="宋体" w:cs="宋体"/>
                <w:color w:val="auto"/>
                <w:szCs w:val="21"/>
                <w:lang w:val="en-US" w:eastAsia="zh-CN"/>
              </w:rPr>
              <w:t>15946.00元，</w:t>
            </w:r>
            <w:r>
              <w:rPr>
                <w:rFonts w:hint="eastAsia" w:ascii="宋体" w:hAnsi="宋体" w:cs="宋体"/>
                <w:color w:val="auto"/>
                <w:szCs w:val="21"/>
              </w:rPr>
              <w:t>由采购人向采购代理机构支付</w:t>
            </w:r>
            <w:r>
              <w:rPr>
                <w:rFonts w:hint="eastAsia" w:ascii="新宋体" w:hAnsi="新宋体" w:eastAsia="新宋体" w:cs="新宋体"/>
                <w:bCs/>
                <w:color w:val="auto"/>
                <w:kern w:val="0"/>
                <w:szCs w:val="21"/>
                <w:highlight w:val="none"/>
              </w:rPr>
              <w:t>。</w:t>
            </w:r>
          </w:p>
        </w:tc>
      </w:tr>
      <w:tr w14:paraId="5C571D2D">
        <w:tblPrEx>
          <w:tblCellMar>
            <w:top w:w="0" w:type="dxa"/>
            <w:left w:w="0" w:type="dxa"/>
            <w:bottom w:w="0" w:type="dxa"/>
            <w:right w:w="0" w:type="dxa"/>
          </w:tblCellMar>
        </w:tblPrEx>
        <w:trPr>
          <w:trHeight w:val="10" w:hRule="atLeast"/>
          <w:jc w:val="center"/>
        </w:trPr>
        <w:tc>
          <w:tcPr>
            <w:tcW w:w="1844" w:type="dxa"/>
            <w:tcBorders>
              <w:left w:val="double" w:color="000000" w:sz="4" w:space="0"/>
              <w:bottom w:val="double" w:color="000000" w:sz="4" w:space="0"/>
              <w:right w:val="single" w:color="000000" w:sz="6" w:space="0"/>
            </w:tcBorders>
            <w:tcMar>
              <w:top w:w="0" w:type="dxa"/>
              <w:left w:w="108" w:type="dxa"/>
              <w:bottom w:w="0" w:type="dxa"/>
              <w:right w:w="108" w:type="dxa"/>
            </w:tcMar>
            <w:vAlign w:val="center"/>
          </w:tcPr>
          <w:p w14:paraId="4674CD9F">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第二章第41.1款</w:t>
            </w:r>
          </w:p>
        </w:tc>
        <w:tc>
          <w:tcPr>
            <w:tcW w:w="2085" w:type="dxa"/>
            <w:gridSpan w:val="2"/>
            <w:tcBorders>
              <w:left w:val="single" w:color="000000" w:sz="6" w:space="0"/>
              <w:bottom w:val="double" w:color="000000" w:sz="4" w:space="0"/>
              <w:right w:val="single" w:color="000000" w:sz="6" w:space="0"/>
            </w:tcBorders>
            <w:tcMar>
              <w:top w:w="0" w:type="dxa"/>
              <w:left w:w="108" w:type="dxa"/>
              <w:bottom w:w="0" w:type="dxa"/>
              <w:right w:w="108" w:type="dxa"/>
            </w:tcMar>
            <w:vAlign w:val="center"/>
          </w:tcPr>
          <w:p w14:paraId="6FAF704A">
            <w:pPr>
              <w:snapToGrid w:val="0"/>
              <w:spacing w:before="62" w:after="62" w:line="220" w:lineRule="atLeast"/>
              <w:jc w:val="center"/>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其它规定</w:t>
            </w:r>
          </w:p>
        </w:tc>
        <w:tc>
          <w:tcPr>
            <w:tcW w:w="5400" w:type="dxa"/>
            <w:tcBorders>
              <w:top w:val="single" w:color="000000" w:sz="6" w:space="0"/>
              <w:left w:val="single" w:color="000000" w:sz="6" w:space="0"/>
              <w:bottom w:val="double" w:color="000000" w:sz="4" w:space="0"/>
              <w:right w:val="double" w:color="000000" w:sz="4" w:space="0"/>
            </w:tcBorders>
            <w:tcMar>
              <w:top w:w="0" w:type="dxa"/>
              <w:left w:w="108" w:type="dxa"/>
              <w:bottom w:w="0" w:type="dxa"/>
              <w:right w:w="108" w:type="dxa"/>
            </w:tcMar>
            <w:vAlign w:val="center"/>
          </w:tcPr>
          <w:p w14:paraId="76EB018D">
            <w:pPr>
              <w:pStyle w:val="11"/>
              <w:numPr>
                <w:ilvl w:val="0"/>
                <w:numId w:val="0"/>
              </w:numPr>
              <w:rPr>
                <w:rFonts w:hint="eastAsia"/>
                <w:color w:val="auto"/>
                <w:highlight w:val="none"/>
              </w:rPr>
            </w:pPr>
            <w:r>
              <w:rPr>
                <w:rFonts w:hint="eastAsia" w:ascii="宋体" w:hAnsi="Courier New" w:eastAsia="宋体" w:cs="Courier New"/>
                <w:color w:val="auto"/>
                <w:kern w:val="2"/>
                <w:sz w:val="21"/>
                <w:szCs w:val="21"/>
                <w:lang w:val="en-US" w:eastAsia="zh-CN" w:bidi="ar-SA"/>
              </w:rPr>
              <w:t>1.</w:t>
            </w:r>
            <w:r>
              <w:rPr>
                <w:rFonts w:hint="eastAsia"/>
                <w:color w:val="auto"/>
                <w:highlight w:val="none"/>
              </w:rPr>
              <w:t>得分相同的，按投标报价由低到高顺序排列。</w:t>
            </w:r>
            <w:r>
              <w:rPr>
                <w:rFonts w:hint="eastAsia"/>
                <w:color w:val="auto"/>
                <w:highlight w:val="none"/>
                <w:lang w:eastAsia="zh-CN"/>
              </w:rPr>
              <w:t>若得分</w:t>
            </w:r>
            <w:r>
              <w:rPr>
                <w:rFonts w:hint="eastAsia"/>
                <w:color w:val="auto"/>
                <w:highlight w:val="none"/>
              </w:rPr>
              <w:t>且投标报价</w:t>
            </w:r>
            <w:r>
              <w:rPr>
                <w:rFonts w:hint="eastAsia"/>
                <w:color w:val="auto"/>
                <w:highlight w:val="none"/>
                <w:lang w:eastAsia="zh-CN"/>
              </w:rPr>
              <w:t>相同</w:t>
            </w:r>
            <w:r>
              <w:rPr>
                <w:rFonts w:hint="eastAsia"/>
                <w:color w:val="auto"/>
                <w:highlight w:val="none"/>
              </w:rPr>
              <w:t>，按技术得分由高到低的顺序排列。都相同的，由磋商小组决定中标候选人。</w:t>
            </w:r>
          </w:p>
          <w:p w14:paraId="36EE5DA8">
            <w:pPr>
              <w:pStyle w:val="11"/>
              <w:numPr>
                <w:ilvl w:val="0"/>
                <w:numId w:val="0"/>
              </w:numPr>
              <w:rPr>
                <w:rFonts w:hint="default" w:ascii="宋体" w:hAnsi="宋体" w:eastAsia="宋体"/>
                <w:b w:val="0"/>
                <w:bCs w:val="0"/>
                <w:color w:val="auto"/>
                <w:szCs w:val="21"/>
                <w:highlight w:val="none"/>
                <w:lang w:val="en-US" w:eastAsia="zh-CN"/>
              </w:rPr>
            </w:pPr>
            <w:r>
              <w:rPr>
                <w:rFonts w:hint="eastAsia" w:hAnsi="宋体" w:cs="Courier New"/>
                <w:b w:val="0"/>
                <w:bCs w:val="0"/>
                <w:color w:val="auto"/>
                <w:kern w:val="2"/>
                <w:sz w:val="21"/>
                <w:szCs w:val="21"/>
                <w:lang w:val="en-US" w:eastAsia="zh-CN" w:bidi="ar-SA"/>
              </w:rPr>
              <w:t>2</w:t>
            </w:r>
            <w:r>
              <w:rPr>
                <w:rFonts w:hint="default" w:ascii="宋体" w:hAnsi="宋体" w:eastAsia="宋体" w:cs="Courier New"/>
                <w:b w:val="0"/>
                <w:bCs w:val="0"/>
                <w:color w:val="auto"/>
                <w:kern w:val="2"/>
                <w:sz w:val="21"/>
                <w:szCs w:val="21"/>
                <w:lang w:val="en-US" w:eastAsia="zh-CN" w:bidi="ar-SA"/>
              </w:rPr>
              <w:t>.</w:t>
            </w:r>
            <w:r>
              <w:rPr>
                <w:rFonts w:hint="eastAsia"/>
                <w:b w:val="0"/>
                <w:bCs w:val="0"/>
                <w:color w:val="auto"/>
                <w:highlight w:val="none"/>
              </w:rPr>
              <w:t>代表供应商办理</w:t>
            </w:r>
            <w:r>
              <w:rPr>
                <w:rFonts w:hint="eastAsia"/>
                <w:b w:val="0"/>
                <w:bCs w:val="0"/>
                <w:color w:val="auto"/>
                <w:highlight w:val="none"/>
                <w:lang w:val="en-US" w:eastAsia="zh-CN"/>
              </w:rPr>
              <w:t>磋商</w:t>
            </w:r>
            <w:r>
              <w:rPr>
                <w:rFonts w:hint="eastAsia"/>
                <w:b w:val="0"/>
                <w:bCs w:val="0"/>
                <w:color w:val="auto"/>
                <w:highlight w:val="none"/>
              </w:rPr>
              <w:t>有关事宜的代表要求为法定代表人或其授权委托人，授权委托人为本单位正式员工（提供</w:t>
            </w:r>
            <w:r>
              <w:rPr>
                <w:rFonts w:hint="eastAsia"/>
                <w:b w:val="0"/>
                <w:bCs w:val="0"/>
                <w:color w:val="auto"/>
                <w:highlight w:val="none"/>
                <w:lang w:val="en-US" w:eastAsia="zh-CN"/>
              </w:rPr>
              <w:t>近三个月内任一月份</w:t>
            </w:r>
            <w:r>
              <w:rPr>
                <w:rFonts w:hint="eastAsia"/>
                <w:b w:val="0"/>
                <w:bCs w:val="0"/>
                <w:color w:val="auto"/>
                <w:highlight w:val="none"/>
              </w:rPr>
              <w:t>社保缴纳证明）。</w:t>
            </w:r>
          </w:p>
          <w:p w14:paraId="3471D1A3">
            <w:pPr>
              <w:pStyle w:val="11"/>
              <w:numPr>
                <w:ilvl w:val="0"/>
                <w:numId w:val="0"/>
              </w:numPr>
              <w:rPr>
                <w:rFonts w:hint="default" w:ascii="宋体" w:hAnsi="宋体" w:eastAsia="宋体"/>
                <w:b/>
                <w:bCs/>
                <w:color w:val="auto"/>
                <w:szCs w:val="21"/>
                <w:highlight w:val="none"/>
                <w:lang w:val="en-US" w:eastAsia="zh-CN"/>
              </w:rPr>
            </w:pPr>
            <w:r>
              <w:rPr>
                <w:rFonts w:hint="eastAsia" w:hAnsi="宋体" w:cs="Courier New"/>
                <w:b w:val="0"/>
                <w:bCs w:val="0"/>
                <w:color w:val="auto"/>
                <w:kern w:val="2"/>
                <w:sz w:val="21"/>
                <w:szCs w:val="21"/>
                <w:lang w:val="en-US" w:eastAsia="zh-CN" w:bidi="ar-SA"/>
              </w:rPr>
              <w:t>3</w:t>
            </w:r>
            <w:r>
              <w:rPr>
                <w:rFonts w:hint="default" w:ascii="宋体" w:hAnsi="宋体" w:eastAsia="宋体" w:cs="Courier New"/>
                <w:b w:val="0"/>
                <w:bCs w:val="0"/>
                <w:color w:val="auto"/>
                <w:kern w:val="2"/>
                <w:sz w:val="21"/>
                <w:szCs w:val="21"/>
                <w:lang w:val="en-US" w:eastAsia="zh-CN" w:bidi="ar-SA"/>
              </w:rPr>
              <w:t>.</w:t>
            </w:r>
            <w:r>
              <w:rPr>
                <w:rFonts w:hint="eastAsia" w:ascii="宋体" w:hAnsi="宋体"/>
                <w:b w:val="0"/>
                <w:bCs w:val="0"/>
                <w:color w:val="auto"/>
                <w:szCs w:val="21"/>
                <w:highlight w:val="none"/>
              </w:rPr>
              <w:t>异常低价审查</w:t>
            </w:r>
            <w:r>
              <w:rPr>
                <w:rFonts w:hint="eastAsia" w:ascii="宋体" w:hAnsi="宋体"/>
                <w:b w:val="0"/>
                <w:bCs w:val="0"/>
                <w:color w:val="auto"/>
                <w:szCs w:val="21"/>
                <w:highlight w:val="none"/>
                <w:lang w:eastAsia="zh-CN"/>
              </w:rPr>
              <w:t>（</w:t>
            </w:r>
            <w:r>
              <w:rPr>
                <w:rFonts w:hint="eastAsia" w:ascii="宋体" w:hAnsi="宋体"/>
                <w:b w:val="0"/>
                <w:bCs w:val="0"/>
                <w:color w:val="auto"/>
                <w:szCs w:val="21"/>
                <w:highlight w:val="none"/>
                <w:lang w:val="en-US" w:eastAsia="zh-CN"/>
              </w:rPr>
              <w:t>依据《关于推动解决政府采购异常低价问题的通知》（财库〔2026〕2号文件要求）</w:t>
            </w:r>
          </w:p>
          <w:p w14:paraId="08ABB8B5">
            <w:p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（一）政府采购评审中出现下列情形之一的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评审委员会应当启动异常低价投标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审查程序</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 xml:space="preserve"> </w:t>
            </w:r>
          </w:p>
          <w:p w14:paraId="53964255">
            <w:pPr>
              <w:numPr>
                <w:ilvl w:val="0"/>
                <w:numId w:val="1"/>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报价低于全部通过符合性审查供应商投标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报价平均值50%的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即投标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全部通过符合性审查供应商投标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报价平均值×50%;</w:t>
            </w:r>
          </w:p>
          <w:p w14:paraId="2CD9442C">
            <w:pPr>
              <w:numPr>
                <w:ilvl w:val="0"/>
                <w:numId w:val="1"/>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报价低于通过符合性审查的次低报价供应商投标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报价50%的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即投标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通过符合性审查的次低报价供应商投标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 xml:space="preserve">报价×50%; </w:t>
            </w:r>
          </w:p>
          <w:p w14:paraId="1EB79737">
            <w:pPr>
              <w:numPr>
                <w:ilvl w:val="0"/>
                <w:numId w:val="1"/>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报价低于采购项目最高限价45%的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即投标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报价</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 xml:space="preserve">采购项目最高限价×45%; </w:t>
            </w:r>
          </w:p>
          <w:p w14:paraId="64A02F7E">
            <w:pPr>
              <w:numPr>
                <w:ilvl w:val="0"/>
                <w:numId w:val="1"/>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评审委员会基于专业判断</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认为供应商报价过低</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有可能影响产品质量或者不能诚信履约的其他情形。采购人可以结合具体项目实际情况</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提高上述第1项至第3项中启动异常低价投标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审查的数值标准</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但是最高不得超过65%</w:t>
            </w:r>
            <w:r>
              <w:rPr>
                <w:rFonts w:hint="eastAsia" w:ascii="宋体" w:hAnsi="Courier New" w:cs="Courier New"/>
                <w:color w:val="auto"/>
                <w:kern w:val="2"/>
                <w:sz w:val="21"/>
                <w:szCs w:val="21"/>
                <w:highlight w:val="none"/>
                <w:lang w:val="en-US" w:eastAsia="zh-CN" w:bidi="ar-SA"/>
              </w:rPr>
              <w:t>，本项目数值为50%</w:t>
            </w:r>
            <w:r>
              <w:rPr>
                <w:rFonts w:hint="eastAsia" w:ascii="宋体" w:hAnsi="Courier New" w:eastAsia="宋体" w:cs="Courier New"/>
                <w:color w:val="auto"/>
                <w:kern w:val="2"/>
                <w:sz w:val="21"/>
                <w:szCs w:val="21"/>
                <w:highlight w:val="none"/>
                <w:lang w:val="en-US" w:eastAsia="zh-CN" w:bidi="ar-SA"/>
              </w:rPr>
              <w:t xml:space="preserve">。 </w:t>
            </w:r>
          </w:p>
          <w:p w14:paraId="61E706EB">
            <w:pPr>
              <w:numPr>
                <w:ilvl w:val="0"/>
                <w:numId w:val="0"/>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相关法律法规对供应商报价有规定的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从其规定。</w:t>
            </w:r>
          </w:p>
          <w:p w14:paraId="7DA5F82F">
            <w:pPr>
              <w:numPr>
                <w:ilvl w:val="0"/>
                <w:numId w:val="0"/>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cs="Courier New"/>
                <w:color w:val="auto"/>
                <w:kern w:val="2"/>
                <w:sz w:val="21"/>
                <w:szCs w:val="21"/>
                <w:highlight w:val="none"/>
                <w:lang w:val="en-US" w:eastAsia="zh-CN" w:bidi="ar-SA"/>
              </w:rPr>
              <w:t>（二）</w:t>
            </w:r>
            <w:r>
              <w:rPr>
                <w:rFonts w:hint="eastAsia" w:ascii="宋体" w:hAnsi="Courier New" w:eastAsia="宋体" w:cs="Courier New"/>
                <w:color w:val="auto"/>
                <w:kern w:val="2"/>
                <w:sz w:val="21"/>
                <w:szCs w:val="21"/>
                <w:highlight w:val="none"/>
                <w:lang w:val="en-US" w:eastAsia="zh-CN" w:bidi="ar-SA"/>
              </w:rPr>
              <w:t>评审委员会启动异常低价投标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审查后</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属于前述第1项至第4项情形的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应当要求相关供应商在评审现场合理的时间内对投标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价格作出解释</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提供项目具体成本测算等与报价合理性相关的书面说明及必要的证明材料</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包括但不限于原材料成本、人工成本、制造费用等</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给予相关供应商的合理时间一般不少于30分钟。其中</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属于第3项情形</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供应商已随投标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文件一并提交相关书面说明及必要的证明材料的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在评审现场可不再重复提交。 评审委员会依据专业经验</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参考同类项目中标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成交</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价格、类似产品市场价格水平、行业人工费用标准、国家有关部门指导行业协会发布的行业平均成本等情况</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对报价合理性进行判断。投标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供应商不能提供书面说明、证明材料</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或者提供的书面说明、证明材料不能证明其报价合理性的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评审委员会应当将其作为无效投标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 xml:space="preserve">处理。 </w:t>
            </w:r>
          </w:p>
          <w:p w14:paraId="418B020E">
            <w:pPr>
              <w:numPr>
                <w:ilvl w:val="0"/>
                <w:numId w:val="0"/>
              </w:numPr>
              <w:spacing w:line="240" w:lineRule="auto"/>
              <w:rPr>
                <w:rFonts w:hint="eastAsia" w:ascii="宋体" w:hAnsi="Courier New" w:eastAsia="宋体" w:cs="Courier New"/>
                <w:color w:val="auto"/>
                <w:kern w:val="2"/>
                <w:sz w:val="21"/>
                <w:szCs w:val="21"/>
                <w:highlight w:val="none"/>
                <w:lang w:val="en-US" w:eastAsia="zh-CN" w:bidi="ar-SA"/>
              </w:rPr>
            </w:pPr>
            <w:r>
              <w:rPr>
                <w:rFonts w:hint="eastAsia" w:ascii="宋体" w:hAnsi="Courier New" w:eastAsia="宋体" w:cs="Courier New"/>
                <w:color w:val="auto"/>
                <w:kern w:val="2"/>
                <w:sz w:val="21"/>
                <w:szCs w:val="21"/>
                <w:highlight w:val="none"/>
                <w:lang w:val="en-US" w:eastAsia="zh-CN" w:bidi="ar-SA"/>
              </w:rPr>
              <w:t>采购人、采购代理机构应当为评审委员会在评审现场及时获取同类项目中标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成交</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价格、类似产品市场价格水平、行业人工费用标准、国家有关部门指导行业协会发布的行业平均成本等相关信息资料提供便利。评审委员会借助互联网等渠道查询相关信息的</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应当严格遵守评审工作纪律</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 xml:space="preserve">不得实施影响评审公正的行为。 </w:t>
            </w:r>
          </w:p>
          <w:p w14:paraId="756D4855">
            <w:pPr>
              <w:numPr>
                <w:ilvl w:val="0"/>
                <w:numId w:val="0"/>
              </w:numPr>
              <w:spacing w:line="240" w:lineRule="auto"/>
              <w:rPr>
                <w:color w:val="auto"/>
                <w:highlight w:val="none"/>
              </w:rPr>
            </w:pPr>
            <w:r>
              <w:rPr>
                <w:rFonts w:hint="eastAsia" w:ascii="宋体" w:hAnsi="Courier New" w:eastAsia="宋体" w:cs="Courier New"/>
                <w:color w:val="auto"/>
                <w:kern w:val="2"/>
                <w:sz w:val="21"/>
                <w:szCs w:val="21"/>
                <w:highlight w:val="none"/>
                <w:lang w:val="en-US" w:eastAsia="zh-CN" w:bidi="ar-SA"/>
              </w:rPr>
              <w:t>异常低价投标</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响应</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审查的启动原因、审查意见和审查结果应当在评审报告中记录</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并随供应商提供的相关书面说明及证明材料</w:t>
            </w:r>
            <w:r>
              <w:rPr>
                <w:rFonts w:hint="eastAsia" w:ascii="宋体" w:hAnsi="Courier New" w:cs="Courier New"/>
                <w:color w:val="auto"/>
                <w:kern w:val="2"/>
                <w:sz w:val="21"/>
                <w:szCs w:val="21"/>
                <w:highlight w:val="none"/>
                <w:lang w:val="en-US" w:eastAsia="zh-CN" w:bidi="ar-SA"/>
              </w:rPr>
              <w:t>，</w:t>
            </w:r>
            <w:r>
              <w:rPr>
                <w:rFonts w:hint="eastAsia" w:ascii="宋体" w:hAnsi="Courier New" w:eastAsia="宋体" w:cs="Courier New"/>
                <w:color w:val="auto"/>
                <w:kern w:val="2"/>
                <w:sz w:val="21"/>
                <w:szCs w:val="21"/>
                <w:highlight w:val="none"/>
                <w:lang w:val="en-US" w:eastAsia="zh-CN" w:bidi="ar-SA"/>
              </w:rPr>
              <w:t>以及评审委员会有关互联网浏览、查询历史一并归档。</w:t>
            </w:r>
          </w:p>
        </w:tc>
      </w:tr>
    </w:tbl>
    <w:p w14:paraId="0D4ED6DF">
      <w:pPr>
        <w:snapToGrid w:val="0"/>
        <w:spacing w:line="360" w:lineRule="auto"/>
        <w:rPr>
          <w:rFonts w:ascii="新宋体" w:hAnsi="新宋体" w:eastAsia="新宋体" w:cs="新宋体"/>
          <w:b/>
          <w:color w:val="auto"/>
          <w:szCs w:val="21"/>
          <w:highlight w:val="none"/>
        </w:rPr>
      </w:pPr>
    </w:p>
    <w:p w14:paraId="7F36AF0A">
      <w:pPr>
        <w:widowControl/>
        <w:jc w:val="left"/>
        <w:rPr>
          <w:rFonts w:ascii="宋体" w:hAnsi="宋体" w:cs="宋体"/>
          <w:b/>
          <w:bCs/>
          <w:color w:val="auto"/>
          <w:sz w:val="28"/>
          <w:szCs w:val="28"/>
          <w:highlight w:val="none"/>
        </w:rPr>
      </w:pPr>
      <w:r>
        <w:rPr>
          <w:rFonts w:ascii="新宋体" w:hAnsi="新宋体" w:eastAsia="新宋体" w:cs="新宋体"/>
          <w:b/>
          <w:color w:val="auto"/>
          <w:szCs w:val="21"/>
          <w:highlight w:val="none"/>
        </w:rPr>
        <w:br w:type="page"/>
      </w:r>
      <w:r>
        <w:rPr>
          <w:rFonts w:hint="eastAsia" w:ascii="黑体" w:eastAsia="黑体"/>
          <w:b/>
          <w:color w:val="auto"/>
          <w:sz w:val="28"/>
          <w:szCs w:val="28"/>
          <w:highlight w:val="none"/>
        </w:rPr>
        <w:t>评审办法及标准</w:t>
      </w:r>
    </w:p>
    <w:p w14:paraId="1C0D84C1">
      <w:pPr>
        <w:adjustRightInd w:val="0"/>
        <w:snapToGrid w:val="0"/>
        <w:spacing w:before="156" w:beforeLines="50" w:line="360" w:lineRule="auto"/>
        <w:rPr>
          <w:rFonts w:ascii="宋体" w:hAnsi="宋体" w:cs="宋体"/>
          <w:b/>
          <w:color w:val="auto"/>
          <w:szCs w:val="21"/>
          <w:highlight w:val="none"/>
        </w:rPr>
      </w:pPr>
      <w:r>
        <w:rPr>
          <w:rFonts w:hint="eastAsia" w:ascii="宋体" w:hAnsi="宋体" w:cs="宋体"/>
          <w:b/>
          <w:color w:val="auto"/>
          <w:szCs w:val="21"/>
          <w:highlight w:val="none"/>
        </w:rPr>
        <w:t>1.磋商小组</w:t>
      </w:r>
    </w:p>
    <w:p w14:paraId="5C3B5D10">
      <w:pPr>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1.1评审由依法组成的磋商小组负责。</w:t>
      </w:r>
    </w:p>
    <w:p w14:paraId="6678A558">
      <w:pPr>
        <w:adjustRightInd w:val="0"/>
        <w:snapToGrid w:val="0"/>
        <w:spacing w:before="156" w:beforeLines="50" w:line="360" w:lineRule="auto"/>
        <w:rPr>
          <w:rFonts w:ascii="宋体" w:hAnsi="宋体" w:cs="宋体"/>
          <w:b/>
          <w:color w:val="auto"/>
          <w:szCs w:val="21"/>
          <w:highlight w:val="none"/>
        </w:rPr>
      </w:pPr>
      <w:r>
        <w:rPr>
          <w:rFonts w:hint="eastAsia" w:ascii="宋体" w:hAnsi="宋体" w:cs="宋体"/>
          <w:b/>
          <w:bCs/>
          <w:color w:val="auto"/>
          <w:szCs w:val="21"/>
          <w:highlight w:val="none"/>
        </w:rPr>
        <w:t>2.</w:t>
      </w:r>
      <w:r>
        <w:rPr>
          <w:rFonts w:hint="eastAsia" w:ascii="宋体" w:hAnsi="宋体" w:cs="宋体"/>
          <w:b/>
          <w:color w:val="auto"/>
          <w:szCs w:val="21"/>
          <w:highlight w:val="none"/>
        </w:rPr>
        <w:t>评审方法</w:t>
      </w:r>
    </w:p>
    <w:p w14:paraId="54B30DEA">
      <w:pPr>
        <w:tabs>
          <w:tab w:val="left" w:pos="0"/>
        </w:tabs>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2.1评审方法：综合评分法，即响应文件能够最大限度的满足磋商文件规定的各项综合评价标准且经评审得分最高的供应商为成交供应商的评标方法。</w:t>
      </w:r>
    </w:p>
    <w:p w14:paraId="4983BD05">
      <w:pPr>
        <w:tabs>
          <w:tab w:val="left" w:pos="0"/>
        </w:tabs>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2.2本采购项目</w:t>
      </w:r>
      <w:r>
        <w:rPr>
          <w:rFonts w:hint="eastAsia" w:ascii="宋体" w:hAnsi="宋体" w:cs="宋体"/>
          <w:color w:val="auto"/>
          <w:szCs w:val="21"/>
          <w:highlight w:val="none"/>
        </w:rPr>
        <w:t>的评审因素和标准见</w:t>
      </w:r>
      <w:r>
        <w:rPr>
          <w:rFonts w:hint="eastAsia" w:ascii="宋体" w:hAnsi="宋体" w:cs="宋体"/>
          <w:b/>
          <w:color w:val="auto"/>
          <w:szCs w:val="21"/>
          <w:highlight w:val="none"/>
        </w:rPr>
        <w:t>磋商文件前附表，</w:t>
      </w:r>
      <w:r>
        <w:rPr>
          <w:rFonts w:hint="eastAsia" w:ascii="宋体" w:hAnsi="宋体" w:cs="宋体"/>
          <w:color w:val="auto"/>
          <w:szCs w:val="21"/>
          <w:highlight w:val="none"/>
        </w:rPr>
        <w:t>不得对响应文件优于磋商文件要求的评审因素给予加分。</w:t>
      </w:r>
    </w:p>
    <w:p w14:paraId="1DEA8098">
      <w:pPr>
        <w:tabs>
          <w:tab w:val="left" w:pos="0"/>
        </w:tabs>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评审因素：价格、技术、</w:t>
      </w:r>
      <w:r>
        <w:rPr>
          <w:rFonts w:hint="eastAsia" w:ascii="宋体" w:hAnsi="宋体" w:cs="宋体"/>
          <w:color w:val="auto"/>
          <w:szCs w:val="21"/>
          <w:highlight w:val="none"/>
          <w:lang w:val="en-US" w:eastAsia="zh-CN"/>
        </w:rPr>
        <w:t>商务</w:t>
      </w:r>
      <w:r>
        <w:rPr>
          <w:rFonts w:hint="eastAsia" w:ascii="宋体" w:hAnsi="宋体" w:cs="宋体"/>
          <w:color w:val="auto"/>
          <w:szCs w:val="21"/>
          <w:highlight w:val="none"/>
        </w:rPr>
        <w:t>的响应程度，以及相应的比重或者权值等，但不包括第二章“磋商须知”第3.1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规定的供应商资格条件。</w:t>
      </w:r>
    </w:p>
    <w:p w14:paraId="075D6D71">
      <w:pPr>
        <w:tabs>
          <w:tab w:val="left" w:pos="0"/>
        </w:tabs>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2.3</w:t>
      </w:r>
      <w:r>
        <w:rPr>
          <w:rFonts w:hint="eastAsia" w:ascii="宋体" w:hAnsi="宋体" w:cs="宋体"/>
          <w:color w:val="auto"/>
          <w:szCs w:val="21"/>
          <w:highlight w:val="none"/>
        </w:rPr>
        <w:t>权值的取值范围见下表，本采购项目的权值见</w:t>
      </w:r>
      <w:r>
        <w:rPr>
          <w:rFonts w:hint="eastAsia" w:ascii="宋体" w:hAnsi="宋体" w:cs="宋体"/>
          <w:b/>
          <w:color w:val="auto"/>
          <w:szCs w:val="21"/>
          <w:highlight w:val="none"/>
        </w:rPr>
        <w:t>磋商文件前附表。</w:t>
      </w:r>
    </w:p>
    <w:tbl>
      <w:tblPr>
        <w:tblStyle w:val="19"/>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3807"/>
        <w:gridCol w:w="4274"/>
      </w:tblGrid>
      <w:tr w14:paraId="450FDA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718" w:type="dxa"/>
            <w:tcBorders>
              <w:top w:val="single" w:color="auto" w:sz="12" w:space="0"/>
            </w:tcBorders>
            <w:vAlign w:val="center"/>
          </w:tcPr>
          <w:p w14:paraId="6D1EEBCD">
            <w:pPr>
              <w:adjustRightInd w:val="0"/>
              <w:snapToGrid w:val="0"/>
              <w:spacing w:line="240" w:lineRule="exact"/>
              <w:jc w:val="center"/>
              <w:rPr>
                <w:rFonts w:ascii="宋体" w:cs="宋体"/>
                <w:color w:val="auto"/>
                <w:kern w:val="0"/>
                <w:szCs w:val="21"/>
                <w:highlight w:val="none"/>
              </w:rPr>
            </w:pPr>
            <w:r>
              <w:rPr>
                <w:rFonts w:hint="eastAsia" w:ascii="宋体" w:hAnsi="宋体" w:cs="宋体"/>
                <w:color w:val="auto"/>
                <w:kern w:val="0"/>
                <w:szCs w:val="21"/>
                <w:highlight w:val="none"/>
              </w:rPr>
              <w:t>序号</w:t>
            </w:r>
          </w:p>
        </w:tc>
        <w:tc>
          <w:tcPr>
            <w:tcW w:w="3807" w:type="dxa"/>
            <w:tcBorders>
              <w:top w:val="single" w:color="auto" w:sz="12" w:space="0"/>
              <w:bottom w:val="single" w:color="auto" w:sz="4" w:space="0"/>
            </w:tcBorders>
            <w:vAlign w:val="center"/>
          </w:tcPr>
          <w:p w14:paraId="69CF457E">
            <w:pPr>
              <w:adjustRightInd w:val="0"/>
              <w:snapToGrid w:val="0"/>
              <w:spacing w:line="240" w:lineRule="exact"/>
              <w:jc w:val="center"/>
              <w:rPr>
                <w:rFonts w:ascii="宋体" w:cs="宋体"/>
                <w:color w:val="auto"/>
                <w:kern w:val="0"/>
                <w:szCs w:val="21"/>
                <w:highlight w:val="none"/>
              </w:rPr>
            </w:pPr>
            <w:r>
              <w:rPr>
                <w:rFonts w:hint="eastAsia" w:ascii="宋体" w:hAnsi="宋体" w:cs="宋体"/>
                <w:color w:val="auto"/>
                <w:kern w:val="0"/>
                <w:szCs w:val="21"/>
                <w:highlight w:val="none"/>
              </w:rPr>
              <w:t>项</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目</w:t>
            </w:r>
          </w:p>
        </w:tc>
        <w:tc>
          <w:tcPr>
            <w:tcW w:w="4274" w:type="dxa"/>
            <w:tcBorders>
              <w:top w:val="single" w:color="auto" w:sz="12" w:space="0"/>
              <w:bottom w:val="single" w:color="auto" w:sz="4" w:space="0"/>
            </w:tcBorders>
            <w:vAlign w:val="center"/>
          </w:tcPr>
          <w:p w14:paraId="03A0C689">
            <w:pPr>
              <w:adjustRightInd w:val="0"/>
              <w:snapToGrid w:val="0"/>
              <w:spacing w:line="240" w:lineRule="exact"/>
              <w:jc w:val="center"/>
              <w:rPr>
                <w:rFonts w:ascii="宋体" w:cs="宋体"/>
                <w:color w:val="auto"/>
                <w:kern w:val="0"/>
                <w:szCs w:val="21"/>
                <w:highlight w:val="none"/>
              </w:rPr>
            </w:pPr>
            <w:r>
              <w:rPr>
                <w:rFonts w:hint="eastAsia" w:ascii="宋体" w:hAnsi="宋体" w:cs="宋体"/>
                <w:color w:val="auto"/>
                <w:kern w:val="0"/>
                <w:szCs w:val="21"/>
                <w:highlight w:val="none"/>
              </w:rPr>
              <w:t>权值的取值</w:t>
            </w:r>
          </w:p>
        </w:tc>
      </w:tr>
      <w:tr w14:paraId="74B3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718" w:type="dxa"/>
            <w:vAlign w:val="center"/>
          </w:tcPr>
          <w:p w14:paraId="5564E6F0">
            <w:pPr>
              <w:adjustRightInd w:val="0"/>
              <w:snapToGrid w:val="0"/>
              <w:spacing w:line="240" w:lineRule="exact"/>
              <w:jc w:val="center"/>
              <w:rPr>
                <w:rFonts w:ascii="宋体" w:hAnsi="宋体" w:cs="宋体"/>
                <w:color w:val="auto"/>
                <w:kern w:val="0"/>
                <w:szCs w:val="21"/>
                <w:highlight w:val="none"/>
              </w:rPr>
            </w:pPr>
            <w:r>
              <w:rPr>
                <w:rFonts w:ascii="宋体" w:hAnsi="宋体" w:cs="宋体"/>
                <w:color w:val="auto"/>
                <w:kern w:val="0"/>
                <w:szCs w:val="21"/>
                <w:highlight w:val="none"/>
              </w:rPr>
              <w:t>1</w:t>
            </w:r>
          </w:p>
        </w:tc>
        <w:tc>
          <w:tcPr>
            <w:tcW w:w="3807" w:type="dxa"/>
            <w:tcBorders>
              <w:bottom w:val="single" w:color="auto" w:sz="4" w:space="0"/>
            </w:tcBorders>
            <w:vAlign w:val="center"/>
          </w:tcPr>
          <w:p w14:paraId="271BEAD0">
            <w:pPr>
              <w:adjustRightInd w:val="0"/>
              <w:snapToGrid w:val="0"/>
              <w:spacing w:line="240" w:lineRule="exact"/>
              <w:jc w:val="center"/>
              <w:rPr>
                <w:rFonts w:hint="eastAsia" w:ascii="宋体" w:eastAsia="宋体" w:cs="宋体"/>
                <w:color w:val="auto"/>
                <w:kern w:val="0"/>
                <w:szCs w:val="21"/>
                <w:highlight w:val="none"/>
                <w:lang w:eastAsia="zh-CN"/>
              </w:rPr>
            </w:pPr>
            <w:r>
              <w:rPr>
                <w:rFonts w:hint="eastAsia" w:ascii="宋体" w:hAnsi="宋体" w:cs="宋体"/>
                <w:color w:val="auto"/>
                <w:szCs w:val="21"/>
                <w:highlight w:val="none"/>
              </w:rPr>
              <w:t>价</w:t>
            </w:r>
            <w:r>
              <w:rPr>
                <w:rFonts w:ascii="宋体" w:hAnsi="宋体" w:cs="宋体"/>
                <w:color w:val="auto"/>
                <w:szCs w:val="21"/>
                <w:highlight w:val="none"/>
              </w:rPr>
              <w:t xml:space="preserve"> </w:t>
            </w:r>
            <w:r>
              <w:rPr>
                <w:rFonts w:hint="eastAsia" w:ascii="宋体" w:hAnsi="宋体" w:cs="宋体"/>
                <w:color w:val="auto"/>
                <w:szCs w:val="21"/>
                <w:highlight w:val="none"/>
              </w:rPr>
              <w:t>格</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A</w:t>
            </w:r>
            <w:r>
              <w:rPr>
                <w:rFonts w:hint="eastAsia" w:ascii="宋体" w:hAnsi="宋体" w:cs="宋体"/>
                <w:color w:val="auto"/>
                <w:szCs w:val="21"/>
                <w:highlight w:val="none"/>
                <w:vertAlign w:val="subscript"/>
                <w:lang w:val="en-US" w:eastAsia="zh-CN"/>
              </w:rPr>
              <w:t>1</w:t>
            </w:r>
            <w:r>
              <w:rPr>
                <w:rFonts w:hint="eastAsia" w:ascii="宋体" w:hAnsi="宋体" w:cs="宋体"/>
                <w:color w:val="auto"/>
                <w:szCs w:val="21"/>
                <w:highlight w:val="none"/>
                <w:lang w:eastAsia="zh-CN"/>
              </w:rPr>
              <w:t>）</w:t>
            </w:r>
          </w:p>
        </w:tc>
        <w:tc>
          <w:tcPr>
            <w:tcW w:w="4274" w:type="dxa"/>
            <w:tcBorders>
              <w:bottom w:val="single" w:color="auto" w:sz="4" w:space="0"/>
            </w:tcBorders>
            <w:vAlign w:val="center"/>
          </w:tcPr>
          <w:p w14:paraId="4238760A">
            <w:pPr>
              <w:adjustRightInd w:val="0"/>
              <w:snapToGrid w:val="0"/>
              <w:spacing w:line="240" w:lineRule="exact"/>
              <w:jc w:val="center"/>
              <w:rPr>
                <w:rFonts w:hint="default" w:ascii="宋体" w:eastAsia="宋体" w:cs="宋体"/>
                <w:b/>
                <w:bCs/>
                <w:color w:val="auto"/>
                <w:kern w:val="0"/>
                <w:szCs w:val="21"/>
                <w:highlight w:val="none"/>
                <w:lang w:val="en-US" w:eastAsia="zh-CN"/>
              </w:rPr>
            </w:pPr>
            <w:r>
              <w:rPr>
                <w:rFonts w:hint="eastAsia" w:ascii="宋体" w:cs="宋体"/>
                <w:b/>
                <w:bCs/>
                <w:color w:val="auto"/>
                <w:kern w:val="0"/>
                <w:szCs w:val="21"/>
                <w:highlight w:val="none"/>
                <w:lang w:val="en-US" w:eastAsia="zh-CN"/>
              </w:rPr>
              <w:t>0.2</w:t>
            </w:r>
          </w:p>
        </w:tc>
      </w:tr>
      <w:tr w14:paraId="0ED99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718" w:type="dxa"/>
            <w:tcBorders>
              <w:bottom w:val="single" w:color="auto" w:sz="4" w:space="0"/>
            </w:tcBorders>
            <w:vAlign w:val="center"/>
          </w:tcPr>
          <w:p w14:paraId="5491BFC3">
            <w:pPr>
              <w:adjustRightInd w:val="0"/>
              <w:snapToGrid w:val="0"/>
              <w:spacing w:line="240" w:lineRule="exact"/>
              <w:jc w:val="center"/>
              <w:rPr>
                <w:rFonts w:ascii="宋体" w:hAnsi="宋体" w:cs="宋体"/>
                <w:color w:val="auto"/>
                <w:kern w:val="0"/>
                <w:szCs w:val="21"/>
                <w:highlight w:val="none"/>
              </w:rPr>
            </w:pPr>
            <w:r>
              <w:rPr>
                <w:rFonts w:ascii="宋体" w:hAnsi="宋体" w:cs="宋体"/>
                <w:color w:val="auto"/>
                <w:kern w:val="0"/>
                <w:szCs w:val="21"/>
                <w:highlight w:val="none"/>
              </w:rPr>
              <w:t>2</w:t>
            </w:r>
          </w:p>
        </w:tc>
        <w:tc>
          <w:tcPr>
            <w:tcW w:w="3807" w:type="dxa"/>
            <w:tcBorders>
              <w:bottom w:val="single" w:color="auto" w:sz="4" w:space="0"/>
            </w:tcBorders>
            <w:vAlign w:val="center"/>
          </w:tcPr>
          <w:p w14:paraId="098E558A">
            <w:pPr>
              <w:adjustRightInd w:val="0"/>
              <w:snapToGrid w:val="0"/>
              <w:spacing w:line="240" w:lineRule="exact"/>
              <w:jc w:val="center"/>
              <w:rPr>
                <w:rFonts w:hint="eastAsia" w:ascii="宋体" w:eastAsia="宋体" w:cs="宋体"/>
                <w:color w:val="auto"/>
                <w:kern w:val="0"/>
                <w:szCs w:val="21"/>
                <w:highlight w:val="none"/>
                <w:lang w:eastAsia="zh-CN"/>
              </w:rPr>
            </w:pPr>
            <w:r>
              <w:rPr>
                <w:rFonts w:hint="eastAsia" w:ascii="宋体" w:hAnsi="宋体" w:cs="宋体"/>
                <w:color w:val="auto"/>
                <w:szCs w:val="21"/>
                <w:highlight w:val="none"/>
              </w:rPr>
              <w:t>技术部分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A</w:t>
            </w:r>
            <w:r>
              <w:rPr>
                <w:rFonts w:hint="eastAsia" w:ascii="宋体" w:hAnsi="宋体" w:cs="宋体"/>
                <w:color w:val="auto"/>
                <w:szCs w:val="21"/>
                <w:highlight w:val="none"/>
                <w:vertAlign w:val="subscript"/>
                <w:lang w:val="en-US" w:eastAsia="zh-CN"/>
              </w:rPr>
              <w:t>2</w:t>
            </w:r>
            <w:r>
              <w:rPr>
                <w:rFonts w:hint="eastAsia" w:ascii="宋体" w:hAnsi="宋体" w:cs="宋体"/>
                <w:color w:val="auto"/>
                <w:szCs w:val="21"/>
                <w:highlight w:val="none"/>
                <w:lang w:eastAsia="zh-CN"/>
              </w:rPr>
              <w:t>）</w:t>
            </w:r>
          </w:p>
        </w:tc>
        <w:tc>
          <w:tcPr>
            <w:tcW w:w="4274" w:type="dxa"/>
            <w:tcBorders>
              <w:top w:val="single" w:color="auto" w:sz="4" w:space="0"/>
              <w:bottom w:val="single" w:color="auto" w:sz="4" w:space="0"/>
            </w:tcBorders>
            <w:vAlign w:val="center"/>
          </w:tcPr>
          <w:p w14:paraId="0E72D5FA">
            <w:pPr>
              <w:adjustRightInd w:val="0"/>
              <w:snapToGrid w:val="0"/>
              <w:spacing w:line="240" w:lineRule="exact"/>
              <w:jc w:val="center"/>
              <w:rPr>
                <w:rFonts w:hint="eastAsia" w:ascii="宋体" w:eastAsia="宋体" w:cs="宋体"/>
                <w:b/>
                <w:bCs/>
                <w:color w:val="auto"/>
                <w:kern w:val="0"/>
                <w:szCs w:val="21"/>
                <w:highlight w:val="none"/>
                <w:lang w:eastAsia="zh-CN"/>
              </w:rPr>
            </w:pPr>
            <w:r>
              <w:rPr>
                <w:rFonts w:hint="eastAsia" w:ascii="宋体" w:hAnsi="宋体" w:cs="宋体"/>
                <w:b/>
                <w:bCs/>
                <w:color w:val="auto"/>
                <w:kern w:val="0"/>
                <w:szCs w:val="21"/>
                <w:highlight w:val="none"/>
              </w:rPr>
              <w:t>0.</w:t>
            </w:r>
            <w:r>
              <w:rPr>
                <w:rFonts w:hint="eastAsia" w:ascii="宋体" w:hAnsi="宋体" w:cs="宋体"/>
                <w:b/>
                <w:bCs/>
                <w:color w:val="auto"/>
                <w:kern w:val="0"/>
                <w:szCs w:val="21"/>
                <w:highlight w:val="none"/>
                <w:lang w:val="en-US" w:eastAsia="zh-CN"/>
              </w:rPr>
              <w:t>6</w:t>
            </w:r>
          </w:p>
        </w:tc>
      </w:tr>
      <w:tr w14:paraId="6F3C34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trPr>
        <w:tc>
          <w:tcPr>
            <w:tcW w:w="718" w:type="dxa"/>
            <w:vAlign w:val="center"/>
          </w:tcPr>
          <w:p w14:paraId="7C29F028">
            <w:pPr>
              <w:adjustRightInd w:val="0"/>
              <w:snapToGrid w:val="0"/>
              <w:spacing w:line="24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3807" w:type="dxa"/>
            <w:vAlign w:val="center"/>
          </w:tcPr>
          <w:p w14:paraId="0B62F28A">
            <w:pPr>
              <w:adjustRightInd w:val="0"/>
              <w:snapToGrid w:val="0"/>
              <w:spacing w:line="240" w:lineRule="exact"/>
              <w:jc w:val="center"/>
              <w:rPr>
                <w:rFonts w:hint="eastAsia" w:ascii="宋体" w:eastAsia="宋体" w:cs="宋体"/>
                <w:color w:val="auto"/>
                <w:kern w:val="0"/>
                <w:szCs w:val="21"/>
                <w:highlight w:val="none"/>
                <w:lang w:val="en-US" w:eastAsia="zh-CN"/>
              </w:rPr>
            </w:pPr>
            <w:r>
              <w:rPr>
                <w:rFonts w:hint="eastAsia" w:ascii="宋体" w:hAnsi="宋体" w:cs="宋体"/>
                <w:color w:val="auto"/>
                <w:szCs w:val="21"/>
                <w:highlight w:val="none"/>
                <w:lang w:val="zh-CN"/>
              </w:rPr>
              <w:t>商务部分（</w:t>
            </w:r>
            <w:r>
              <w:rPr>
                <w:rFonts w:hint="eastAsia" w:ascii="宋体" w:hAnsi="宋体" w:cs="宋体"/>
                <w:color w:val="auto"/>
                <w:szCs w:val="21"/>
                <w:highlight w:val="none"/>
                <w:lang w:val="en-US" w:eastAsia="zh-CN"/>
              </w:rPr>
              <w:t>A</w:t>
            </w:r>
            <w:r>
              <w:rPr>
                <w:rFonts w:hint="eastAsia" w:ascii="宋体" w:hAnsi="宋体" w:cs="宋体"/>
                <w:color w:val="auto"/>
                <w:szCs w:val="21"/>
                <w:highlight w:val="none"/>
                <w:vertAlign w:val="subscript"/>
                <w:lang w:val="en-US" w:eastAsia="zh-CN"/>
              </w:rPr>
              <w:t>3</w:t>
            </w:r>
            <w:r>
              <w:rPr>
                <w:rFonts w:hint="eastAsia" w:ascii="宋体" w:hAnsi="宋体" w:cs="宋体"/>
                <w:color w:val="auto"/>
                <w:szCs w:val="21"/>
                <w:highlight w:val="none"/>
                <w:lang w:val="zh-CN"/>
              </w:rPr>
              <w:t>）</w:t>
            </w:r>
          </w:p>
        </w:tc>
        <w:tc>
          <w:tcPr>
            <w:tcW w:w="4274" w:type="dxa"/>
            <w:tcBorders>
              <w:top w:val="single" w:color="auto" w:sz="4" w:space="0"/>
            </w:tcBorders>
            <w:vAlign w:val="center"/>
          </w:tcPr>
          <w:p w14:paraId="3B54C5E4">
            <w:pPr>
              <w:adjustRightInd w:val="0"/>
              <w:snapToGrid w:val="0"/>
              <w:spacing w:line="240" w:lineRule="exact"/>
              <w:jc w:val="center"/>
              <w:rPr>
                <w:rFonts w:hint="eastAsia"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0.</w:t>
            </w:r>
            <w:r>
              <w:rPr>
                <w:rFonts w:hint="eastAsia" w:ascii="宋体" w:hAnsi="宋体" w:cs="宋体"/>
                <w:b/>
                <w:bCs/>
                <w:color w:val="auto"/>
                <w:kern w:val="0"/>
                <w:szCs w:val="21"/>
                <w:highlight w:val="none"/>
                <w:lang w:val="en-US" w:eastAsia="zh-CN"/>
              </w:rPr>
              <w:t>2</w:t>
            </w:r>
          </w:p>
        </w:tc>
      </w:tr>
      <w:tr w14:paraId="27BF7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trPr>
        <w:tc>
          <w:tcPr>
            <w:tcW w:w="4525" w:type="dxa"/>
            <w:gridSpan w:val="2"/>
            <w:tcBorders>
              <w:bottom w:val="single" w:color="auto" w:sz="12" w:space="0"/>
            </w:tcBorders>
            <w:vAlign w:val="center"/>
          </w:tcPr>
          <w:p w14:paraId="6CA87ED3">
            <w:pPr>
              <w:adjustRightInd w:val="0"/>
              <w:snapToGrid w:val="0"/>
              <w:spacing w:line="24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(1+2+3)=1</w:t>
            </w:r>
          </w:p>
        </w:tc>
        <w:tc>
          <w:tcPr>
            <w:tcW w:w="4274" w:type="dxa"/>
            <w:tcBorders>
              <w:bottom w:val="single" w:color="auto" w:sz="12" w:space="0"/>
            </w:tcBorders>
            <w:vAlign w:val="center"/>
          </w:tcPr>
          <w:p w14:paraId="1FA40A79">
            <w:pPr>
              <w:adjustRightInd w:val="0"/>
              <w:snapToGrid w:val="0"/>
              <w:spacing w:line="240" w:lineRule="exact"/>
              <w:jc w:val="center"/>
              <w:rPr>
                <w:rFonts w:ascii="宋体" w:hAnsi="宋体" w:cs="宋体"/>
                <w:b/>
                <w:bCs/>
                <w:color w:val="auto"/>
                <w:kern w:val="0"/>
                <w:szCs w:val="21"/>
                <w:highlight w:val="none"/>
              </w:rPr>
            </w:pPr>
            <w:r>
              <w:rPr>
                <w:rFonts w:ascii="宋体" w:hAnsi="宋体" w:cs="宋体"/>
                <w:b/>
                <w:bCs/>
                <w:color w:val="auto"/>
                <w:kern w:val="0"/>
                <w:szCs w:val="21"/>
                <w:highlight w:val="none"/>
              </w:rPr>
              <w:t>1</w:t>
            </w:r>
            <w:r>
              <w:rPr>
                <w:rFonts w:hint="eastAsia" w:ascii="宋体" w:hAnsi="宋体" w:cs="宋体"/>
                <w:b/>
                <w:bCs/>
                <w:color w:val="auto"/>
                <w:kern w:val="0"/>
                <w:szCs w:val="21"/>
                <w:highlight w:val="none"/>
              </w:rPr>
              <w:t>.00</w:t>
            </w:r>
          </w:p>
        </w:tc>
      </w:tr>
    </w:tbl>
    <w:p w14:paraId="6F91946B">
      <w:pPr>
        <w:tabs>
          <w:tab w:val="left" w:pos="0"/>
        </w:tabs>
        <w:adjustRightInd w:val="0"/>
        <w:snapToGrid w:val="0"/>
        <w:spacing w:before="156" w:beforeLines="50" w:line="360" w:lineRule="auto"/>
        <w:rPr>
          <w:rFonts w:ascii="宋体" w:hAnsi="宋体" w:cs="宋体"/>
          <w:b/>
          <w:bCs/>
          <w:color w:val="auto"/>
          <w:szCs w:val="21"/>
          <w:highlight w:val="none"/>
        </w:rPr>
      </w:pPr>
      <w:r>
        <w:rPr>
          <w:rFonts w:hint="eastAsia" w:ascii="宋体" w:hAnsi="宋体" w:cs="宋体"/>
          <w:b/>
          <w:bCs/>
          <w:color w:val="auto"/>
          <w:szCs w:val="21"/>
          <w:highlight w:val="none"/>
        </w:rPr>
        <w:t>3.比较与评价</w:t>
      </w:r>
    </w:p>
    <w:p w14:paraId="6EB0C35F">
      <w:pPr>
        <w:tabs>
          <w:tab w:val="left" w:pos="0"/>
        </w:tabs>
        <w:adjustRightInd w:val="0"/>
        <w:snapToGrid w:val="0"/>
        <w:spacing w:before="156"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3.1磋商小组应按照磋商文件中规定的评审方法、</w:t>
      </w:r>
      <w:r>
        <w:rPr>
          <w:rFonts w:hint="eastAsia" w:ascii="宋体" w:hAnsi="宋体" w:cs="宋体"/>
          <w:color w:val="auto"/>
          <w:szCs w:val="21"/>
          <w:highlight w:val="none"/>
        </w:rPr>
        <w:t>标准和评标因素，</w:t>
      </w:r>
      <w:r>
        <w:rPr>
          <w:rFonts w:hint="eastAsia" w:ascii="宋体" w:hAnsi="宋体" w:cs="宋体"/>
          <w:bCs/>
          <w:color w:val="auto"/>
          <w:szCs w:val="21"/>
          <w:highlight w:val="none"/>
        </w:rPr>
        <w:t>对</w:t>
      </w:r>
      <w:r>
        <w:rPr>
          <w:rFonts w:hint="eastAsia" w:ascii="宋体" w:hAnsi="宋体" w:cs="宋体"/>
          <w:color w:val="auto"/>
          <w:szCs w:val="21"/>
          <w:highlight w:val="none"/>
        </w:rPr>
        <w:t>资格性检查和符合性检查</w:t>
      </w:r>
      <w:r>
        <w:rPr>
          <w:rFonts w:hint="eastAsia" w:ascii="宋体" w:hAnsi="宋体" w:cs="宋体"/>
          <w:bCs/>
          <w:color w:val="auto"/>
          <w:szCs w:val="21"/>
          <w:highlight w:val="none"/>
        </w:rPr>
        <w:t>合格的响应文件进行评估，综合比较与评价。</w:t>
      </w:r>
    </w:p>
    <w:p w14:paraId="4F42495D">
      <w:pPr>
        <w:widowControl/>
        <w:jc w:val="left"/>
        <w:rPr>
          <w:rFonts w:ascii="宋体" w:cs="宋体"/>
          <w:b/>
          <w:bCs/>
          <w:color w:val="auto"/>
          <w:kern w:val="0"/>
          <w:sz w:val="22"/>
          <w:szCs w:val="22"/>
          <w:highlight w:val="none"/>
        </w:rPr>
      </w:pPr>
      <w:r>
        <w:rPr>
          <w:rFonts w:ascii="宋体" w:cs="宋体"/>
          <w:b/>
          <w:bCs/>
          <w:color w:val="auto"/>
          <w:kern w:val="0"/>
          <w:sz w:val="22"/>
          <w:szCs w:val="22"/>
          <w:highlight w:val="none"/>
        </w:rPr>
        <w:br w:type="page"/>
      </w:r>
    </w:p>
    <w:p w14:paraId="40807D1A">
      <w:pPr>
        <w:spacing w:line="288" w:lineRule="auto"/>
        <w:rPr>
          <w:rFonts w:ascii="宋体" w:cs="宋体"/>
          <w:b/>
          <w:bCs/>
          <w:color w:val="auto"/>
          <w:kern w:val="0"/>
          <w:sz w:val="22"/>
          <w:szCs w:val="22"/>
          <w:highlight w:val="none"/>
        </w:rPr>
      </w:pPr>
      <w:r>
        <w:rPr>
          <w:rFonts w:hint="eastAsia" w:ascii="宋体" w:cs="宋体"/>
          <w:b/>
          <w:bCs/>
          <w:color w:val="auto"/>
          <w:kern w:val="0"/>
          <w:sz w:val="22"/>
          <w:szCs w:val="22"/>
          <w:highlight w:val="none"/>
        </w:rPr>
        <w:t>附表1</w:t>
      </w:r>
    </w:p>
    <w:p w14:paraId="75A7EA10">
      <w:pPr>
        <w:spacing w:line="288" w:lineRule="auto"/>
        <w:jc w:val="center"/>
        <w:rPr>
          <w:rFonts w:ascii="宋体" w:hAnsi="宋体" w:cs="宋体"/>
          <w:b/>
          <w:bCs/>
          <w:color w:val="auto"/>
          <w:kern w:val="0"/>
          <w:sz w:val="24"/>
          <w:highlight w:val="none"/>
        </w:rPr>
      </w:pPr>
      <w:r>
        <w:rPr>
          <w:rFonts w:hint="eastAsia" w:ascii="宋体" w:cs="宋体"/>
          <w:b/>
          <w:bCs/>
          <w:color w:val="auto"/>
          <w:kern w:val="0"/>
          <w:sz w:val="24"/>
          <w:highlight w:val="none"/>
        </w:rPr>
        <w:t>资格评审表</w:t>
      </w:r>
    </w:p>
    <w:tbl>
      <w:tblPr>
        <w:tblStyle w:val="19"/>
        <w:tblpPr w:leftFromText="180" w:rightFromText="180" w:vertAnchor="text" w:horzAnchor="margin" w:tblpXSpec="center" w:tblpY="2"/>
        <w:tblW w:w="10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4863"/>
        <w:gridCol w:w="1033"/>
        <w:gridCol w:w="1175"/>
        <w:gridCol w:w="1153"/>
        <w:gridCol w:w="1241"/>
      </w:tblGrid>
      <w:tr w14:paraId="4AF1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40" w:type="dxa"/>
            <w:vMerge w:val="restart"/>
            <w:tcBorders>
              <w:top w:val="single" w:color="auto" w:sz="4" w:space="0"/>
              <w:left w:val="single" w:color="auto" w:sz="4" w:space="0"/>
              <w:right w:val="single" w:color="auto" w:sz="4" w:space="0"/>
            </w:tcBorders>
            <w:vAlign w:val="center"/>
          </w:tcPr>
          <w:p w14:paraId="3F00C951">
            <w:pPr>
              <w:ind w:right="-246" w:rightChars="-117"/>
              <w:rPr>
                <w:b/>
                <w:bCs/>
                <w:color w:val="auto"/>
                <w:szCs w:val="21"/>
                <w:highlight w:val="none"/>
              </w:rPr>
            </w:pPr>
            <w:r>
              <w:rPr>
                <w:rFonts w:hint="eastAsia"/>
                <w:b/>
                <w:bCs/>
                <w:color w:val="auto"/>
                <w:szCs w:val="21"/>
                <w:highlight w:val="none"/>
              </w:rPr>
              <w:t>序号</w:t>
            </w:r>
          </w:p>
        </w:tc>
        <w:tc>
          <w:tcPr>
            <w:tcW w:w="4863" w:type="dxa"/>
            <w:vMerge w:val="restart"/>
            <w:tcBorders>
              <w:top w:val="single" w:color="auto" w:sz="4" w:space="0"/>
              <w:left w:val="single" w:color="auto" w:sz="4" w:space="0"/>
              <w:right w:val="single" w:color="auto" w:sz="4" w:space="0"/>
            </w:tcBorders>
            <w:vAlign w:val="center"/>
          </w:tcPr>
          <w:p w14:paraId="23325D48">
            <w:pPr>
              <w:ind w:right="-246" w:rightChars="-117"/>
              <w:jc w:val="center"/>
              <w:rPr>
                <w:b/>
                <w:bCs/>
                <w:color w:val="auto"/>
                <w:szCs w:val="21"/>
                <w:highlight w:val="none"/>
              </w:rPr>
            </w:pPr>
            <w:r>
              <w:rPr>
                <w:rFonts w:hint="eastAsia"/>
                <w:b/>
                <w:bCs/>
                <w:color w:val="auto"/>
                <w:szCs w:val="21"/>
                <w:highlight w:val="none"/>
              </w:rPr>
              <w:t>检查内容</w:t>
            </w:r>
          </w:p>
        </w:tc>
        <w:tc>
          <w:tcPr>
            <w:tcW w:w="4602" w:type="dxa"/>
            <w:gridSpan w:val="4"/>
            <w:tcBorders>
              <w:top w:val="single" w:color="auto" w:sz="4" w:space="0"/>
              <w:left w:val="single" w:color="auto" w:sz="4" w:space="0"/>
              <w:right w:val="single" w:color="auto" w:sz="4" w:space="0"/>
            </w:tcBorders>
            <w:vAlign w:val="center"/>
          </w:tcPr>
          <w:p w14:paraId="6AAC5B7D">
            <w:pPr>
              <w:ind w:right="-246" w:rightChars="-117"/>
              <w:jc w:val="center"/>
              <w:rPr>
                <w:b/>
                <w:bCs/>
                <w:color w:val="auto"/>
                <w:szCs w:val="21"/>
                <w:highlight w:val="none"/>
              </w:rPr>
            </w:pPr>
            <w:r>
              <w:rPr>
                <w:rFonts w:hint="eastAsia"/>
                <w:b/>
                <w:bCs/>
                <w:color w:val="auto"/>
                <w:szCs w:val="21"/>
                <w:highlight w:val="none"/>
              </w:rPr>
              <w:t>投标人名称</w:t>
            </w:r>
          </w:p>
        </w:tc>
      </w:tr>
      <w:tr w14:paraId="0CB4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540" w:type="dxa"/>
            <w:vMerge w:val="continue"/>
            <w:tcBorders>
              <w:left w:val="single" w:color="auto" w:sz="4" w:space="0"/>
              <w:right w:val="single" w:color="auto" w:sz="4" w:space="0"/>
            </w:tcBorders>
            <w:vAlign w:val="center"/>
          </w:tcPr>
          <w:p w14:paraId="55002857">
            <w:pPr>
              <w:ind w:right="-246" w:rightChars="-117"/>
              <w:jc w:val="center"/>
              <w:rPr>
                <w:b/>
                <w:bCs/>
                <w:color w:val="auto"/>
                <w:szCs w:val="21"/>
                <w:highlight w:val="none"/>
              </w:rPr>
            </w:pPr>
          </w:p>
        </w:tc>
        <w:tc>
          <w:tcPr>
            <w:tcW w:w="4863" w:type="dxa"/>
            <w:vMerge w:val="continue"/>
            <w:tcBorders>
              <w:left w:val="single" w:color="auto" w:sz="4" w:space="0"/>
              <w:right w:val="single" w:color="auto" w:sz="4" w:space="0"/>
            </w:tcBorders>
            <w:vAlign w:val="center"/>
          </w:tcPr>
          <w:p w14:paraId="01C7D68E">
            <w:pPr>
              <w:ind w:right="-246" w:rightChars="-117"/>
              <w:jc w:val="center"/>
              <w:rPr>
                <w:b/>
                <w:bCs/>
                <w:color w:val="auto"/>
                <w:szCs w:val="21"/>
                <w:highlight w:val="none"/>
              </w:rPr>
            </w:pPr>
          </w:p>
        </w:tc>
        <w:tc>
          <w:tcPr>
            <w:tcW w:w="1033" w:type="dxa"/>
            <w:tcBorders>
              <w:top w:val="single" w:color="auto" w:sz="4" w:space="0"/>
              <w:left w:val="single" w:color="auto" w:sz="4" w:space="0"/>
              <w:right w:val="single" w:color="auto" w:sz="4" w:space="0"/>
            </w:tcBorders>
            <w:vAlign w:val="center"/>
          </w:tcPr>
          <w:p w14:paraId="6CEA137C">
            <w:pPr>
              <w:adjustRightInd w:val="0"/>
              <w:snapToGrid w:val="0"/>
              <w:jc w:val="center"/>
              <w:rPr>
                <w:b/>
                <w:bCs/>
                <w:color w:val="auto"/>
                <w:szCs w:val="21"/>
                <w:highlight w:val="none"/>
              </w:rPr>
            </w:pPr>
          </w:p>
        </w:tc>
        <w:tc>
          <w:tcPr>
            <w:tcW w:w="1175" w:type="dxa"/>
            <w:tcBorders>
              <w:top w:val="single" w:color="auto" w:sz="4" w:space="0"/>
              <w:left w:val="single" w:color="auto" w:sz="4" w:space="0"/>
              <w:right w:val="single" w:color="auto" w:sz="4" w:space="0"/>
            </w:tcBorders>
            <w:vAlign w:val="center"/>
          </w:tcPr>
          <w:p w14:paraId="31415AC7">
            <w:pPr>
              <w:adjustRightInd w:val="0"/>
              <w:snapToGrid w:val="0"/>
              <w:jc w:val="center"/>
              <w:rPr>
                <w:rFonts w:ascii="宋体" w:hAnsi="宋体" w:cs="宋体"/>
                <w:b/>
                <w:bCs/>
                <w:color w:val="auto"/>
                <w:kern w:val="0"/>
                <w:szCs w:val="21"/>
                <w:highlight w:val="none"/>
              </w:rPr>
            </w:pPr>
          </w:p>
        </w:tc>
        <w:tc>
          <w:tcPr>
            <w:tcW w:w="1153" w:type="dxa"/>
            <w:tcBorders>
              <w:top w:val="single" w:color="auto" w:sz="4" w:space="0"/>
              <w:left w:val="single" w:color="auto" w:sz="4" w:space="0"/>
              <w:right w:val="single" w:color="auto" w:sz="4" w:space="0"/>
            </w:tcBorders>
            <w:vAlign w:val="center"/>
          </w:tcPr>
          <w:p w14:paraId="6BE5D23C">
            <w:pPr>
              <w:adjustRightInd w:val="0"/>
              <w:snapToGrid w:val="0"/>
              <w:jc w:val="center"/>
              <w:rPr>
                <w:b/>
                <w:bCs/>
                <w:color w:val="auto"/>
                <w:szCs w:val="21"/>
                <w:highlight w:val="none"/>
              </w:rPr>
            </w:pPr>
          </w:p>
        </w:tc>
        <w:tc>
          <w:tcPr>
            <w:tcW w:w="1241" w:type="dxa"/>
            <w:tcBorders>
              <w:top w:val="single" w:color="auto" w:sz="4" w:space="0"/>
              <w:left w:val="single" w:color="auto" w:sz="4" w:space="0"/>
              <w:right w:val="single" w:color="auto" w:sz="4" w:space="0"/>
            </w:tcBorders>
            <w:vAlign w:val="center"/>
          </w:tcPr>
          <w:p w14:paraId="64C79987">
            <w:pPr>
              <w:adjustRightInd w:val="0"/>
              <w:snapToGrid w:val="0"/>
              <w:jc w:val="center"/>
              <w:rPr>
                <w:color w:val="auto"/>
                <w:szCs w:val="21"/>
                <w:highlight w:val="none"/>
              </w:rPr>
            </w:pPr>
          </w:p>
        </w:tc>
      </w:tr>
      <w:tr w14:paraId="58C2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40" w:type="dxa"/>
            <w:tcBorders>
              <w:top w:val="single" w:color="auto" w:sz="4" w:space="0"/>
              <w:left w:val="single" w:color="auto" w:sz="4" w:space="0"/>
              <w:bottom w:val="single" w:color="auto" w:sz="4" w:space="0"/>
              <w:right w:val="single" w:color="auto" w:sz="4" w:space="0"/>
            </w:tcBorders>
            <w:vAlign w:val="center"/>
          </w:tcPr>
          <w:p w14:paraId="533D817A">
            <w:pPr>
              <w:jc w:val="center"/>
              <w:rPr>
                <w:rFonts w:ascii="宋体" w:hAnsi="宋体"/>
                <w:color w:val="auto"/>
                <w:szCs w:val="21"/>
                <w:highlight w:val="none"/>
              </w:rPr>
            </w:pPr>
            <w:r>
              <w:rPr>
                <w:rFonts w:hint="eastAsia" w:ascii="宋体" w:hAnsi="宋体"/>
                <w:color w:val="auto"/>
                <w:szCs w:val="21"/>
                <w:highlight w:val="none"/>
              </w:rPr>
              <w:t>1</w:t>
            </w:r>
          </w:p>
        </w:tc>
        <w:tc>
          <w:tcPr>
            <w:tcW w:w="4863" w:type="dxa"/>
            <w:tcBorders>
              <w:top w:val="single" w:color="auto" w:sz="4" w:space="0"/>
              <w:left w:val="single" w:color="auto" w:sz="4" w:space="0"/>
              <w:bottom w:val="single" w:color="auto" w:sz="4" w:space="0"/>
              <w:right w:val="single" w:color="auto" w:sz="4" w:space="0"/>
            </w:tcBorders>
            <w:vAlign w:val="center"/>
          </w:tcPr>
          <w:p w14:paraId="43D929F7">
            <w:pPr>
              <w:snapToGrid w:val="0"/>
              <w:spacing w:line="240" w:lineRule="exact"/>
              <w:jc w:val="left"/>
              <w:rPr>
                <w:rFonts w:ascii="宋体" w:hAnsi="宋体" w:cs="宋体"/>
                <w:color w:val="auto"/>
                <w:szCs w:val="21"/>
                <w:highlight w:val="none"/>
              </w:rPr>
            </w:pPr>
            <w:r>
              <w:rPr>
                <w:rFonts w:hint="eastAsia" w:ascii="宋体" w:hAnsi="宋体" w:cs="宋体"/>
                <w:color w:val="auto"/>
                <w:szCs w:val="21"/>
                <w:highlight w:val="none"/>
              </w:rPr>
              <w:t>磋商响应声明</w:t>
            </w:r>
          </w:p>
        </w:tc>
        <w:tc>
          <w:tcPr>
            <w:tcW w:w="1033" w:type="dxa"/>
            <w:tcBorders>
              <w:left w:val="single" w:color="auto" w:sz="4" w:space="0"/>
              <w:right w:val="single" w:color="auto" w:sz="4" w:space="0"/>
            </w:tcBorders>
            <w:vAlign w:val="center"/>
          </w:tcPr>
          <w:p w14:paraId="0B8FD3E8">
            <w:pPr>
              <w:jc w:val="center"/>
              <w:rPr>
                <w:color w:val="auto"/>
                <w:szCs w:val="21"/>
                <w:highlight w:val="none"/>
              </w:rPr>
            </w:pPr>
          </w:p>
        </w:tc>
        <w:tc>
          <w:tcPr>
            <w:tcW w:w="1175" w:type="dxa"/>
            <w:tcBorders>
              <w:left w:val="single" w:color="auto" w:sz="4" w:space="0"/>
              <w:right w:val="single" w:color="auto" w:sz="4" w:space="0"/>
            </w:tcBorders>
            <w:vAlign w:val="center"/>
          </w:tcPr>
          <w:p w14:paraId="46921F76">
            <w:pPr>
              <w:jc w:val="center"/>
              <w:rPr>
                <w:color w:val="auto"/>
                <w:szCs w:val="21"/>
                <w:highlight w:val="none"/>
              </w:rPr>
            </w:pPr>
          </w:p>
        </w:tc>
        <w:tc>
          <w:tcPr>
            <w:tcW w:w="1153" w:type="dxa"/>
            <w:tcBorders>
              <w:left w:val="single" w:color="auto" w:sz="4" w:space="0"/>
              <w:right w:val="single" w:color="auto" w:sz="4" w:space="0"/>
            </w:tcBorders>
            <w:vAlign w:val="center"/>
          </w:tcPr>
          <w:p w14:paraId="4AED6596">
            <w:pPr>
              <w:jc w:val="center"/>
              <w:rPr>
                <w:color w:val="auto"/>
                <w:szCs w:val="21"/>
                <w:highlight w:val="none"/>
              </w:rPr>
            </w:pPr>
          </w:p>
        </w:tc>
        <w:tc>
          <w:tcPr>
            <w:tcW w:w="1241" w:type="dxa"/>
            <w:tcBorders>
              <w:left w:val="single" w:color="auto" w:sz="4" w:space="0"/>
              <w:right w:val="single" w:color="auto" w:sz="4" w:space="0"/>
            </w:tcBorders>
            <w:vAlign w:val="center"/>
          </w:tcPr>
          <w:p w14:paraId="2F07C531">
            <w:pPr>
              <w:jc w:val="center"/>
              <w:rPr>
                <w:color w:val="auto"/>
                <w:szCs w:val="21"/>
                <w:highlight w:val="none"/>
              </w:rPr>
            </w:pPr>
          </w:p>
        </w:tc>
      </w:tr>
      <w:tr w14:paraId="7835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40" w:type="dxa"/>
            <w:tcBorders>
              <w:top w:val="single" w:color="auto" w:sz="4" w:space="0"/>
              <w:left w:val="single" w:color="auto" w:sz="4" w:space="0"/>
              <w:bottom w:val="single" w:color="auto" w:sz="4" w:space="0"/>
              <w:right w:val="single" w:color="auto" w:sz="4" w:space="0"/>
            </w:tcBorders>
            <w:vAlign w:val="center"/>
          </w:tcPr>
          <w:p w14:paraId="110B7CD3">
            <w:pPr>
              <w:jc w:val="center"/>
              <w:rPr>
                <w:rFonts w:ascii="宋体" w:hAnsi="宋体"/>
                <w:color w:val="auto"/>
                <w:szCs w:val="21"/>
                <w:highlight w:val="none"/>
              </w:rPr>
            </w:pPr>
            <w:r>
              <w:rPr>
                <w:rFonts w:hint="eastAsia" w:ascii="宋体" w:hAnsi="宋体"/>
                <w:color w:val="auto"/>
                <w:szCs w:val="21"/>
                <w:highlight w:val="none"/>
              </w:rPr>
              <w:t>2</w:t>
            </w:r>
          </w:p>
        </w:tc>
        <w:tc>
          <w:tcPr>
            <w:tcW w:w="4863" w:type="dxa"/>
            <w:tcBorders>
              <w:top w:val="single" w:color="auto" w:sz="4" w:space="0"/>
              <w:left w:val="single" w:color="auto" w:sz="4" w:space="0"/>
              <w:bottom w:val="single" w:color="auto" w:sz="4" w:space="0"/>
              <w:right w:val="single" w:color="auto" w:sz="4" w:space="0"/>
            </w:tcBorders>
            <w:vAlign w:val="center"/>
          </w:tcPr>
          <w:p w14:paraId="68542EDC">
            <w:pPr>
              <w:snapToGrid w:val="0"/>
              <w:spacing w:line="240" w:lineRule="exact"/>
              <w:jc w:val="left"/>
              <w:rPr>
                <w:rFonts w:ascii="宋体" w:hAnsi="宋体"/>
                <w:color w:val="auto"/>
                <w:szCs w:val="21"/>
                <w:highlight w:val="none"/>
              </w:rPr>
            </w:pPr>
            <w:r>
              <w:rPr>
                <w:rFonts w:hint="eastAsia" w:ascii="宋体" w:hAnsi="宋体" w:cs="宋体"/>
                <w:color w:val="auto"/>
                <w:szCs w:val="21"/>
                <w:highlight w:val="none"/>
              </w:rPr>
              <w:t>法人提交企业法人营业执照副本</w:t>
            </w:r>
            <w:r>
              <w:rPr>
                <w:rFonts w:hint="eastAsia" w:ascii="宋体" w:hAnsi="宋体" w:cs="宋体"/>
                <w:color w:val="auto"/>
                <w:szCs w:val="21"/>
                <w:highlight w:val="none"/>
                <w:lang w:eastAsia="zh-CN"/>
              </w:rPr>
              <w:t>（</w:t>
            </w:r>
            <w:r>
              <w:rPr>
                <w:rFonts w:hint="eastAsia" w:ascii="宋体" w:hAnsi="宋体" w:cs="宋体"/>
                <w:color w:val="auto"/>
                <w:szCs w:val="21"/>
                <w:highlight w:val="none"/>
              </w:rPr>
              <w:t>或者法人登记证书</w:t>
            </w:r>
            <w:r>
              <w:rPr>
                <w:rFonts w:hint="eastAsia" w:ascii="宋体" w:hAnsi="宋体" w:cs="宋体"/>
                <w:color w:val="auto"/>
                <w:szCs w:val="21"/>
                <w:highlight w:val="none"/>
                <w:lang w:eastAsia="zh-CN"/>
              </w:rPr>
              <w:t>）</w:t>
            </w:r>
            <w:r>
              <w:rPr>
                <w:rFonts w:hint="eastAsia" w:ascii="宋体" w:hAnsi="宋体" w:cs="宋体"/>
                <w:color w:val="auto"/>
                <w:szCs w:val="21"/>
                <w:highlight w:val="none"/>
              </w:rPr>
              <w:t>以及组织机构代码证副本复印件</w:t>
            </w:r>
          </w:p>
        </w:tc>
        <w:tc>
          <w:tcPr>
            <w:tcW w:w="1033" w:type="dxa"/>
            <w:tcBorders>
              <w:left w:val="single" w:color="auto" w:sz="4" w:space="0"/>
              <w:right w:val="single" w:color="auto" w:sz="4" w:space="0"/>
            </w:tcBorders>
            <w:vAlign w:val="center"/>
          </w:tcPr>
          <w:p w14:paraId="328B6001">
            <w:pPr>
              <w:jc w:val="center"/>
              <w:rPr>
                <w:color w:val="auto"/>
                <w:szCs w:val="21"/>
                <w:highlight w:val="none"/>
              </w:rPr>
            </w:pPr>
          </w:p>
        </w:tc>
        <w:tc>
          <w:tcPr>
            <w:tcW w:w="1175" w:type="dxa"/>
            <w:tcBorders>
              <w:left w:val="single" w:color="auto" w:sz="4" w:space="0"/>
              <w:right w:val="single" w:color="auto" w:sz="4" w:space="0"/>
            </w:tcBorders>
            <w:vAlign w:val="center"/>
          </w:tcPr>
          <w:p w14:paraId="7E1AE02D">
            <w:pPr>
              <w:jc w:val="center"/>
              <w:rPr>
                <w:color w:val="auto"/>
                <w:szCs w:val="21"/>
                <w:highlight w:val="none"/>
              </w:rPr>
            </w:pPr>
          </w:p>
        </w:tc>
        <w:tc>
          <w:tcPr>
            <w:tcW w:w="1153" w:type="dxa"/>
            <w:tcBorders>
              <w:left w:val="single" w:color="auto" w:sz="4" w:space="0"/>
              <w:right w:val="single" w:color="auto" w:sz="4" w:space="0"/>
            </w:tcBorders>
            <w:vAlign w:val="center"/>
          </w:tcPr>
          <w:p w14:paraId="237F299C">
            <w:pPr>
              <w:jc w:val="center"/>
              <w:rPr>
                <w:color w:val="auto"/>
                <w:szCs w:val="21"/>
                <w:highlight w:val="none"/>
              </w:rPr>
            </w:pPr>
          </w:p>
        </w:tc>
        <w:tc>
          <w:tcPr>
            <w:tcW w:w="1241" w:type="dxa"/>
            <w:tcBorders>
              <w:left w:val="single" w:color="auto" w:sz="4" w:space="0"/>
              <w:right w:val="single" w:color="auto" w:sz="4" w:space="0"/>
            </w:tcBorders>
            <w:vAlign w:val="center"/>
          </w:tcPr>
          <w:p w14:paraId="3F119C11">
            <w:pPr>
              <w:jc w:val="center"/>
              <w:rPr>
                <w:color w:val="auto"/>
                <w:szCs w:val="21"/>
                <w:highlight w:val="none"/>
              </w:rPr>
            </w:pPr>
          </w:p>
        </w:tc>
      </w:tr>
      <w:tr w14:paraId="4EF4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40" w:type="dxa"/>
            <w:tcBorders>
              <w:top w:val="single" w:color="auto" w:sz="4" w:space="0"/>
              <w:left w:val="single" w:color="auto" w:sz="4" w:space="0"/>
              <w:bottom w:val="single" w:color="auto" w:sz="4" w:space="0"/>
              <w:right w:val="single" w:color="auto" w:sz="4" w:space="0"/>
            </w:tcBorders>
            <w:vAlign w:val="center"/>
          </w:tcPr>
          <w:p w14:paraId="105EF3D8">
            <w:pPr>
              <w:jc w:val="center"/>
              <w:rPr>
                <w:rFonts w:ascii="宋体" w:hAnsi="宋体"/>
                <w:color w:val="auto"/>
                <w:szCs w:val="21"/>
                <w:highlight w:val="none"/>
              </w:rPr>
            </w:pPr>
            <w:r>
              <w:rPr>
                <w:rFonts w:hint="eastAsia" w:ascii="宋体" w:hAnsi="宋体"/>
                <w:color w:val="auto"/>
                <w:szCs w:val="21"/>
                <w:highlight w:val="none"/>
              </w:rPr>
              <w:t>3</w:t>
            </w:r>
          </w:p>
        </w:tc>
        <w:tc>
          <w:tcPr>
            <w:tcW w:w="4863" w:type="dxa"/>
            <w:tcBorders>
              <w:top w:val="single" w:color="auto" w:sz="4" w:space="0"/>
              <w:left w:val="single" w:color="auto" w:sz="4" w:space="0"/>
              <w:bottom w:val="single" w:color="auto" w:sz="4" w:space="0"/>
              <w:right w:val="single" w:color="auto" w:sz="4" w:space="0"/>
            </w:tcBorders>
            <w:vAlign w:val="center"/>
          </w:tcPr>
          <w:p w14:paraId="7A5B0428">
            <w:pPr>
              <w:snapToGrid w:val="0"/>
              <w:spacing w:line="240" w:lineRule="exact"/>
              <w:jc w:val="left"/>
              <w:rPr>
                <w:rFonts w:ascii="宋体" w:hAnsi="宋体"/>
                <w:color w:val="auto"/>
                <w:szCs w:val="21"/>
                <w:highlight w:val="none"/>
              </w:rPr>
            </w:pPr>
            <w:r>
              <w:rPr>
                <w:rFonts w:hint="eastAsia" w:ascii="宋体" w:hAnsi="宋体"/>
                <w:color w:val="auto"/>
                <w:szCs w:val="21"/>
                <w:highlight w:val="none"/>
              </w:rPr>
              <w:t>法人提交法定代表人身份证明或者法人授权委托书并附法人身份证明，自然人提交身份证</w:t>
            </w:r>
          </w:p>
        </w:tc>
        <w:tc>
          <w:tcPr>
            <w:tcW w:w="1033" w:type="dxa"/>
            <w:tcBorders>
              <w:left w:val="single" w:color="auto" w:sz="4" w:space="0"/>
              <w:right w:val="single" w:color="auto" w:sz="4" w:space="0"/>
            </w:tcBorders>
            <w:vAlign w:val="center"/>
          </w:tcPr>
          <w:p w14:paraId="36B910EF">
            <w:pPr>
              <w:jc w:val="center"/>
              <w:rPr>
                <w:color w:val="auto"/>
                <w:szCs w:val="21"/>
                <w:highlight w:val="none"/>
              </w:rPr>
            </w:pPr>
          </w:p>
        </w:tc>
        <w:tc>
          <w:tcPr>
            <w:tcW w:w="1175" w:type="dxa"/>
            <w:tcBorders>
              <w:left w:val="single" w:color="auto" w:sz="4" w:space="0"/>
              <w:right w:val="single" w:color="auto" w:sz="4" w:space="0"/>
            </w:tcBorders>
            <w:vAlign w:val="center"/>
          </w:tcPr>
          <w:p w14:paraId="0D741EF0">
            <w:pPr>
              <w:jc w:val="center"/>
              <w:rPr>
                <w:color w:val="auto"/>
                <w:szCs w:val="21"/>
                <w:highlight w:val="none"/>
              </w:rPr>
            </w:pPr>
          </w:p>
        </w:tc>
        <w:tc>
          <w:tcPr>
            <w:tcW w:w="1153" w:type="dxa"/>
            <w:tcBorders>
              <w:left w:val="single" w:color="auto" w:sz="4" w:space="0"/>
              <w:right w:val="single" w:color="auto" w:sz="4" w:space="0"/>
            </w:tcBorders>
            <w:vAlign w:val="center"/>
          </w:tcPr>
          <w:p w14:paraId="71FF6194">
            <w:pPr>
              <w:jc w:val="center"/>
              <w:rPr>
                <w:color w:val="auto"/>
                <w:szCs w:val="21"/>
                <w:highlight w:val="none"/>
              </w:rPr>
            </w:pPr>
          </w:p>
        </w:tc>
        <w:tc>
          <w:tcPr>
            <w:tcW w:w="1241" w:type="dxa"/>
            <w:tcBorders>
              <w:left w:val="single" w:color="auto" w:sz="4" w:space="0"/>
              <w:right w:val="single" w:color="auto" w:sz="4" w:space="0"/>
            </w:tcBorders>
            <w:vAlign w:val="center"/>
          </w:tcPr>
          <w:p w14:paraId="657DEF49">
            <w:pPr>
              <w:jc w:val="center"/>
              <w:rPr>
                <w:color w:val="auto"/>
                <w:szCs w:val="21"/>
                <w:highlight w:val="none"/>
              </w:rPr>
            </w:pPr>
          </w:p>
        </w:tc>
      </w:tr>
      <w:tr w14:paraId="5BBE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40" w:type="dxa"/>
            <w:tcBorders>
              <w:top w:val="single" w:color="auto" w:sz="4" w:space="0"/>
              <w:left w:val="single" w:color="auto" w:sz="4" w:space="0"/>
              <w:bottom w:val="single" w:color="auto" w:sz="4" w:space="0"/>
              <w:right w:val="single" w:color="auto" w:sz="4" w:space="0"/>
            </w:tcBorders>
            <w:vAlign w:val="center"/>
          </w:tcPr>
          <w:p w14:paraId="2C5AC9A8">
            <w:pPr>
              <w:jc w:val="center"/>
              <w:rPr>
                <w:rFonts w:ascii="宋体" w:hAnsi="宋体"/>
                <w:color w:val="auto"/>
                <w:szCs w:val="21"/>
                <w:highlight w:val="none"/>
              </w:rPr>
            </w:pPr>
            <w:r>
              <w:rPr>
                <w:rFonts w:hint="eastAsia" w:ascii="宋体" w:hAnsi="宋体"/>
                <w:color w:val="auto"/>
                <w:szCs w:val="21"/>
                <w:highlight w:val="none"/>
              </w:rPr>
              <w:t>4</w:t>
            </w:r>
          </w:p>
        </w:tc>
        <w:tc>
          <w:tcPr>
            <w:tcW w:w="4863" w:type="dxa"/>
            <w:tcBorders>
              <w:top w:val="single" w:color="auto" w:sz="4" w:space="0"/>
              <w:left w:val="single" w:color="auto" w:sz="4" w:space="0"/>
              <w:bottom w:val="single" w:color="auto" w:sz="4" w:space="0"/>
              <w:right w:val="single" w:color="auto" w:sz="4" w:space="0"/>
            </w:tcBorders>
            <w:vAlign w:val="center"/>
          </w:tcPr>
          <w:p w14:paraId="0E7AF80D">
            <w:pPr>
              <w:snapToGrid w:val="0"/>
              <w:spacing w:line="240" w:lineRule="exact"/>
              <w:rPr>
                <w:rFonts w:ascii="宋体" w:hAnsi="宋体"/>
                <w:b w:val="0"/>
                <w:bCs w:val="0"/>
                <w:color w:val="auto"/>
                <w:szCs w:val="21"/>
                <w:highlight w:val="none"/>
              </w:rPr>
            </w:pPr>
            <w:r>
              <w:rPr>
                <w:rFonts w:hint="eastAsia" w:ascii="宋体" w:hAnsi="宋体"/>
                <w:b w:val="0"/>
                <w:bCs w:val="0"/>
                <w:color w:val="auto"/>
                <w:szCs w:val="21"/>
                <w:highlight w:val="none"/>
              </w:rPr>
              <w:t>具有良好的商业信誉和健全的财务会计制度（</w:t>
            </w:r>
            <w:r>
              <w:rPr>
                <w:rFonts w:hint="eastAsia" w:ascii="宋体" w:hAnsi="宋体" w:cs="宋体"/>
                <w:b w:val="0"/>
                <w:bCs w:val="0"/>
                <w:color w:val="auto"/>
                <w:szCs w:val="21"/>
                <w:highlight w:val="none"/>
              </w:rPr>
              <w:t>依据湖南省财政厅《关于政府采购促进中小企业发展有关措施的通知》，符合法定条件的供应商凭《湖南省政府采购供应商资格承诺函》（附件</w:t>
            </w:r>
            <w:r>
              <w:rPr>
                <w:rFonts w:hint="eastAsia" w:ascii="宋体" w:hAnsi="宋体" w:cs="宋体"/>
                <w:b w:val="0"/>
                <w:bCs w:val="0"/>
                <w:color w:val="auto"/>
                <w:szCs w:val="21"/>
                <w:highlight w:val="none"/>
                <w:lang w:val="en-US" w:eastAsia="zh-CN"/>
              </w:rPr>
              <w:t>4</w:t>
            </w:r>
            <w:r>
              <w:rPr>
                <w:rFonts w:hint="eastAsia" w:ascii="宋体" w:hAnsi="宋体" w:cs="宋体"/>
                <w:b w:val="0"/>
                <w:bCs w:val="0"/>
                <w:color w:val="auto"/>
                <w:szCs w:val="21"/>
                <w:highlight w:val="none"/>
              </w:rPr>
              <w:t>-1-2 ）参与政府采购活动，无需提供财务状况、缴纳税收和社会保障资金等资格证明材料。</w:t>
            </w:r>
            <w:r>
              <w:rPr>
                <w:rFonts w:hint="eastAsia" w:ascii="宋体" w:hAnsi="宋体"/>
                <w:b w:val="0"/>
                <w:bCs w:val="0"/>
                <w:color w:val="auto"/>
                <w:szCs w:val="21"/>
                <w:highlight w:val="none"/>
              </w:rPr>
              <w:t>）</w:t>
            </w:r>
          </w:p>
        </w:tc>
        <w:tc>
          <w:tcPr>
            <w:tcW w:w="1033" w:type="dxa"/>
            <w:tcBorders>
              <w:left w:val="single" w:color="auto" w:sz="4" w:space="0"/>
              <w:right w:val="single" w:color="auto" w:sz="4" w:space="0"/>
            </w:tcBorders>
            <w:vAlign w:val="center"/>
          </w:tcPr>
          <w:p w14:paraId="41B34FAA">
            <w:pPr>
              <w:ind w:right="-246" w:rightChars="-117"/>
              <w:jc w:val="center"/>
              <w:rPr>
                <w:color w:val="auto"/>
                <w:szCs w:val="21"/>
                <w:highlight w:val="none"/>
              </w:rPr>
            </w:pPr>
          </w:p>
        </w:tc>
        <w:tc>
          <w:tcPr>
            <w:tcW w:w="1175" w:type="dxa"/>
            <w:tcBorders>
              <w:left w:val="single" w:color="auto" w:sz="4" w:space="0"/>
              <w:right w:val="single" w:color="auto" w:sz="4" w:space="0"/>
            </w:tcBorders>
          </w:tcPr>
          <w:p w14:paraId="7CCF47E8">
            <w:pPr>
              <w:ind w:right="-246" w:rightChars="-117"/>
              <w:jc w:val="center"/>
              <w:rPr>
                <w:color w:val="auto"/>
                <w:szCs w:val="21"/>
                <w:highlight w:val="none"/>
              </w:rPr>
            </w:pPr>
          </w:p>
        </w:tc>
        <w:tc>
          <w:tcPr>
            <w:tcW w:w="1153" w:type="dxa"/>
            <w:tcBorders>
              <w:left w:val="single" w:color="auto" w:sz="4" w:space="0"/>
              <w:right w:val="single" w:color="auto" w:sz="4" w:space="0"/>
            </w:tcBorders>
          </w:tcPr>
          <w:p w14:paraId="7A25EFCB">
            <w:pPr>
              <w:ind w:right="-246" w:rightChars="-117"/>
              <w:jc w:val="center"/>
              <w:rPr>
                <w:color w:val="auto"/>
                <w:szCs w:val="21"/>
                <w:highlight w:val="none"/>
              </w:rPr>
            </w:pPr>
          </w:p>
        </w:tc>
        <w:tc>
          <w:tcPr>
            <w:tcW w:w="1241" w:type="dxa"/>
            <w:tcBorders>
              <w:left w:val="single" w:color="auto" w:sz="4" w:space="0"/>
              <w:right w:val="single" w:color="auto" w:sz="4" w:space="0"/>
            </w:tcBorders>
          </w:tcPr>
          <w:p w14:paraId="2216D861">
            <w:pPr>
              <w:ind w:right="-246" w:rightChars="-117"/>
              <w:jc w:val="center"/>
              <w:rPr>
                <w:color w:val="auto"/>
                <w:szCs w:val="21"/>
                <w:highlight w:val="none"/>
              </w:rPr>
            </w:pPr>
          </w:p>
        </w:tc>
      </w:tr>
      <w:tr w14:paraId="328D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0" w:type="dxa"/>
            <w:tcBorders>
              <w:top w:val="single" w:color="auto" w:sz="4" w:space="0"/>
              <w:left w:val="single" w:color="auto" w:sz="4" w:space="0"/>
              <w:bottom w:val="single" w:color="auto" w:sz="4" w:space="0"/>
              <w:right w:val="single" w:color="auto" w:sz="4" w:space="0"/>
            </w:tcBorders>
            <w:vAlign w:val="center"/>
          </w:tcPr>
          <w:p w14:paraId="1ACB75A6">
            <w:pPr>
              <w:jc w:val="center"/>
              <w:rPr>
                <w:rFonts w:ascii="宋体" w:hAnsi="宋体"/>
                <w:color w:val="auto"/>
                <w:szCs w:val="21"/>
                <w:highlight w:val="none"/>
              </w:rPr>
            </w:pPr>
            <w:r>
              <w:rPr>
                <w:rFonts w:hint="eastAsia" w:ascii="宋体" w:hAnsi="宋体"/>
                <w:color w:val="auto"/>
                <w:szCs w:val="21"/>
                <w:highlight w:val="none"/>
              </w:rPr>
              <w:t>5</w:t>
            </w:r>
          </w:p>
        </w:tc>
        <w:tc>
          <w:tcPr>
            <w:tcW w:w="4863" w:type="dxa"/>
            <w:tcBorders>
              <w:top w:val="single" w:color="auto" w:sz="4" w:space="0"/>
              <w:left w:val="single" w:color="auto" w:sz="4" w:space="0"/>
              <w:bottom w:val="single" w:color="auto" w:sz="4" w:space="0"/>
              <w:right w:val="single" w:color="auto" w:sz="4" w:space="0"/>
            </w:tcBorders>
            <w:vAlign w:val="center"/>
          </w:tcPr>
          <w:p w14:paraId="4B634A38">
            <w:pPr>
              <w:snapToGrid w:val="0"/>
              <w:spacing w:line="240" w:lineRule="exact"/>
              <w:rPr>
                <w:rFonts w:hint="default" w:ascii="宋体" w:hAnsi="宋体" w:eastAsia="宋体"/>
                <w:b w:val="0"/>
                <w:bCs w:val="0"/>
                <w:color w:val="auto"/>
                <w:szCs w:val="21"/>
                <w:highlight w:val="none"/>
                <w:lang w:val="en-US" w:eastAsia="zh-CN"/>
              </w:rPr>
            </w:pPr>
            <w:r>
              <w:rPr>
                <w:rFonts w:hint="eastAsia" w:ascii="宋体" w:hAnsi="宋体"/>
                <w:b w:val="0"/>
                <w:bCs w:val="0"/>
                <w:color w:val="auto"/>
                <w:szCs w:val="21"/>
                <w:highlight w:val="none"/>
              </w:rPr>
              <w:t>具有履行合同所必需的设备和专业技术能力</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按要求提供</w:t>
            </w:r>
            <w:r>
              <w:rPr>
                <w:rFonts w:hint="eastAsia" w:ascii="宋体" w:hAnsi="宋体"/>
                <w:color w:val="auto"/>
                <w:szCs w:val="21"/>
                <w:highlight w:val="none"/>
                <w:lang w:eastAsia="zh-CN"/>
              </w:rPr>
              <w:t>供应商资格声明）</w:t>
            </w:r>
          </w:p>
        </w:tc>
        <w:tc>
          <w:tcPr>
            <w:tcW w:w="1033" w:type="dxa"/>
            <w:tcBorders>
              <w:left w:val="single" w:color="auto" w:sz="4" w:space="0"/>
              <w:right w:val="single" w:color="auto" w:sz="4" w:space="0"/>
            </w:tcBorders>
            <w:vAlign w:val="center"/>
          </w:tcPr>
          <w:p w14:paraId="4332BB44">
            <w:pPr>
              <w:ind w:right="-246" w:rightChars="-117"/>
              <w:jc w:val="center"/>
              <w:rPr>
                <w:color w:val="auto"/>
                <w:szCs w:val="21"/>
                <w:highlight w:val="none"/>
              </w:rPr>
            </w:pPr>
          </w:p>
        </w:tc>
        <w:tc>
          <w:tcPr>
            <w:tcW w:w="1175" w:type="dxa"/>
            <w:tcBorders>
              <w:left w:val="single" w:color="auto" w:sz="4" w:space="0"/>
              <w:right w:val="single" w:color="auto" w:sz="4" w:space="0"/>
            </w:tcBorders>
          </w:tcPr>
          <w:p w14:paraId="36652D90">
            <w:pPr>
              <w:ind w:right="-246" w:rightChars="-117"/>
              <w:jc w:val="center"/>
              <w:rPr>
                <w:color w:val="auto"/>
                <w:szCs w:val="21"/>
                <w:highlight w:val="none"/>
              </w:rPr>
            </w:pPr>
          </w:p>
        </w:tc>
        <w:tc>
          <w:tcPr>
            <w:tcW w:w="1153" w:type="dxa"/>
            <w:tcBorders>
              <w:left w:val="single" w:color="auto" w:sz="4" w:space="0"/>
              <w:right w:val="single" w:color="auto" w:sz="4" w:space="0"/>
            </w:tcBorders>
          </w:tcPr>
          <w:p w14:paraId="63315654">
            <w:pPr>
              <w:ind w:right="-246" w:rightChars="-117"/>
              <w:jc w:val="center"/>
              <w:rPr>
                <w:color w:val="auto"/>
                <w:szCs w:val="21"/>
                <w:highlight w:val="none"/>
              </w:rPr>
            </w:pPr>
          </w:p>
        </w:tc>
        <w:tc>
          <w:tcPr>
            <w:tcW w:w="1241" w:type="dxa"/>
            <w:tcBorders>
              <w:left w:val="single" w:color="auto" w:sz="4" w:space="0"/>
              <w:right w:val="single" w:color="auto" w:sz="4" w:space="0"/>
            </w:tcBorders>
          </w:tcPr>
          <w:p w14:paraId="05399D8D">
            <w:pPr>
              <w:ind w:right="-246" w:rightChars="-117"/>
              <w:jc w:val="center"/>
              <w:rPr>
                <w:color w:val="auto"/>
                <w:szCs w:val="21"/>
                <w:highlight w:val="none"/>
              </w:rPr>
            </w:pPr>
          </w:p>
        </w:tc>
      </w:tr>
      <w:tr w14:paraId="6645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540" w:type="dxa"/>
            <w:tcBorders>
              <w:top w:val="single" w:color="auto" w:sz="4" w:space="0"/>
              <w:left w:val="single" w:color="auto" w:sz="4" w:space="0"/>
              <w:bottom w:val="single" w:color="auto" w:sz="4" w:space="0"/>
              <w:right w:val="single" w:color="auto" w:sz="4" w:space="0"/>
            </w:tcBorders>
            <w:vAlign w:val="center"/>
          </w:tcPr>
          <w:p w14:paraId="091B89D6">
            <w:pPr>
              <w:jc w:val="center"/>
              <w:rPr>
                <w:rFonts w:ascii="宋体" w:hAnsi="宋体"/>
                <w:color w:val="auto"/>
                <w:szCs w:val="21"/>
                <w:highlight w:val="none"/>
              </w:rPr>
            </w:pPr>
            <w:r>
              <w:rPr>
                <w:rFonts w:hint="eastAsia" w:ascii="宋体" w:hAnsi="宋体"/>
                <w:color w:val="auto"/>
                <w:szCs w:val="21"/>
                <w:highlight w:val="none"/>
              </w:rPr>
              <w:t>6</w:t>
            </w:r>
          </w:p>
        </w:tc>
        <w:tc>
          <w:tcPr>
            <w:tcW w:w="4863" w:type="dxa"/>
            <w:tcBorders>
              <w:top w:val="single" w:color="auto" w:sz="4" w:space="0"/>
              <w:left w:val="single" w:color="auto" w:sz="4" w:space="0"/>
              <w:bottom w:val="single" w:color="auto" w:sz="4" w:space="0"/>
              <w:right w:val="single" w:color="auto" w:sz="4" w:space="0"/>
            </w:tcBorders>
            <w:vAlign w:val="center"/>
          </w:tcPr>
          <w:p w14:paraId="0373844B">
            <w:pPr>
              <w:rPr>
                <w:rFonts w:ascii="宋体" w:hAnsi="宋体"/>
                <w:b w:val="0"/>
                <w:bCs w:val="0"/>
                <w:color w:val="auto"/>
                <w:szCs w:val="21"/>
                <w:highlight w:val="none"/>
              </w:rPr>
            </w:pPr>
            <w:r>
              <w:rPr>
                <w:rFonts w:hint="eastAsia" w:ascii="宋体" w:hAnsi="宋体"/>
                <w:b w:val="0"/>
                <w:bCs w:val="0"/>
                <w:color w:val="auto"/>
                <w:szCs w:val="21"/>
                <w:highlight w:val="none"/>
              </w:rPr>
              <w:t>有依法缴纳税收和社会保障资金的良好记录（依据湖南省财政厅《关于政府采购促进中小企业发展有关措施的通知》，符合法定条件的供应商凭《湖南省政府采购供应商资格承诺函》（附件</w:t>
            </w:r>
            <w:r>
              <w:rPr>
                <w:rFonts w:hint="eastAsia" w:ascii="宋体" w:hAnsi="宋体"/>
                <w:b w:val="0"/>
                <w:bCs w:val="0"/>
                <w:color w:val="auto"/>
                <w:szCs w:val="21"/>
                <w:highlight w:val="none"/>
                <w:lang w:val="en-US" w:eastAsia="zh-CN"/>
              </w:rPr>
              <w:t>4</w:t>
            </w:r>
            <w:r>
              <w:rPr>
                <w:rFonts w:hint="eastAsia" w:ascii="宋体" w:hAnsi="宋体"/>
                <w:b w:val="0"/>
                <w:bCs w:val="0"/>
                <w:color w:val="auto"/>
                <w:szCs w:val="21"/>
                <w:highlight w:val="none"/>
              </w:rPr>
              <w:t>-1-2 ）参与政府采购活动，无需提供财务状况、缴纳税收和社会保障资金等资格证明材料）</w:t>
            </w:r>
          </w:p>
        </w:tc>
        <w:tc>
          <w:tcPr>
            <w:tcW w:w="1033" w:type="dxa"/>
            <w:tcBorders>
              <w:left w:val="single" w:color="auto" w:sz="4" w:space="0"/>
              <w:right w:val="single" w:color="auto" w:sz="4" w:space="0"/>
            </w:tcBorders>
            <w:vAlign w:val="center"/>
          </w:tcPr>
          <w:p w14:paraId="7129F3BB">
            <w:pPr>
              <w:rPr>
                <w:color w:val="auto"/>
                <w:szCs w:val="21"/>
                <w:highlight w:val="none"/>
              </w:rPr>
            </w:pPr>
          </w:p>
        </w:tc>
        <w:tc>
          <w:tcPr>
            <w:tcW w:w="1175" w:type="dxa"/>
            <w:tcBorders>
              <w:left w:val="single" w:color="auto" w:sz="4" w:space="0"/>
              <w:right w:val="single" w:color="auto" w:sz="4" w:space="0"/>
            </w:tcBorders>
          </w:tcPr>
          <w:p w14:paraId="495E2354">
            <w:pPr>
              <w:rPr>
                <w:color w:val="auto"/>
                <w:szCs w:val="21"/>
                <w:highlight w:val="none"/>
              </w:rPr>
            </w:pPr>
          </w:p>
        </w:tc>
        <w:tc>
          <w:tcPr>
            <w:tcW w:w="1153" w:type="dxa"/>
            <w:tcBorders>
              <w:left w:val="single" w:color="auto" w:sz="4" w:space="0"/>
              <w:right w:val="single" w:color="auto" w:sz="4" w:space="0"/>
            </w:tcBorders>
          </w:tcPr>
          <w:p w14:paraId="50009C73">
            <w:pPr>
              <w:rPr>
                <w:color w:val="auto"/>
                <w:szCs w:val="21"/>
                <w:highlight w:val="none"/>
              </w:rPr>
            </w:pPr>
          </w:p>
        </w:tc>
        <w:tc>
          <w:tcPr>
            <w:tcW w:w="1241" w:type="dxa"/>
            <w:tcBorders>
              <w:left w:val="single" w:color="auto" w:sz="4" w:space="0"/>
              <w:right w:val="single" w:color="auto" w:sz="4" w:space="0"/>
            </w:tcBorders>
          </w:tcPr>
          <w:p w14:paraId="0F9FE9F8">
            <w:pPr>
              <w:rPr>
                <w:color w:val="auto"/>
                <w:szCs w:val="21"/>
                <w:highlight w:val="none"/>
              </w:rPr>
            </w:pPr>
          </w:p>
        </w:tc>
      </w:tr>
      <w:tr w14:paraId="7994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540" w:type="dxa"/>
            <w:tcBorders>
              <w:top w:val="single" w:color="auto" w:sz="4" w:space="0"/>
              <w:left w:val="single" w:color="auto" w:sz="4" w:space="0"/>
              <w:bottom w:val="single" w:color="auto" w:sz="4" w:space="0"/>
              <w:right w:val="single" w:color="auto" w:sz="4" w:space="0"/>
            </w:tcBorders>
            <w:vAlign w:val="center"/>
          </w:tcPr>
          <w:p w14:paraId="181925DA">
            <w:pPr>
              <w:jc w:val="center"/>
              <w:rPr>
                <w:rFonts w:ascii="宋体" w:hAnsi="宋体"/>
                <w:color w:val="auto"/>
                <w:szCs w:val="21"/>
                <w:highlight w:val="none"/>
              </w:rPr>
            </w:pPr>
            <w:r>
              <w:rPr>
                <w:rFonts w:hint="eastAsia" w:ascii="宋体" w:hAnsi="宋体"/>
                <w:color w:val="auto"/>
                <w:szCs w:val="21"/>
                <w:highlight w:val="none"/>
              </w:rPr>
              <w:t>7</w:t>
            </w:r>
          </w:p>
        </w:tc>
        <w:tc>
          <w:tcPr>
            <w:tcW w:w="4863" w:type="dxa"/>
            <w:tcBorders>
              <w:top w:val="single" w:color="auto" w:sz="4" w:space="0"/>
              <w:left w:val="single" w:color="auto" w:sz="4" w:space="0"/>
              <w:bottom w:val="single" w:color="auto" w:sz="4" w:space="0"/>
              <w:right w:val="single" w:color="auto" w:sz="4" w:space="0"/>
            </w:tcBorders>
            <w:vAlign w:val="center"/>
          </w:tcPr>
          <w:p w14:paraId="3501C036">
            <w:pPr>
              <w:widowControl/>
              <w:jc w:val="left"/>
              <w:rPr>
                <w:rFonts w:ascii="宋体" w:hAnsi="宋体"/>
                <w:b w:val="0"/>
                <w:bCs w:val="0"/>
                <w:color w:val="auto"/>
                <w:szCs w:val="21"/>
                <w:highlight w:val="none"/>
              </w:rPr>
            </w:pPr>
            <w:r>
              <w:rPr>
                <w:rFonts w:hint="eastAsia" w:ascii="宋体" w:hAnsi="宋体" w:cs="宋体"/>
                <w:b w:val="0"/>
                <w:bCs w:val="0"/>
                <w:color w:val="auto"/>
                <w:szCs w:val="21"/>
                <w:highlight w:val="none"/>
              </w:rPr>
              <w:t>参加政府采购活动前三年内，在经营活动中没有重大违法记录</w:t>
            </w:r>
          </w:p>
        </w:tc>
        <w:tc>
          <w:tcPr>
            <w:tcW w:w="1033" w:type="dxa"/>
            <w:tcBorders>
              <w:left w:val="single" w:color="auto" w:sz="4" w:space="0"/>
              <w:right w:val="single" w:color="auto" w:sz="4" w:space="0"/>
            </w:tcBorders>
            <w:vAlign w:val="center"/>
          </w:tcPr>
          <w:p w14:paraId="0DDD250E">
            <w:pPr>
              <w:ind w:right="-246" w:rightChars="-117"/>
              <w:jc w:val="center"/>
              <w:rPr>
                <w:color w:val="auto"/>
                <w:szCs w:val="21"/>
                <w:highlight w:val="none"/>
              </w:rPr>
            </w:pPr>
          </w:p>
        </w:tc>
        <w:tc>
          <w:tcPr>
            <w:tcW w:w="1175" w:type="dxa"/>
            <w:tcBorders>
              <w:left w:val="single" w:color="auto" w:sz="4" w:space="0"/>
              <w:right w:val="single" w:color="auto" w:sz="4" w:space="0"/>
            </w:tcBorders>
          </w:tcPr>
          <w:p w14:paraId="3A20E372">
            <w:pPr>
              <w:ind w:right="-246" w:rightChars="-117"/>
              <w:jc w:val="center"/>
              <w:rPr>
                <w:color w:val="auto"/>
                <w:szCs w:val="21"/>
                <w:highlight w:val="none"/>
              </w:rPr>
            </w:pPr>
          </w:p>
        </w:tc>
        <w:tc>
          <w:tcPr>
            <w:tcW w:w="1153" w:type="dxa"/>
            <w:tcBorders>
              <w:left w:val="single" w:color="auto" w:sz="4" w:space="0"/>
              <w:right w:val="single" w:color="auto" w:sz="4" w:space="0"/>
            </w:tcBorders>
          </w:tcPr>
          <w:p w14:paraId="488A98C6">
            <w:pPr>
              <w:ind w:right="-246" w:rightChars="-117"/>
              <w:jc w:val="center"/>
              <w:rPr>
                <w:color w:val="auto"/>
                <w:szCs w:val="21"/>
                <w:highlight w:val="none"/>
              </w:rPr>
            </w:pPr>
          </w:p>
        </w:tc>
        <w:tc>
          <w:tcPr>
            <w:tcW w:w="1241" w:type="dxa"/>
            <w:tcBorders>
              <w:left w:val="single" w:color="auto" w:sz="4" w:space="0"/>
              <w:right w:val="single" w:color="auto" w:sz="4" w:space="0"/>
            </w:tcBorders>
          </w:tcPr>
          <w:p w14:paraId="21DC29C6">
            <w:pPr>
              <w:ind w:right="-246" w:rightChars="-117"/>
              <w:jc w:val="center"/>
              <w:rPr>
                <w:color w:val="auto"/>
                <w:szCs w:val="21"/>
                <w:highlight w:val="none"/>
              </w:rPr>
            </w:pPr>
          </w:p>
        </w:tc>
      </w:tr>
      <w:tr w14:paraId="1BB2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540" w:type="dxa"/>
            <w:tcBorders>
              <w:top w:val="single" w:color="auto" w:sz="4" w:space="0"/>
              <w:left w:val="single" w:color="auto" w:sz="4" w:space="0"/>
              <w:bottom w:val="single" w:color="auto" w:sz="4" w:space="0"/>
              <w:right w:val="single" w:color="auto" w:sz="4" w:space="0"/>
            </w:tcBorders>
            <w:vAlign w:val="center"/>
          </w:tcPr>
          <w:p w14:paraId="06CAA604">
            <w:pPr>
              <w:jc w:val="center"/>
              <w:rPr>
                <w:rFonts w:ascii="宋体" w:hAnsi="宋体"/>
                <w:color w:val="auto"/>
                <w:szCs w:val="21"/>
                <w:highlight w:val="none"/>
              </w:rPr>
            </w:pPr>
            <w:r>
              <w:rPr>
                <w:rFonts w:hint="eastAsia" w:ascii="宋体" w:hAnsi="宋体"/>
                <w:color w:val="auto"/>
                <w:szCs w:val="21"/>
                <w:highlight w:val="none"/>
              </w:rPr>
              <w:t>8</w:t>
            </w:r>
          </w:p>
        </w:tc>
        <w:tc>
          <w:tcPr>
            <w:tcW w:w="4863" w:type="dxa"/>
            <w:tcBorders>
              <w:top w:val="single" w:color="auto" w:sz="4" w:space="0"/>
              <w:left w:val="single" w:color="auto" w:sz="4" w:space="0"/>
              <w:bottom w:val="single" w:color="auto" w:sz="4" w:space="0"/>
              <w:right w:val="single" w:color="auto" w:sz="4" w:space="0"/>
            </w:tcBorders>
            <w:vAlign w:val="center"/>
          </w:tcPr>
          <w:p w14:paraId="69C1190E">
            <w:pPr>
              <w:widowControl/>
              <w:jc w:val="left"/>
              <w:rPr>
                <w:rFonts w:ascii="宋体" w:hAnsi="宋体" w:cs="宋体"/>
                <w:b w:val="0"/>
                <w:bCs w:val="0"/>
                <w:color w:val="auto"/>
                <w:szCs w:val="21"/>
                <w:highlight w:val="none"/>
              </w:rPr>
            </w:pPr>
            <w:r>
              <w:rPr>
                <w:rFonts w:hint="eastAsia" w:ascii="宋体" w:hAnsi="宋体" w:cs="宋体"/>
                <w:b w:val="0"/>
                <w:bCs w:val="0"/>
                <w:color w:val="auto"/>
                <w:szCs w:val="21"/>
                <w:highlight w:val="none"/>
              </w:rPr>
              <w:t>列入失信被执行人、重大税收违法案件当事人名单，列入政府采购严重违法失信行为记录名单的，拒绝其参与政府采购活动，投标人提供</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rPr>
              <w:t>信用中国”网站（www.creditchina.gov.cn）、中国政府采购网（www.ccgp.gov.cn）查询记录网上打印件。</w:t>
            </w:r>
          </w:p>
        </w:tc>
        <w:tc>
          <w:tcPr>
            <w:tcW w:w="1033" w:type="dxa"/>
            <w:tcBorders>
              <w:left w:val="single" w:color="auto" w:sz="4" w:space="0"/>
              <w:right w:val="single" w:color="auto" w:sz="4" w:space="0"/>
            </w:tcBorders>
            <w:vAlign w:val="center"/>
          </w:tcPr>
          <w:p w14:paraId="141797B9">
            <w:pPr>
              <w:ind w:right="-246" w:rightChars="-117"/>
              <w:jc w:val="center"/>
              <w:rPr>
                <w:color w:val="auto"/>
                <w:szCs w:val="21"/>
                <w:highlight w:val="none"/>
              </w:rPr>
            </w:pPr>
          </w:p>
        </w:tc>
        <w:tc>
          <w:tcPr>
            <w:tcW w:w="1175" w:type="dxa"/>
            <w:tcBorders>
              <w:left w:val="single" w:color="auto" w:sz="4" w:space="0"/>
              <w:right w:val="single" w:color="auto" w:sz="4" w:space="0"/>
            </w:tcBorders>
          </w:tcPr>
          <w:p w14:paraId="199960BB">
            <w:pPr>
              <w:ind w:right="-246" w:rightChars="-117"/>
              <w:jc w:val="center"/>
              <w:rPr>
                <w:color w:val="auto"/>
                <w:szCs w:val="21"/>
                <w:highlight w:val="none"/>
              </w:rPr>
            </w:pPr>
          </w:p>
        </w:tc>
        <w:tc>
          <w:tcPr>
            <w:tcW w:w="1153" w:type="dxa"/>
            <w:tcBorders>
              <w:left w:val="single" w:color="auto" w:sz="4" w:space="0"/>
              <w:right w:val="single" w:color="auto" w:sz="4" w:space="0"/>
            </w:tcBorders>
          </w:tcPr>
          <w:p w14:paraId="42775C81">
            <w:pPr>
              <w:ind w:right="-246" w:rightChars="-117"/>
              <w:jc w:val="center"/>
              <w:rPr>
                <w:color w:val="auto"/>
                <w:szCs w:val="21"/>
                <w:highlight w:val="none"/>
              </w:rPr>
            </w:pPr>
          </w:p>
        </w:tc>
        <w:tc>
          <w:tcPr>
            <w:tcW w:w="1241" w:type="dxa"/>
            <w:tcBorders>
              <w:left w:val="single" w:color="auto" w:sz="4" w:space="0"/>
              <w:right w:val="single" w:color="auto" w:sz="4" w:space="0"/>
            </w:tcBorders>
          </w:tcPr>
          <w:p w14:paraId="34DD35BB">
            <w:pPr>
              <w:ind w:right="-246" w:rightChars="-117"/>
              <w:jc w:val="center"/>
              <w:rPr>
                <w:color w:val="auto"/>
                <w:szCs w:val="21"/>
                <w:highlight w:val="none"/>
              </w:rPr>
            </w:pPr>
          </w:p>
        </w:tc>
      </w:tr>
      <w:tr w14:paraId="4A9F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540" w:type="dxa"/>
            <w:tcBorders>
              <w:top w:val="single" w:color="auto" w:sz="4" w:space="0"/>
              <w:left w:val="single" w:color="auto" w:sz="4" w:space="0"/>
              <w:bottom w:val="single" w:color="auto" w:sz="4" w:space="0"/>
              <w:right w:val="single" w:color="auto" w:sz="4" w:space="0"/>
            </w:tcBorders>
            <w:vAlign w:val="center"/>
          </w:tcPr>
          <w:p w14:paraId="300E1A77">
            <w:pPr>
              <w:jc w:val="center"/>
              <w:rPr>
                <w:rFonts w:ascii="宋体" w:hAnsi="宋体"/>
                <w:color w:val="auto"/>
                <w:szCs w:val="21"/>
                <w:highlight w:val="none"/>
              </w:rPr>
            </w:pPr>
            <w:r>
              <w:rPr>
                <w:rFonts w:hint="eastAsia" w:ascii="宋体" w:hAnsi="宋体"/>
                <w:color w:val="auto"/>
                <w:szCs w:val="21"/>
                <w:highlight w:val="none"/>
              </w:rPr>
              <w:t>9</w:t>
            </w:r>
          </w:p>
        </w:tc>
        <w:tc>
          <w:tcPr>
            <w:tcW w:w="4863" w:type="dxa"/>
            <w:tcBorders>
              <w:top w:val="single" w:color="auto" w:sz="4" w:space="0"/>
              <w:left w:val="single" w:color="auto" w:sz="4" w:space="0"/>
              <w:bottom w:val="single" w:color="auto" w:sz="4" w:space="0"/>
              <w:right w:val="single" w:color="auto" w:sz="4" w:space="0"/>
            </w:tcBorders>
            <w:vAlign w:val="center"/>
          </w:tcPr>
          <w:p w14:paraId="23B8296E">
            <w:pPr>
              <w:widowControl/>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特定资格条件</w:t>
            </w:r>
          </w:p>
        </w:tc>
        <w:tc>
          <w:tcPr>
            <w:tcW w:w="1033" w:type="dxa"/>
            <w:tcBorders>
              <w:left w:val="single" w:color="auto" w:sz="4" w:space="0"/>
              <w:right w:val="single" w:color="auto" w:sz="4" w:space="0"/>
            </w:tcBorders>
            <w:vAlign w:val="center"/>
          </w:tcPr>
          <w:p w14:paraId="78655330">
            <w:pPr>
              <w:ind w:right="-246" w:rightChars="-117"/>
              <w:jc w:val="center"/>
              <w:rPr>
                <w:color w:val="auto"/>
                <w:szCs w:val="21"/>
                <w:highlight w:val="none"/>
              </w:rPr>
            </w:pPr>
          </w:p>
        </w:tc>
        <w:tc>
          <w:tcPr>
            <w:tcW w:w="1175" w:type="dxa"/>
            <w:tcBorders>
              <w:left w:val="single" w:color="auto" w:sz="4" w:space="0"/>
              <w:right w:val="single" w:color="auto" w:sz="4" w:space="0"/>
            </w:tcBorders>
          </w:tcPr>
          <w:p w14:paraId="1D0CA41B">
            <w:pPr>
              <w:ind w:right="-246" w:rightChars="-117"/>
              <w:jc w:val="center"/>
              <w:rPr>
                <w:color w:val="auto"/>
                <w:szCs w:val="21"/>
                <w:highlight w:val="none"/>
              </w:rPr>
            </w:pPr>
          </w:p>
        </w:tc>
        <w:tc>
          <w:tcPr>
            <w:tcW w:w="1153" w:type="dxa"/>
            <w:tcBorders>
              <w:left w:val="single" w:color="auto" w:sz="4" w:space="0"/>
              <w:right w:val="single" w:color="auto" w:sz="4" w:space="0"/>
            </w:tcBorders>
          </w:tcPr>
          <w:p w14:paraId="417E9C18">
            <w:pPr>
              <w:ind w:right="-246" w:rightChars="-117"/>
              <w:jc w:val="center"/>
              <w:rPr>
                <w:color w:val="auto"/>
                <w:szCs w:val="21"/>
                <w:highlight w:val="none"/>
              </w:rPr>
            </w:pPr>
          </w:p>
        </w:tc>
        <w:tc>
          <w:tcPr>
            <w:tcW w:w="1241" w:type="dxa"/>
            <w:tcBorders>
              <w:left w:val="single" w:color="auto" w:sz="4" w:space="0"/>
              <w:right w:val="single" w:color="auto" w:sz="4" w:space="0"/>
            </w:tcBorders>
          </w:tcPr>
          <w:p w14:paraId="72EE0308">
            <w:pPr>
              <w:ind w:right="-246" w:rightChars="-117"/>
              <w:jc w:val="center"/>
              <w:rPr>
                <w:color w:val="auto"/>
                <w:szCs w:val="21"/>
                <w:highlight w:val="none"/>
              </w:rPr>
            </w:pPr>
          </w:p>
        </w:tc>
      </w:tr>
      <w:tr w14:paraId="02F05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5403" w:type="dxa"/>
            <w:gridSpan w:val="2"/>
            <w:tcBorders>
              <w:top w:val="single" w:color="auto" w:sz="4" w:space="0"/>
              <w:left w:val="single" w:color="auto" w:sz="4" w:space="0"/>
              <w:bottom w:val="single" w:color="auto" w:sz="4" w:space="0"/>
              <w:right w:val="single" w:color="auto" w:sz="4" w:space="0"/>
            </w:tcBorders>
            <w:vAlign w:val="center"/>
          </w:tcPr>
          <w:p w14:paraId="00EBF424">
            <w:pPr>
              <w:jc w:val="center"/>
              <w:rPr>
                <w:color w:val="auto"/>
                <w:szCs w:val="21"/>
                <w:highlight w:val="none"/>
              </w:rPr>
            </w:pPr>
            <w:r>
              <w:rPr>
                <w:rFonts w:hint="eastAsia" w:ascii="宋体" w:hAnsi="宋体"/>
                <w:b/>
                <w:bCs/>
                <w:color w:val="auto"/>
                <w:szCs w:val="21"/>
                <w:highlight w:val="none"/>
              </w:rPr>
              <w:t>评审结论（合格或不合格）</w:t>
            </w:r>
          </w:p>
        </w:tc>
        <w:tc>
          <w:tcPr>
            <w:tcW w:w="1033" w:type="dxa"/>
            <w:tcBorders>
              <w:left w:val="single" w:color="auto" w:sz="4" w:space="0"/>
              <w:right w:val="single" w:color="auto" w:sz="4" w:space="0"/>
            </w:tcBorders>
            <w:vAlign w:val="center"/>
          </w:tcPr>
          <w:p w14:paraId="413285D5">
            <w:pPr>
              <w:ind w:right="-246" w:rightChars="-117"/>
              <w:jc w:val="center"/>
              <w:rPr>
                <w:color w:val="auto"/>
                <w:szCs w:val="21"/>
                <w:highlight w:val="none"/>
              </w:rPr>
            </w:pPr>
          </w:p>
        </w:tc>
        <w:tc>
          <w:tcPr>
            <w:tcW w:w="1175" w:type="dxa"/>
            <w:tcBorders>
              <w:left w:val="single" w:color="auto" w:sz="4" w:space="0"/>
              <w:right w:val="single" w:color="auto" w:sz="4" w:space="0"/>
            </w:tcBorders>
          </w:tcPr>
          <w:p w14:paraId="0088F477">
            <w:pPr>
              <w:ind w:right="-246" w:rightChars="-117"/>
              <w:jc w:val="center"/>
              <w:rPr>
                <w:color w:val="auto"/>
                <w:szCs w:val="21"/>
                <w:highlight w:val="none"/>
              </w:rPr>
            </w:pPr>
          </w:p>
        </w:tc>
        <w:tc>
          <w:tcPr>
            <w:tcW w:w="1153" w:type="dxa"/>
            <w:tcBorders>
              <w:left w:val="single" w:color="auto" w:sz="4" w:space="0"/>
              <w:right w:val="single" w:color="auto" w:sz="4" w:space="0"/>
            </w:tcBorders>
          </w:tcPr>
          <w:p w14:paraId="2FDA5CBF">
            <w:pPr>
              <w:ind w:right="-246" w:rightChars="-117"/>
              <w:jc w:val="center"/>
              <w:rPr>
                <w:color w:val="auto"/>
                <w:szCs w:val="21"/>
                <w:highlight w:val="none"/>
              </w:rPr>
            </w:pPr>
          </w:p>
        </w:tc>
        <w:tc>
          <w:tcPr>
            <w:tcW w:w="1241" w:type="dxa"/>
            <w:tcBorders>
              <w:left w:val="single" w:color="auto" w:sz="4" w:space="0"/>
              <w:right w:val="single" w:color="auto" w:sz="4" w:space="0"/>
            </w:tcBorders>
          </w:tcPr>
          <w:p w14:paraId="052986D8">
            <w:pPr>
              <w:ind w:right="-246" w:rightChars="-117"/>
              <w:jc w:val="center"/>
              <w:rPr>
                <w:color w:val="auto"/>
                <w:szCs w:val="21"/>
                <w:highlight w:val="none"/>
              </w:rPr>
            </w:pPr>
          </w:p>
        </w:tc>
      </w:tr>
    </w:tbl>
    <w:p w14:paraId="2730D1A6">
      <w:pPr>
        <w:rPr>
          <w:color w:val="auto"/>
          <w:highlight w:val="none"/>
        </w:rPr>
      </w:pPr>
    </w:p>
    <w:p w14:paraId="2595875A">
      <w:pPr>
        <w:rPr>
          <w:rFonts w:ascii="宋体" w:cs="宋体"/>
          <w:b/>
          <w:bCs/>
          <w:color w:val="auto"/>
          <w:kern w:val="0"/>
          <w:sz w:val="30"/>
          <w:szCs w:val="30"/>
          <w:highlight w:val="none"/>
        </w:rPr>
      </w:pPr>
      <w:r>
        <w:rPr>
          <w:rFonts w:hint="eastAsia"/>
          <w:color w:val="auto"/>
          <w:highlight w:val="none"/>
        </w:rPr>
        <w:t>备注：</w:t>
      </w:r>
      <w:r>
        <w:rPr>
          <w:rFonts w:hint="eastAsia" w:ascii="宋体" w:hAnsi="宋体" w:cs="宋体"/>
          <w:color w:val="auto"/>
          <w:szCs w:val="21"/>
          <w:highlight w:val="none"/>
          <w:shd w:val="clear" w:color="auto" w:fill="FFFFFF"/>
        </w:rPr>
        <w:t>投标人具有实行了“三证合一”登记制度改革的新证，视同为持有工商营业执照、组织机构代码证和税务登记证，符合基本资格条件的相关条款；投标人具有实行了“五证合一”</w:t>
      </w:r>
      <w:r>
        <w:rPr>
          <w:rFonts w:hint="eastAsia" w:ascii="宋体" w:hAnsi="宋体" w:cs="宋体"/>
          <w:color w:val="auto"/>
          <w:szCs w:val="21"/>
          <w:highlight w:val="none"/>
          <w:shd w:val="clear" w:color="auto" w:fill="FFFFFF"/>
          <w:lang w:eastAsia="zh-CN"/>
        </w:rPr>
        <w:t>登记制度</w:t>
      </w:r>
      <w:r>
        <w:rPr>
          <w:rFonts w:hint="eastAsia" w:ascii="宋体" w:hAnsi="宋体" w:cs="宋体"/>
          <w:color w:val="auto"/>
          <w:szCs w:val="21"/>
          <w:highlight w:val="none"/>
          <w:shd w:val="clear" w:color="auto" w:fill="FFFFFF"/>
        </w:rPr>
        <w:t>改革的</w:t>
      </w:r>
      <w:r>
        <w:rPr>
          <w:rFonts w:hint="eastAsia" w:ascii="宋体" w:hAnsi="宋体" w:cs="宋体"/>
          <w:color w:val="auto"/>
          <w:szCs w:val="21"/>
          <w:highlight w:val="none"/>
          <w:shd w:val="clear" w:color="auto" w:fill="FFFFFF"/>
          <w:lang w:eastAsia="zh-CN"/>
        </w:rPr>
        <w:t>新证</w:t>
      </w:r>
      <w:r>
        <w:rPr>
          <w:rFonts w:hint="eastAsia" w:ascii="宋体" w:hAnsi="宋体" w:cs="宋体"/>
          <w:color w:val="auto"/>
          <w:szCs w:val="21"/>
          <w:highlight w:val="none"/>
          <w:shd w:val="clear" w:color="auto" w:fill="FFFFFF"/>
        </w:rPr>
        <w:t>，视同持有工商营业执照、组织机构代码证、税务登记证、社会保险登记证和统计登记证，符合基本资格条件的相关条款。</w:t>
      </w:r>
      <w:r>
        <w:rPr>
          <w:rFonts w:hint="eastAsia"/>
          <w:color w:val="auto"/>
          <w:highlight w:val="none"/>
        </w:rPr>
        <w:t>营业执照为“三证合一”或“五证合一”的请自行说明。</w:t>
      </w:r>
    </w:p>
    <w:p w14:paraId="0705D905">
      <w:pPr>
        <w:rPr>
          <w:rFonts w:ascii="宋体" w:cs="宋体"/>
          <w:b/>
          <w:bCs/>
          <w:color w:val="auto"/>
          <w:kern w:val="0"/>
          <w:sz w:val="22"/>
          <w:szCs w:val="22"/>
          <w:highlight w:val="none"/>
        </w:rPr>
      </w:pPr>
    </w:p>
    <w:p w14:paraId="6BAA4476">
      <w:pPr>
        <w:rPr>
          <w:rFonts w:hint="eastAsia" w:ascii="宋体" w:cs="宋体"/>
          <w:b/>
          <w:bCs/>
          <w:color w:val="auto"/>
          <w:kern w:val="0"/>
          <w:sz w:val="22"/>
          <w:szCs w:val="22"/>
          <w:highlight w:val="none"/>
        </w:rPr>
      </w:pPr>
      <w:r>
        <w:rPr>
          <w:rFonts w:hint="eastAsia" w:ascii="宋体" w:cs="宋体"/>
          <w:b/>
          <w:bCs/>
          <w:color w:val="auto"/>
          <w:kern w:val="0"/>
          <w:sz w:val="22"/>
          <w:szCs w:val="22"/>
          <w:highlight w:val="none"/>
        </w:rPr>
        <w:br w:type="page"/>
      </w:r>
    </w:p>
    <w:p w14:paraId="151502FD">
      <w:pPr>
        <w:rPr>
          <w:rFonts w:ascii="宋体" w:cs="宋体"/>
          <w:b/>
          <w:bCs/>
          <w:color w:val="auto"/>
          <w:kern w:val="0"/>
          <w:sz w:val="22"/>
          <w:szCs w:val="22"/>
          <w:highlight w:val="none"/>
        </w:rPr>
      </w:pPr>
      <w:r>
        <w:rPr>
          <w:rFonts w:hint="eastAsia" w:ascii="宋体" w:cs="宋体"/>
          <w:b/>
          <w:bCs/>
          <w:color w:val="auto"/>
          <w:kern w:val="0"/>
          <w:sz w:val="22"/>
          <w:szCs w:val="22"/>
          <w:highlight w:val="none"/>
        </w:rPr>
        <w:t>附表2</w:t>
      </w:r>
    </w:p>
    <w:p w14:paraId="6C4F7713">
      <w:pPr>
        <w:jc w:val="center"/>
        <w:rPr>
          <w:rFonts w:ascii="宋体" w:cs="宋体"/>
          <w:b/>
          <w:bCs/>
          <w:color w:val="auto"/>
          <w:kern w:val="0"/>
          <w:sz w:val="28"/>
          <w:szCs w:val="28"/>
          <w:highlight w:val="none"/>
        </w:rPr>
      </w:pPr>
      <w:r>
        <w:rPr>
          <w:rFonts w:hint="eastAsia" w:ascii="宋体" w:cs="宋体"/>
          <w:b/>
          <w:bCs/>
          <w:color w:val="auto"/>
          <w:kern w:val="0"/>
          <w:sz w:val="24"/>
          <w:highlight w:val="none"/>
        </w:rPr>
        <w:t>符合性评审表</w:t>
      </w:r>
    </w:p>
    <w:tbl>
      <w:tblPr>
        <w:tblStyle w:val="19"/>
        <w:tblW w:w="0" w:type="auto"/>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559"/>
        <w:gridCol w:w="2268"/>
        <w:gridCol w:w="4416"/>
      </w:tblGrid>
      <w:tr w14:paraId="64FD046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760796B9">
            <w:pPr>
              <w:adjustRightInd w:val="0"/>
              <w:snapToGrid w:val="0"/>
              <w:spacing w:line="360" w:lineRule="auto"/>
              <w:jc w:val="center"/>
              <w:rPr>
                <w:rFonts w:ascii="宋体" w:hAnsi="宋体"/>
                <w:b/>
                <w:color w:val="auto"/>
                <w:szCs w:val="21"/>
                <w:highlight w:val="none"/>
              </w:rPr>
            </w:pPr>
            <w:r>
              <w:rPr>
                <w:rFonts w:hint="eastAsia" w:ascii="宋体" w:hAnsi="宋体" w:cs="宋体"/>
                <w:b/>
                <w:color w:val="auto"/>
                <w:kern w:val="0"/>
                <w:szCs w:val="21"/>
                <w:highlight w:val="none"/>
              </w:rPr>
              <w:t>序号</w:t>
            </w:r>
          </w:p>
        </w:tc>
        <w:tc>
          <w:tcPr>
            <w:tcW w:w="3827" w:type="dxa"/>
            <w:gridSpan w:val="2"/>
            <w:tcBorders>
              <w:tl2br w:val="nil"/>
              <w:tr2bl w:val="nil"/>
            </w:tcBorders>
            <w:vAlign w:val="center"/>
          </w:tcPr>
          <w:p w14:paraId="019AECF0">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审查项目</w:t>
            </w:r>
          </w:p>
        </w:tc>
        <w:tc>
          <w:tcPr>
            <w:tcW w:w="4416" w:type="dxa"/>
            <w:tcBorders>
              <w:tl2br w:val="nil"/>
              <w:tr2bl w:val="nil"/>
            </w:tcBorders>
            <w:vAlign w:val="center"/>
          </w:tcPr>
          <w:p w14:paraId="23658675">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审查标准</w:t>
            </w:r>
          </w:p>
        </w:tc>
      </w:tr>
      <w:tr w14:paraId="5224D3D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6F882B73">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3827" w:type="dxa"/>
            <w:gridSpan w:val="2"/>
            <w:tcBorders>
              <w:tl2br w:val="nil"/>
              <w:tr2bl w:val="nil"/>
            </w:tcBorders>
            <w:vAlign w:val="center"/>
          </w:tcPr>
          <w:p w14:paraId="27DD8FA9">
            <w:pPr>
              <w:adjustRightInd w:val="0"/>
              <w:snapToGrid w:val="0"/>
              <w:spacing w:line="360" w:lineRule="auto"/>
              <w:rPr>
                <w:color w:val="auto"/>
                <w:highlight w:val="none"/>
              </w:rPr>
            </w:pPr>
            <w:r>
              <w:rPr>
                <w:rFonts w:hint="eastAsia"/>
                <w:color w:val="auto"/>
                <w:highlight w:val="none"/>
              </w:rPr>
              <w:t>响应文件有效期</w:t>
            </w:r>
          </w:p>
        </w:tc>
        <w:tc>
          <w:tcPr>
            <w:tcW w:w="4416" w:type="dxa"/>
            <w:tcBorders>
              <w:tl2br w:val="nil"/>
              <w:tr2bl w:val="nil"/>
            </w:tcBorders>
            <w:vAlign w:val="center"/>
          </w:tcPr>
          <w:p w14:paraId="2306B09A">
            <w:pPr>
              <w:adjustRightInd w:val="0"/>
              <w:snapToGrid w:val="0"/>
              <w:spacing w:line="360" w:lineRule="auto"/>
              <w:rPr>
                <w:color w:val="auto"/>
                <w:highlight w:val="none"/>
              </w:rPr>
            </w:pPr>
            <w:r>
              <w:rPr>
                <w:rFonts w:hint="eastAsia"/>
                <w:color w:val="auto"/>
                <w:highlight w:val="none"/>
              </w:rPr>
              <w:t>响应文件有效期满足磋商文件要求。</w:t>
            </w:r>
          </w:p>
        </w:tc>
      </w:tr>
      <w:tr w14:paraId="60D7213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302ECE5C">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3827" w:type="dxa"/>
            <w:gridSpan w:val="2"/>
            <w:tcBorders>
              <w:tl2br w:val="nil"/>
              <w:tr2bl w:val="nil"/>
            </w:tcBorders>
            <w:vAlign w:val="center"/>
          </w:tcPr>
          <w:p w14:paraId="403EB6D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响应文件的签署、盖章</w:t>
            </w:r>
          </w:p>
        </w:tc>
        <w:tc>
          <w:tcPr>
            <w:tcW w:w="4416" w:type="dxa"/>
            <w:tcBorders>
              <w:tl2br w:val="nil"/>
              <w:tr2bl w:val="nil"/>
            </w:tcBorders>
            <w:vAlign w:val="center"/>
          </w:tcPr>
          <w:p w14:paraId="1C697502">
            <w:pPr>
              <w:adjustRightInd w:val="0"/>
              <w:snapToGrid w:val="0"/>
              <w:spacing w:line="360" w:lineRule="auto"/>
              <w:rPr>
                <w:rFonts w:ascii="宋体" w:hAnsi="宋体"/>
                <w:color w:val="auto"/>
                <w:szCs w:val="21"/>
                <w:highlight w:val="none"/>
              </w:rPr>
            </w:pPr>
            <w:r>
              <w:rPr>
                <w:rFonts w:hint="eastAsia"/>
                <w:color w:val="auto"/>
                <w:highlight w:val="none"/>
              </w:rPr>
              <w:t>响应文件</w:t>
            </w:r>
            <w:r>
              <w:rPr>
                <w:rFonts w:hint="eastAsia" w:ascii="宋体" w:hAnsi="宋体"/>
                <w:color w:val="auto"/>
                <w:szCs w:val="21"/>
                <w:highlight w:val="none"/>
              </w:rPr>
              <w:t>的签署、盖章</w:t>
            </w:r>
            <w:r>
              <w:rPr>
                <w:rFonts w:hint="eastAsia"/>
                <w:color w:val="auto"/>
                <w:highlight w:val="none"/>
              </w:rPr>
              <w:t>满足磋商文件要求</w:t>
            </w:r>
          </w:p>
        </w:tc>
      </w:tr>
      <w:tr w14:paraId="439FE8A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5888FAF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3827" w:type="dxa"/>
            <w:gridSpan w:val="2"/>
            <w:tcBorders>
              <w:tl2br w:val="nil"/>
              <w:tr2bl w:val="nil"/>
            </w:tcBorders>
            <w:vAlign w:val="center"/>
          </w:tcPr>
          <w:p w14:paraId="237ADC8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磋商报价</w:t>
            </w:r>
          </w:p>
        </w:tc>
        <w:tc>
          <w:tcPr>
            <w:tcW w:w="4416" w:type="dxa"/>
            <w:tcBorders>
              <w:tl2br w:val="nil"/>
              <w:tr2bl w:val="nil"/>
            </w:tcBorders>
            <w:vAlign w:val="center"/>
          </w:tcPr>
          <w:p w14:paraId="2C4D2AC2">
            <w:pPr>
              <w:adjustRightInd w:val="0"/>
              <w:snapToGrid w:val="0"/>
              <w:spacing w:line="360" w:lineRule="auto"/>
              <w:rPr>
                <w:rFonts w:ascii="宋体" w:hAnsi="宋体"/>
                <w:color w:val="auto"/>
                <w:szCs w:val="21"/>
                <w:highlight w:val="none"/>
              </w:rPr>
            </w:pPr>
            <w:r>
              <w:rPr>
                <w:rFonts w:hint="eastAsia" w:ascii="宋体" w:hAnsi="宋体" w:cs="宋体"/>
                <w:color w:val="auto"/>
                <w:szCs w:val="21"/>
                <w:highlight w:val="none"/>
              </w:rPr>
              <w:t>未超过磋商文件规定的上限价或经磋商小组认定低于成本价的。</w:t>
            </w:r>
          </w:p>
        </w:tc>
      </w:tr>
      <w:tr w14:paraId="543ABC8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11E3832A">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4</w:t>
            </w:r>
          </w:p>
        </w:tc>
        <w:tc>
          <w:tcPr>
            <w:tcW w:w="3827" w:type="dxa"/>
            <w:gridSpan w:val="2"/>
            <w:tcBorders>
              <w:tl2br w:val="nil"/>
              <w:tr2bl w:val="nil"/>
            </w:tcBorders>
            <w:vAlign w:val="center"/>
          </w:tcPr>
          <w:p w14:paraId="73C08763">
            <w:pPr>
              <w:adjustRightInd w:val="0"/>
              <w:snapToGrid w:val="0"/>
              <w:spacing w:line="360" w:lineRule="auto"/>
              <w:rPr>
                <w:rFonts w:hint="default" w:eastAsia="宋体"/>
                <w:color w:val="auto"/>
                <w:highlight w:val="none"/>
                <w:lang w:val="en-US" w:eastAsia="zh-CN"/>
              </w:rPr>
            </w:pPr>
            <w:r>
              <w:rPr>
                <w:rFonts w:hint="eastAsia"/>
                <w:color w:val="auto"/>
                <w:highlight w:val="none"/>
                <w:lang w:val="en-US" w:eastAsia="zh-CN"/>
              </w:rPr>
              <w:t>服务期限（工期）</w:t>
            </w:r>
          </w:p>
        </w:tc>
        <w:tc>
          <w:tcPr>
            <w:tcW w:w="4416" w:type="dxa"/>
            <w:tcBorders>
              <w:tl2br w:val="nil"/>
              <w:tr2bl w:val="nil"/>
            </w:tcBorders>
            <w:vAlign w:val="center"/>
          </w:tcPr>
          <w:p w14:paraId="17AA41CD">
            <w:pPr>
              <w:adjustRightInd w:val="0"/>
              <w:snapToGrid w:val="0"/>
              <w:spacing w:line="360" w:lineRule="auto"/>
              <w:rPr>
                <w:color w:val="auto"/>
                <w:highlight w:val="none"/>
              </w:rPr>
            </w:pPr>
            <w:r>
              <w:rPr>
                <w:color w:val="auto"/>
                <w:highlight w:val="none"/>
              </w:rPr>
              <w:t>响应磋商文件的规定</w:t>
            </w:r>
          </w:p>
        </w:tc>
      </w:tr>
      <w:tr w14:paraId="617913D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17" w:type="dxa"/>
            <w:tcBorders>
              <w:tl2br w:val="nil"/>
              <w:tr2bl w:val="nil"/>
            </w:tcBorders>
            <w:vAlign w:val="center"/>
          </w:tcPr>
          <w:p w14:paraId="6E8687C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5</w:t>
            </w:r>
          </w:p>
        </w:tc>
        <w:tc>
          <w:tcPr>
            <w:tcW w:w="3827" w:type="dxa"/>
            <w:gridSpan w:val="2"/>
            <w:tcBorders>
              <w:tl2br w:val="nil"/>
              <w:tr2bl w:val="nil"/>
            </w:tcBorders>
            <w:vAlign w:val="center"/>
          </w:tcPr>
          <w:p w14:paraId="755A2C1C">
            <w:pPr>
              <w:adjustRightInd w:val="0"/>
              <w:snapToGrid w:val="0"/>
              <w:spacing w:line="360" w:lineRule="auto"/>
              <w:rPr>
                <w:rFonts w:ascii="宋体" w:hAnsi="宋体"/>
                <w:color w:val="auto"/>
                <w:szCs w:val="21"/>
                <w:highlight w:val="none"/>
              </w:rPr>
            </w:pPr>
            <w:r>
              <w:rPr>
                <w:rFonts w:ascii="宋体" w:hAnsi="宋体"/>
                <w:color w:val="auto"/>
                <w:szCs w:val="21"/>
                <w:highlight w:val="none"/>
              </w:rPr>
              <w:t>付款条件</w:t>
            </w:r>
          </w:p>
        </w:tc>
        <w:tc>
          <w:tcPr>
            <w:tcW w:w="4416" w:type="dxa"/>
            <w:tcBorders>
              <w:tl2br w:val="nil"/>
              <w:tr2bl w:val="nil"/>
            </w:tcBorders>
            <w:vAlign w:val="center"/>
          </w:tcPr>
          <w:p w14:paraId="694BA6EC">
            <w:pPr>
              <w:adjustRightInd w:val="0"/>
              <w:snapToGrid w:val="0"/>
              <w:spacing w:line="360" w:lineRule="auto"/>
              <w:rPr>
                <w:rFonts w:ascii="宋体" w:hAnsi="宋体"/>
                <w:color w:val="auto"/>
                <w:szCs w:val="21"/>
                <w:highlight w:val="none"/>
              </w:rPr>
            </w:pPr>
            <w:r>
              <w:rPr>
                <w:rFonts w:ascii="宋体" w:hAnsi="宋体"/>
                <w:color w:val="auto"/>
                <w:szCs w:val="21"/>
                <w:highlight w:val="none"/>
              </w:rPr>
              <w:t>响应磋商文件的规定</w:t>
            </w:r>
          </w:p>
        </w:tc>
      </w:tr>
      <w:tr w14:paraId="68546EE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17" w:type="dxa"/>
            <w:tcBorders>
              <w:tl2br w:val="nil"/>
              <w:tr2bl w:val="nil"/>
            </w:tcBorders>
            <w:vAlign w:val="center"/>
          </w:tcPr>
          <w:p w14:paraId="0BFDAEBD">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6</w:t>
            </w:r>
          </w:p>
        </w:tc>
        <w:tc>
          <w:tcPr>
            <w:tcW w:w="3827" w:type="dxa"/>
            <w:gridSpan w:val="2"/>
            <w:tcBorders>
              <w:tl2br w:val="nil"/>
              <w:tr2bl w:val="nil"/>
            </w:tcBorders>
            <w:vAlign w:val="center"/>
          </w:tcPr>
          <w:p w14:paraId="151CAA6A">
            <w:pPr>
              <w:adjustRightInd w:val="0"/>
              <w:snapToGrid w:val="0"/>
              <w:spacing w:line="360" w:lineRule="auto"/>
              <w:rPr>
                <w:color w:val="auto"/>
                <w:highlight w:val="none"/>
              </w:rPr>
            </w:pPr>
            <w:r>
              <w:rPr>
                <w:rFonts w:hint="eastAsia"/>
                <w:color w:val="auto"/>
                <w:highlight w:val="none"/>
              </w:rPr>
              <w:t>是否有采购人不能接受的条件</w:t>
            </w:r>
          </w:p>
        </w:tc>
        <w:tc>
          <w:tcPr>
            <w:tcW w:w="4416" w:type="dxa"/>
            <w:tcBorders>
              <w:tl2br w:val="nil"/>
              <w:tr2bl w:val="nil"/>
            </w:tcBorders>
            <w:vAlign w:val="center"/>
          </w:tcPr>
          <w:p w14:paraId="5E84AB10">
            <w:pPr>
              <w:adjustRightInd w:val="0"/>
              <w:snapToGrid w:val="0"/>
              <w:spacing w:line="360" w:lineRule="auto"/>
              <w:rPr>
                <w:color w:val="auto"/>
                <w:highlight w:val="none"/>
              </w:rPr>
            </w:pPr>
          </w:p>
        </w:tc>
      </w:tr>
      <w:tr w14:paraId="4DCD502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17" w:type="dxa"/>
            <w:vMerge w:val="restart"/>
            <w:tcBorders>
              <w:tl2br w:val="nil"/>
              <w:tr2bl w:val="nil"/>
            </w:tcBorders>
            <w:vAlign w:val="center"/>
          </w:tcPr>
          <w:p w14:paraId="0496FFED">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7</w:t>
            </w:r>
          </w:p>
        </w:tc>
        <w:tc>
          <w:tcPr>
            <w:tcW w:w="1559" w:type="dxa"/>
            <w:vMerge w:val="restart"/>
            <w:tcBorders>
              <w:tl2br w:val="nil"/>
              <w:tr2bl w:val="nil"/>
            </w:tcBorders>
            <w:vAlign w:val="center"/>
          </w:tcPr>
          <w:p w14:paraId="72467E5D">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磋商文件的实质性要求</w:t>
            </w:r>
          </w:p>
        </w:tc>
        <w:tc>
          <w:tcPr>
            <w:tcW w:w="2268" w:type="dxa"/>
            <w:tcBorders>
              <w:tl2br w:val="nil"/>
              <w:tr2bl w:val="nil"/>
            </w:tcBorders>
            <w:vAlign w:val="center"/>
          </w:tcPr>
          <w:p w14:paraId="68BC444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首次响应文件</w:t>
            </w:r>
          </w:p>
        </w:tc>
        <w:tc>
          <w:tcPr>
            <w:tcW w:w="4416" w:type="dxa"/>
            <w:vMerge w:val="restart"/>
            <w:tcBorders>
              <w:tl2br w:val="nil"/>
              <w:tr2bl w:val="nil"/>
            </w:tcBorders>
            <w:vAlign w:val="center"/>
          </w:tcPr>
          <w:p w14:paraId="6A62955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满足磋商文件的全部实质性要求。</w:t>
            </w:r>
          </w:p>
        </w:tc>
      </w:tr>
      <w:tr w14:paraId="7CAB42F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817" w:type="dxa"/>
            <w:vMerge w:val="continue"/>
            <w:tcBorders>
              <w:tl2br w:val="nil"/>
              <w:tr2bl w:val="nil"/>
            </w:tcBorders>
            <w:vAlign w:val="center"/>
          </w:tcPr>
          <w:p w14:paraId="4B149520">
            <w:pPr>
              <w:adjustRightInd w:val="0"/>
              <w:snapToGrid w:val="0"/>
              <w:spacing w:line="360" w:lineRule="auto"/>
              <w:jc w:val="center"/>
              <w:rPr>
                <w:rFonts w:ascii="宋体" w:hAnsi="宋体"/>
                <w:color w:val="auto"/>
                <w:szCs w:val="21"/>
                <w:highlight w:val="none"/>
              </w:rPr>
            </w:pPr>
          </w:p>
        </w:tc>
        <w:tc>
          <w:tcPr>
            <w:tcW w:w="1559" w:type="dxa"/>
            <w:vMerge w:val="continue"/>
            <w:tcBorders>
              <w:tl2br w:val="nil"/>
              <w:tr2bl w:val="nil"/>
            </w:tcBorders>
            <w:vAlign w:val="center"/>
          </w:tcPr>
          <w:p w14:paraId="68F4A080">
            <w:pPr>
              <w:adjustRightInd w:val="0"/>
              <w:snapToGrid w:val="0"/>
              <w:spacing w:line="360" w:lineRule="auto"/>
              <w:rPr>
                <w:rFonts w:ascii="宋体" w:hAnsi="宋体"/>
                <w:color w:val="auto"/>
                <w:szCs w:val="21"/>
                <w:highlight w:val="none"/>
              </w:rPr>
            </w:pPr>
          </w:p>
        </w:tc>
        <w:tc>
          <w:tcPr>
            <w:tcW w:w="2268" w:type="dxa"/>
            <w:tcBorders>
              <w:tl2br w:val="nil"/>
              <w:tr2bl w:val="nil"/>
            </w:tcBorders>
            <w:vAlign w:val="center"/>
          </w:tcPr>
          <w:p w14:paraId="3A30628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重新提交的响应文件</w:t>
            </w:r>
          </w:p>
        </w:tc>
        <w:tc>
          <w:tcPr>
            <w:tcW w:w="4416" w:type="dxa"/>
            <w:vMerge w:val="continue"/>
            <w:tcBorders>
              <w:tl2br w:val="nil"/>
              <w:tr2bl w:val="nil"/>
            </w:tcBorders>
            <w:vAlign w:val="center"/>
          </w:tcPr>
          <w:p w14:paraId="056081EA">
            <w:pPr>
              <w:adjustRightInd w:val="0"/>
              <w:snapToGrid w:val="0"/>
              <w:spacing w:line="360" w:lineRule="auto"/>
              <w:rPr>
                <w:rFonts w:ascii="宋体" w:hAnsi="宋体"/>
                <w:color w:val="auto"/>
                <w:szCs w:val="21"/>
                <w:highlight w:val="none"/>
              </w:rPr>
            </w:pPr>
          </w:p>
        </w:tc>
      </w:tr>
      <w:tr w14:paraId="6093B9D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17" w:type="dxa"/>
            <w:tcBorders>
              <w:tl2br w:val="nil"/>
              <w:tr2bl w:val="nil"/>
            </w:tcBorders>
            <w:vAlign w:val="center"/>
          </w:tcPr>
          <w:p w14:paraId="0844B8A8">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8</w:t>
            </w:r>
          </w:p>
        </w:tc>
        <w:tc>
          <w:tcPr>
            <w:tcW w:w="3827" w:type="dxa"/>
            <w:gridSpan w:val="2"/>
            <w:tcBorders>
              <w:tl2br w:val="nil"/>
              <w:tr2bl w:val="nil"/>
            </w:tcBorders>
            <w:vAlign w:val="center"/>
          </w:tcPr>
          <w:p w14:paraId="745A9CF0">
            <w:pPr>
              <w:adjustRightInd w:val="0"/>
              <w:snapToGrid w:val="0"/>
              <w:spacing w:line="360" w:lineRule="auto"/>
              <w:rPr>
                <w:color w:val="auto"/>
                <w:highlight w:val="none"/>
              </w:rPr>
            </w:pPr>
            <w:r>
              <w:rPr>
                <w:rFonts w:hint="eastAsia"/>
                <w:color w:val="auto"/>
                <w:highlight w:val="none"/>
              </w:rPr>
              <w:t>其他无效情形</w:t>
            </w:r>
          </w:p>
        </w:tc>
        <w:tc>
          <w:tcPr>
            <w:tcW w:w="4416" w:type="dxa"/>
            <w:tcBorders>
              <w:tl2br w:val="nil"/>
              <w:tr2bl w:val="nil"/>
            </w:tcBorders>
            <w:vAlign w:val="center"/>
          </w:tcPr>
          <w:p w14:paraId="5EFBC33A">
            <w:pPr>
              <w:adjustRightInd w:val="0"/>
              <w:snapToGrid w:val="0"/>
              <w:spacing w:line="360" w:lineRule="auto"/>
              <w:rPr>
                <w:color w:val="auto"/>
                <w:highlight w:val="none"/>
              </w:rPr>
            </w:pPr>
            <w:r>
              <w:rPr>
                <w:rFonts w:hint="eastAsia"/>
                <w:color w:val="auto"/>
                <w:highlight w:val="none"/>
              </w:rPr>
              <w:t>法律、法规和磋商文件规定的其他无效情形。</w:t>
            </w:r>
          </w:p>
        </w:tc>
      </w:tr>
      <w:tr w14:paraId="2CE55B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5A2E8351">
            <w:pPr>
              <w:adjustRightInd w:val="0"/>
              <w:snapToGrid w:val="0"/>
              <w:spacing w:line="360" w:lineRule="auto"/>
              <w:jc w:val="center"/>
              <w:rPr>
                <w:rFonts w:ascii="宋体" w:hAnsi="宋体"/>
                <w:color w:val="auto"/>
                <w:szCs w:val="21"/>
                <w:highlight w:val="none"/>
              </w:rPr>
            </w:pPr>
            <w:r>
              <w:rPr>
                <w:rFonts w:ascii="宋体" w:hAnsi="宋体"/>
                <w:color w:val="auto"/>
                <w:szCs w:val="21"/>
                <w:highlight w:val="none"/>
              </w:rPr>
              <w:t>…</w:t>
            </w:r>
          </w:p>
        </w:tc>
        <w:tc>
          <w:tcPr>
            <w:tcW w:w="3827" w:type="dxa"/>
            <w:gridSpan w:val="2"/>
            <w:tcBorders>
              <w:tl2br w:val="nil"/>
              <w:tr2bl w:val="nil"/>
            </w:tcBorders>
            <w:vAlign w:val="center"/>
          </w:tcPr>
          <w:p w14:paraId="30CCD393">
            <w:pPr>
              <w:adjustRightInd w:val="0"/>
              <w:snapToGrid w:val="0"/>
              <w:spacing w:line="360" w:lineRule="auto"/>
              <w:rPr>
                <w:rFonts w:ascii="宋体" w:hAnsi="宋体"/>
                <w:color w:val="auto"/>
                <w:szCs w:val="21"/>
                <w:highlight w:val="none"/>
              </w:rPr>
            </w:pPr>
            <w:r>
              <w:rPr>
                <w:rFonts w:ascii="宋体" w:hAnsi="宋体"/>
                <w:color w:val="auto"/>
                <w:szCs w:val="21"/>
                <w:highlight w:val="none"/>
              </w:rPr>
              <w:t>…</w:t>
            </w:r>
          </w:p>
        </w:tc>
        <w:tc>
          <w:tcPr>
            <w:tcW w:w="4416" w:type="dxa"/>
            <w:tcBorders>
              <w:tl2br w:val="nil"/>
              <w:tr2bl w:val="nil"/>
            </w:tcBorders>
            <w:vAlign w:val="center"/>
          </w:tcPr>
          <w:p w14:paraId="36D7907C">
            <w:pPr>
              <w:adjustRightInd w:val="0"/>
              <w:snapToGrid w:val="0"/>
              <w:spacing w:line="360" w:lineRule="auto"/>
              <w:rPr>
                <w:rFonts w:ascii="宋体" w:hAnsi="宋体"/>
                <w:color w:val="auto"/>
                <w:szCs w:val="21"/>
                <w:highlight w:val="none"/>
              </w:rPr>
            </w:pPr>
            <w:r>
              <w:rPr>
                <w:rFonts w:ascii="宋体" w:hAnsi="宋体"/>
                <w:color w:val="auto"/>
                <w:szCs w:val="21"/>
                <w:highlight w:val="none"/>
              </w:rPr>
              <w:t>…</w:t>
            </w:r>
          </w:p>
        </w:tc>
      </w:tr>
      <w:tr w14:paraId="09CC23E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817" w:type="dxa"/>
            <w:tcBorders>
              <w:tl2br w:val="nil"/>
              <w:tr2bl w:val="nil"/>
            </w:tcBorders>
            <w:vAlign w:val="center"/>
          </w:tcPr>
          <w:p w14:paraId="303BE38B">
            <w:pPr>
              <w:adjustRightInd w:val="0"/>
              <w:snapToGrid w:val="0"/>
              <w:spacing w:line="360" w:lineRule="auto"/>
              <w:jc w:val="center"/>
              <w:rPr>
                <w:rFonts w:ascii="宋体" w:hAnsi="宋体"/>
                <w:color w:val="auto"/>
                <w:szCs w:val="21"/>
                <w:highlight w:val="none"/>
              </w:rPr>
            </w:pPr>
            <w:r>
              <w:rPr>
                <w:rFonts w:hint="eastAsia" w:ascii="宋体" w:hAnsi="宋体"/>
                <w:color w:val="auto"/>
                <w:kern w:val="0"/>
                <w:szCs w:val="21"/>
                <w:highlight w:val="none"/>
              </w:rPr>
              <w:t>结论</w:t>
            </w:r>
          </w:p>
        </w:tc>
        <w:tc>
          <w:tcPr>
            <w:tcW w:w="3827" w:type="dxa"/>
            <w:gridSpan w:val="2"/>
            <w:tcBorders>
              <w:tl2br w:val="nil"/>
              <w:tr2bl w:val="nil"/>
            </w:tcBorders>
            <w:vAlign w:val="center"/>
          </w:tcPr>
          <w:p w14:paraId="07A4A0EC">
            <w:pPr>
              <w:adjustRightInd w:val="0"/>
              <w:snapToGrid w:val="0"/>
              <w:spacing w:line="360" w:lineRule="auto"/>
              <w:rPr>
                <w:rFonts w:ascii="宋体" w:hAnsi="宋体"/>
                <w:color w:val="auto"/>
                <w:szCs w:val="21"/>
                <w:highlight w:val="none"/>
              </w:rPr>
            </w:pPr>
          </w:p>
        </w:tc>
        <w:tc>
          <w:tcPr>
            <w:tcW w:w="4416" w:type="dxa"/>
            <w:tcBorders>
              <w:tl2br w:val="nil"/>
              <w:tr2bl w:val="nil"/>
            </w:tcBorders>
            <w:vAlign w:val="center"/>
          </w:tcPr>
          <w:p w14:paraId="4C620C35">
            <w:pPr>
              <w:adjustRightInd w:val="0"/>
              <w:snapToGrid w:val="0"/>
              <w:spacing w:line="360" w:lineRule="auto"/>
              <w:rPr>
                <w:rFonts w:ascii="宋体" w:hAnsi="宋体"/>
                <w:color w:val="auto"/>
                <w:szCs w:val="21"/>
                <w:highlight w:val="none"/>
              </w:rPr>
            </w:pPr>
          </w:p>
        </w:tc>
      </w:tr>
    </w:tbl>
    <w:p w14:paraId="3E05D8E1">
      <w:pPr>
        <w:widowControl/>
        <w:adjustRightInd w:val="0"/>
        <w:snapToGrid w:val="0"/>
        <w:spacing w:before="156" w:beforeLines="50" w:line="288"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3.2最终报价评价。磋商小组以最终报价为基础，依次对最终报价进行算术修正和政府采购政策优惠价格扣除计算。</w:t>
      </w:r>
    </w:p>
    <w:p w14:paraId="6D792542">
      <w:pPr>
        <w:widowControl/>
        <w:adjustRightInd w:val="0"/>
        <w:snapToGrid w:val="0"/>
        <w:spacing w:before="156" w:beforeLines="50" w:line="288"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3.3价格分采用低价优先法计算，即满足磋商文件要求且最终报价最低的价格为磋商基准价，其价格分为满分，其他有效供应商的价格分按照下列公式计算：</w:t>
      </w:r>
    </w:p>
    <w:p w14:paraId="385529A1">
      <w:pPr>
        <w:widowControl/>
        <w:adjustRightInd w:val="0"/>
        <w:snapToGrid w:val="0"/>
        <w:spacing w:before="156" w:beforeLines="50" w:line="288"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磋商报价得分=（磋商基准价/最终磋商报价）×价格权值</w:t>
      </w:r>
    </w:p>
    <w:p w14:paraId="4C1B56D9">
      <w:pPr>
        <w:widowControl/>
        <w:adjustRightInd w:val="0"/>
        <w:snapToGrid w:val="0"/>
        <w:spacing w:before="156" w:beforeLines="50" w:line="288"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本项所称最终报价为按本章第3.2</w:t>
      </w:r>
      <w:r>
        <w:rPr>
          <w:rFonts w:hint="eastAsia" w:ascii="宋体" w:hAnsi="宋体" w:cs="宋体"/>
          <w:bCs/>
          <w:color w:val="auto"/>
          <w:szCs w:val="21"/>
          <w:highlight w:val="none"/>
          <w:lang w:val="zh-CN"/>
        </w:rPr>
        <w:t>款</w:t>
      </w:r>
      <w:r>
        <w:rPr>
          <w:rFonts w:hint="eastAsia" w:ascii="宋体" w:hAnsi="宋体" w:cs="宋体"/>
          <w:bCs/>
          <w:color w:val="auto"/>
          <w:szCs w:val="21"/>
          <w:highlight w:val="none"/>
        </w:rPr>
        <w:t>规定价值扣除后的最终报价。</w:t>
      </w:r>
    </w:p>
    <w:p w14:paraId="1C69A140">
      <w:pPr>
        <w:widowControl/>
        <w:adjustRightInd w:val="0"/>
        <w:snapToGrid w:val="0"/>
        <w:spacing w:before="156" w:beforeLines="50" w:line="288"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3.4涉及政府采购政策优惠的，按磋商文件前附表规定调整供应商的技术、价格得分或总得分。</w:t>
      </w:r>
    </w:p>
    <w:p w14:paraId="6ADE464F">
      <w:pPr>
        <w:widowControl/>
        <w:adjustRightInd w:val="0"/>
        <w:snapToGrid w:val="0"/>
        <w:spacing w:before="156" w:beforeLines="50" w:line="288"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3.5涉及多处获得政府</w:t>
      </w:r>
      <w:r>
        <w:rPr>
          <w:rFonts w:hint="eastAsia" w:ascii="宋体" w:hAnsi="宋体" w:cs="宋体"/>
          <w:b/>
          <w:color w:val="auto"/>
          <w:szCs w:val="21"/>
          <w:highlight w:val="none"/>
        </w:rPr>
        <w:t>采购政策优惠</w:t>
      </w:r>
      <w:r>
        <w:rPr>
          <w:rFonts w:hint="eastAsia" w:ascii="宋体" w:hAnsi="宋体" w:cs="宋体"/>
          <w:bCs/>
          <w:color w:val="auto"/>
          <w:szCs w:val="21"/>
          <w:highlight w:val="none"/>
        </w:rPr>
        <w:t>的，涉及调整得分的，按本章第3.4</w:t>
      </w:r>
      <w:r>
        <w:rPr>
          <w:rFonts w:hint="eastAsia" w:ascii="宋体" w:hAnsi="宋体" w:cs="宋体"/>
          <w:bCs/>
          <w:color w:val="auto"/>
          <w:szCs w:val="21"/>
          <w:highlight w:val="none"/>
          <w:lang w:val="zh-CN"/>
        </w:rPr>
        <w:t>款</w:t>
      </w:r>
      <w:r>
        <w:rPr>
          <w:rFonts w:hint="eastAsia" w:ascii="宋体" w:hAnsi="宋体" w:cs="宋体"/>
          <w:bCs/>
          <w:color w:val="auto"/>
          <w:szCs w:val="21"/>
          <w:highlight w:val="none"/>
        </w:rPr>
        <w:t>规定调整得分；涉及调整价格的，按本章第3.2</w:t>
      </w:r>
      <w:r>
        <w:rPr>
          <w:rFonts w:hint="eastAsia" w:ascii="宋体" w:hAnsi="宋体" w:cs="宋体"/>
          <w:bCs/>
          <w:color w:val="auto"/>
          <w:szCs w:val="21"/>
          <w:highlight w:val="none"/>
          <w:lang w:val="zh-CN"/>
        </w:rPr>
        <w:t>款</w:t>
      </w:r>
      <w:r>
        <w:rPr>
          <w:rFonts w:hint="eastAsia" w:ascii="宋体" w:hAnsi="宋体" w:cs="宋体"/>
          <w:bCs/>
          <w:color w:val="auto"/>
          <w:szCs w:val="21"/>
          <w:highlight w:val="none"/>
        </w:rPr>
        <w:t>规定调整价格。</w:t>
      </w:r>
      <w:r>
        <w:rPr>
          <w:rFonts w:hint="eastAsia" w:ascii="宋体" w:hAnsi="宋体" w:cs="宋体"/>
          <w:color w:val="auto"/>
          <w:szCs w:val="21"/>
          <w:highlight w:val="none"/>
        </w:rPr>
        <w:t>综合调整见</w:t>
      </w:r>
      <w:r>
        <w:rPr>
          <w:rFonts w:hint="eastAsia" w:ascii="宋体" w:hAnsi="宋体" w:cs="宋体"/>
          <w:b/>
          <w:color w:val="auto"/>
          <w:szCs w:val="21"/>
          <w:highlight w:val="none"/>
        </w:rPr>
        <w:t>磋商文件前附表</w:t>
      </w:r>
      <w:r>
        <w:rPr>
          <w:rFonts w:hint="eastAsia" w:ascii="宋体" w:hAnsi="宋体" w:cs="宋体"/>
          <w:color w:val="auto"/>
          <w:szCs w:val="21"/>
          <w:highlight w:val="none"/>
        </w:rPr>
        <w:t>相关规定。</w:t>
      </w:r>
    </w:p>
    <w:p w14:paraId="328654F9">
      <w:pPr>
        <w:widowControl/>
        <w:adjustRightInd w:val="0"/>
        <w:snapToGrid w:val="0"/>
        <w:spacing w:before="156" w:beforeLines="50" w:line="288"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3.6</w:t>
      </w:r>
      <w:r>
        <w:rPr>
          <w:rFonts w:hint="eastAsia" w:ascii="宋体" w:hAnsi="宋体" w:cs="宋体"/>
          <w:color w:val="auto"/>
          <w:szCs w:val="21"/>
          <w:highlight w:val="none"/>
        </w:rPr>
        <w:t>评审时，磋商小组各成员应当独立对每个供应商的</w:t>
      </w:r>
      <w:r>
        <w:rPr>
          <w:rFonts w:hint="eastAsia" w:ascii="宋体" w:hAnsi="宋体" w:cs="宋体"/>
          <w:bCs/>
          <w:color w:val="auto"/>
          <w:szCs w:val="21"/>
          <w:highlight w:val="none"/>
        </w:rPr>
        <w:t>响应文件</w:t>
      </w:r>
      <w:r>
        <w:rPr>
          <w:rFonts w:hint="eastAsia" w:ascii="宋体" w:hAnsi="宋体" w:cs="宋体"/>
          <w:color w:val="auto"/>
          <w:szCs w:val="21"/>
          <w:highlight w:val="none"/>
        </w:rPr>
        <w:t>进行评价、评分，然后汇总每个供应</w:t>
      </w:r>
      <w:r>
        <w:rPr>
          <w:rFonts w:hint="eastAsia" w:ascii="宋体" w:hAnsi="宋体" w:cs="宋体"/>
          <w:color w:val="auto"/>
          <w:szCs w:val="21"/>
          <w:highlight w:val="none"/>
          <w:lang w:eastAsia="zh-CN"/>
        </w:rPr>
        <w:t>商各</w:t>
      </w:r>
      <w:r>
        <w:rPr>
          <w:rFonts w:hint="eastAsia" w:ascii="宋体" w:hAnsi="宋体" w:cs="宋体"/>
          <w:color w:val="auto"/>
          <w:szCs w:val="21"/>
          <w:highlight w:val="none"/>
        </w:rPr>
        <w:t>项评分因素的得分。</w:t>
      </w:r>
    </w:p>
    <w:p w14:paraId="630BAD43">
      <w:pPr>
        <w:widowControl/>
        <w:adjustRightInd w:val="0"/>
        <w:snapToGrid w:val="0"/>
        <w:spacing w:before="156" w:beforeLines="50" w:line="288"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3.7评分细则</w:t>
      </w:r>
    </w:p>
    <w:p w14:paraId="6E91E96B">
      <w:pPr>
        <w:rPr>
          <w:rFonts w:hint="eastAsia" w:ascii="宋体" w:cs="宋体"/>
          <w:b/>
          <w:bCs/>
          <w:color w:val="auto"/>
          <w:kern w:val="0"/>
          <w:sz w:val="20"/>
          <w:szCs w:val="20"/>
          <w:highlight w:val="none"/>
        </w:rPr>
      </w:pPr>
      <w:r>
        <w:rPr>
          <w:rFonts w:hint="eastAsia" w:ascii="宋体" w:cs="宋体"/>
          <w:b/>
          <w:bCs/>
          <w:color w:val="auto"/>
          <w:kern w:val="0"/>
          <w:sz w:val="20"/>
          <w:szCs w:val="20"/>
          <w:highlight w:val="none"/>
        </w:rPr>
        <w:br w:type="page"/>
      </w:r>
    </w:p>
    <w:p w14:paraId="54274A77">
      <w:pPr>
        <w:pageBreakBefore w:val="0"/>
        <w:widowControl/>
        <w:kinsoku/>
        <w:wordWrap/>
        <w:overflowPunct/>
        <w:topLinePunct w:val="0"/>
        <w:autoSpaceDE/>
        <w:autoSpaceDN/>
        <w:bidi w:val="0"/>
        <w:adjustRightInd/>
        <w:spacing w:line="240" w:lineRule="auto"/>
        <w:jc w:val="left"/>
        <w:textAlignment w:val="auto"/>
        <w:rPr>
          <w:rFonts w:hint="eastAsia" w:ascii="宋体" w:hAnsi="宋体" w:cs="宋体"/>
          <w:bCs/>
          <w:color w:val="auto"/>
          <w:szCs w:val="21"/>
        </w:rPr>
      </w:pPr>
      <w:r>
        <w:rPr>
          <w:rFonts w:hint="eastAsia" w:ascii="宋体" w:cs="宋体"/>
          <w:b/>
          <w:bCs/>
          <w:color w:val="auto"/>
          <w:kern w:val="0"/>
          <w:sz w:val="20"/>
          <w:szCs w:val="20"/>
          <w:highlight w:val="none"/>
        </w:rPr>
        <w:t>附表3</w:t>
      </w:r>
    </w:p>
    <w:p w14:paraId="74618C35">
      <w:pPr>
        <w:adjustRightInd w:val="0"/>
        <w:snapToGrid w:val="0"/>
        <w:spacing w:before="156" w:beforeLines="50" w:line="360" w:lineRule="auto"/>
        <w:jc w:val="center"/>
        <w:rPr>
          <w:rFonts w:ascii="Times New Roman" w:hAnsi="Times New Roman" w:eastAsia="宋体" w:cs="Times New Roman"/>
          <w:b/>
          <w:bCs/>
          <w:color w:val="auto"/>
          <w:szCs w:val="24"/>
        </w:rPr>
      </w:pPr>
      <w:r>
        <w:rPr>
          <w:rFonts w:hint="eastAsia" w:ascii="Times New Roman" w:hAnsi="Times New Roman" w:eastAsia="宋体" w:cs="Times New Roman"/>
          <w:b/>
          <w:bCs/>
          <w:color w:val="auto"/>
          <w:szCs w:val="24"/>
        </w:rPr>
        <w:t>附表</w:t>
      </w:r>
      <w:r>
        <w:rPr>
          <w:rFonts w:hint="eastAsia" w:ascii="Times New Roman" w:hAnsi="Times New Roman" w:eastAsia="宋体" w:cs="Times New Roman"/>
          <w:b/>
          <w:bCs/>
          <w:color w:val="auto"/>
          <w:szCs w:val="24"/>
          <w:lang w:val="en-US" w:eastAsia="zh-CN"/>
        </w:rPr>
        <w:t>3</w:t>
      </w:r>
      <w:r>
        <w:rPr>
          <w:rFonts w:hint="eastAsia" w:ascii="Times New Roman" w:hAnsi="Times New Roman" w:eastAsia="宋体" w:cs="Times New Roman"/>
          <w:b/>
          <w:bCs/>
          <w:color w:val="auto"/>
          <w:szCs w:val="24"/>
        </w:rPr>
        <w:t>.1投标报价评审标准表</w:t>
      </w:r>
    </w:p>
    <w:tbl>
      <w:tblPr>
        <w:tblStyle w:val="19"/>
        <w:tblW w:w="95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6917"/>
      </w:tblGrid>
      <w:tr w14:paraId="3A38CE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vAlign w:val="center"/>
          </w:tcPr>
          <w:p w14:paraId="5D4CC0B8">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序号</w:t>
            </w:r>
          </w:p>
        </w:tc>
        <w:tc>
          <w:tcPr>
            <w:tcW w:w="2160" w:type="dxa"/>
            <w:tcBorders>
              <w:left w:val="single" w:color="auto" w:sz="4" w:space="0"/>
              <w:right w:val="single" w:color="auto" w:sz="4" w:space="0"/>
            </w:tcBorders>
            <w:vAlign w:val="center"/>
          </w:tcPr>
          <w:p w14:paraId="648A293C">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评标因素（分值）</w:t>
            </w:r>
          </w:p>
        </w:tc>
        <w:tc>
          <w:tcPr>
            <w:tcW w:w="6917" w:type="dxa"/>
            <w:tcBorders>
              <w:left w:val="single" w:color="auto" w:sz="4" w:space="0"/>
            </w:tcBorders>
            <w:vAlign w:val="center"/>
          </w:tcPr>
          <w:p w14:paraId="235CCD32">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评标标准</w:t>
            </w:r>
          </w:p>
        </w:tc>
      </w:tr>
      <w:tr w14:paraId="446450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3" w:type="dxa"/>
            <w:tcBorders>
              <w:right w:val="single" w:color="auto" w:sz="4" w:space="0"/>
            </w:tcBorders>
            <w:vAlign w:val="center"/>
          </w:tcPr>
          <w:p w14:paraId="304F69B1">
            <w:pPr>
              <w:adjustRightInd w:val="0"/>
              <w:snapToGrid w:val="0"/>
              <w:spacing w:before="156" w:beforeLines="50"/>
              <w:jc w:val="center"/>
              <w:rPr>
                <w:rFonts w:ascii="宋体" w:hAnsi="宋体" w:eastAsia="宋体" w:cs="Times New Roman"/>
                <w:color w:val="auto"/>
                <w:szCs w:val="21"/>
              </w:rPr>
            </w:pPr>
            <w:r>
              <w:rPr>
                <w:rFonts w:hint="eastAsia" w:ascii="宋体" w:hAnsi="宋体" w:eastAsia="宋体" w:cs="Times New Roman"/>
                <w:color w:val="auto"/>
                <w:szCs w:val="21"/>
              </w:rPr>
              <w:t>1</w:t>
            </w:r>
          </w:p>
        </w:tc>
        <w:tc>
          <w:tcPr>
            <w:tcW w:w="2160" w:type="dxa"/>
            <w:tcBorders>
              <w:left w:val="single" w:color="auto" w:sz="4" w:space="0"/>
              <w:right w:val="single" w:color="auto" w:sz="4" w:space="0"/>
            </w:tcBorders>
            <w:vAlign w:val="center"/>
          </w:tcPr>
          <w:p w14:paraId="71967F98">
            <w:pPr>
              <w:adjustRightInd w:val="0"/>
              <w:snapToGrid w:val="0"/>
              <w:jc w:val="center"/>
              <w:rPr>
                <w:rFonts w:ascii="宋体" w:hAnsi="宋体" w:eastAsia="宋体" w:cs="Times New Roman"/>
                <w:color w:val="auto"/>
                <w:szCs w:val="21"/>
              </w:rPr>
            </w:pPr>
            <w:r>
              <w:rPr>
                <w:rFonts w:hint="eastAsia" w:ascii="宋体" w:hAnsi="宋体" w:eastAsia="宋体" w:cs="Times New Roman"/>
                <w:color w:val="auto"/>
                <w:szCs w:val="21"/>
              </w:rPr>
              <w:t>价格评价项</w:t>
            </w:r>
          </w:p>
          <w:p w14:paraId="35A9D152">
            <w:pPr>
              <w:adjustRightInd w:val="0"/>
              <w:snapToGrid w:val="0"/>
              <w:jc w:val="center"/>
              <w:rPr>
                <w:rFonts w:ascii="宋体" w:hAnsi="宋体" w:eastAsia="宋体" w:cs="Times New Roman"/>
                <w:color w:val="auto"/>
                <w:szCs w:val="21"/>
              </w:rPr>
            </w:pPr>
            <w:r>
              <w:rPr>
                <w:rFonts w:hint="eastAsia" w:ascii="宋体" w:hAnsi="宋体" w:eastAsia="宋体" w:cs="Times New Roman"/>
                <w:color w:val="auto"/>
                <w:szCs w:val="21"/>
              </w:rPr>
              <w:t>（F</w:t>
            </w:r>
            <w:r>
              <w:rPr>
                <w:rFonts w:hint="eastAsia" w:ascii="宋体" w:hAnsi="宋体" w:eastAsia="宋体" w:cs="Times New Roman"/>
                <w:color w:val="auto"/>
                <w:szCs w:val="21"/>
                <w:vertAlign w:val="subscript"/>
              </w:rPr>
              <w:t>1</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100</w:t>
            </w:r>
            <w:r>
              <w:rPr>
                <w:rFonts w:hint="eastAsia" w:ascii="宋体" w:hAnsi="宋体" w:eastAsia="宋体" w:cs="Times New Roman"/>
                <w:color w:val="auto"/>
                <w:szCs w:val="21"/>
              </w:rPr>
              <w:t>分）</w:t>
            </w:r>
          </w:p>
        </w:tc>
        <w:tc>
          <w:tcPr>
            <w:tcW w:w="6917" w:type="dxa"/>
            <w:tcBorders>
              <w:left w:val="single" w:color="auto" w:sz="4" w:space="0"/>
            </w:tcBorders>
            <w:vAlign w:val="center"/>
          </w:tcPr>
          <w:p w14:paraId="05EFB033">
            <w:pPr>
              <w:rPr>
                <w:rFonts w:hint="eastAsia" w:ascii="宋体" w:hAnsi="宋体" w:eastAsia="宋体" w:cs="Times New Roman"/>
                <w:color w:val="auto"/>
                <w:szCs w:val="21"/>
              </w:rPr>
            </w:pPr>
            <w:r>
              <w:rPr>
                <w:rFonts w:hint="eastAsia" w:ascii="宋体" w:hAnsi="宋体" w:eastAsia="宋体" w:cs="Times New Roman"/>
                <w:color w:val="auto"/>
                <w:szCs w:val="21"/>
              </w:rPr>
              <w:t>以经</w:t>
            </w:r>
            <w:r>
              <w:rPr>
                <w:rFonts w:hint="eastAsia" w:ascii="宋体" w:hAnsi="宋体" w:cs="Times New Roman"/>
                <w:color w:val="auto"/>
                <w:szCs w:val="21"/>
                <w:lang w:val="en-US" w:eastAsia="zh-CN"/>
              </w:rPr>
              <w:t>磋商小组</w:t>
            </w:r>
            <w:r>
              <w:rPr>
                <w:rFonts w:hint="eastAsia" w:ascii="宋体" w:hAnsi="宋体" w:eastAsia="宋体" w:cs="Times New Roman"/>
                <w:color w:val="auto"/>
                <w:szCs w:val="21"/>
              </w:rPr>
              <w:t>一致认定满足磋商文件要求且最后报价最低的供应商的价格为评标基准价，其价格得分计 100 分。其他投标人的价格得分统一按公式计算：投标报价得分=(评标基准价/投标报价) ×价格权值×100。</w:t>
            </w:r>
          </w:p>
          <w:p w14:paraId="6F0D3949">
            <w:pPr>
              <w:rPr>
                <w:rFonts w:hint="eastAsia" w:ascii="宋体" w:hAnsi="宋体" w:eastAsia="宋体" w:cs="Times New Roman"/>
                <w:color w:val="auto"/>
                <w:szCs w:val="21"/>
              </w:rPr>
            </w:pPr>
            <w:r>
              <w:rPr>
                <w:rFonts w:hint="eastAsia" w:ascii="宋体" w:hAnsi="宋体" w:eastAsia="宋体" w:cs="Times New Roman"/>
                <w:color w:val="auto"/>
                <w:szCs w:val="21"/>
              </w:rPr>
              <w:t>注：报价得分精确到小数点后两位；无效投标的报价不计入价格分值的计算。</w:t>
            </w:r>
          </w:p>
          <w:p w14:paraId="4A4E167C">
            <w:pPr>
              <w:rPr>
                <w:rFonts w:ascii="Times New Roman" w:hAnsi="Times New Roman" w:eastAsia="宋体" w:cs="Times New Roman"/>
                <w:color w:val="auto"/>
                <w:szCs w:val="21"/>
              </w:rPr>
            </w:pPr>
            <w:r>
              <w:rPr>
                <w:rFonts w:hint="eastAsia" w:ascii="宋体" w:hAnsi="宋体" w:cs="Times New Roman"/>
                <w:color w:val="auto"/>
                <w:szCs w:val="21"/>
                <w:lang w:val="en-US" w:eastAsia="zh-CN"/>
              </w:rPr>
              <w:t>注：供应商</w:t>
            </w:r>
            <w:r>
              <w:rPr>
                <w:rFonts w:hint="eastAsia" w:ascii="宋体" w:hAnsi="宋体" w:eastAsia="宋体" w:cs="Times New Roman"/>
                <w:color w:val="auto"/>
                <w:szCs w:val="21"/>
              </w:rPr>
              <w:t>报价明显低于其他投标人报价的，使得其投标报价可能低于本项目成本的，有可能影响项目质量或不能诚信履约的，给委托方带来严重风险的，</w:t>
            </w:r>
            <w:r>
              <w:rPr>
                <w:rFonts w:hint="eastAsia" w:ascii="宋体" w:hAnsi="宋体" w:cs="Times New Roman"/>
                <w:color w:val="auto"/>
                <w:szCs w:val="21"/>
                <w:lang w:val="en-US" w:eastAsia="zh-CN"/>
              </w:rPr>
              <w:t>供应商</w:t>
            </w:r>
            <w:r>
              <w:rPr>
                <w:rFonts w:hint="eastAsia" w:ascii="宋体" w:hAnsi="宋体" w:eastAsia="宋体" w:cs="Times New Roman"/>
                <w:color w:val="auto"/>
                <w:szCs w:val="21"/>
              </w:rPr>
              <w:t>应按评标委员会要求作出书面说明并提供相关证明材料，不做说明、不能合理说明或不能提供相关证明材料的，将被认定为恶意低价竞标并作无效投标处理</w:t>
            </w:r>
            <w:r>
              <w:rPr>
                <w:rFonts w:ascii="宋体" w:hAnsi="宋体" w:eastAsia="宋体" w:cs="Times New Roman"/>
                <w:color w:val="auto"/>
                <w:szCs w:val="21"/>
              </w:rPr>
              <w:t>。</w:t>
            </w:r>
          </w:p>
        </w:tc>
      </w:tr>
    </w:tbl>
    <w:p w14:paraId="5767BD55">
      <w:pPr>
        <w:adjustRightInd w:val="0"/>
        <w:snapToGrid w:val="0"/>
        <w:spacing w:before="156" w:beforeLines="50" w:line="360" w:lineRule="auto"/>
        <w:jc w:val="center"/>
        <w:rPr>
          <w:rFonts w:ascii="Times New Roman" w:hAnsi="Times New Roman" w:eastAsia="宋体" w:cs="Times New Roman"/>
          <w:b/>
          <w:bCs/>
          <w:color w:val="auto"/>
          <w:szCs w:val="24"/>
        </w:rPr>
      </w:pPr>
      <w:r>
        <w:rPr>
          <w:rFonts w:hint="eastAsia" w:ascii="Times New Roman" w:hAnsi="Times New Roman" w:eastAsia="宋体" w:cs="Times New Roman"/>
          <w:b/>
          <w:bCs/>
          <w:color w:val="auto"/>
          <w:szCs w:val="24"/>
        </w:rPr>
        <w:t>附表</w:t>
      </w:r>
      <w:r>
        <w:rPr>
          <w:rFonts w:hint="eastAsia" w:ascii="Times New Roman" w:hAnsi="Times New Roman" w:eastAsia="宋体" w:cs="Times New Roman"/>
          <w:b/>
          <w:bCs/>
          <w:color w:val="auto"/>
          <w:szCs w:val="24"/>
          <w:lang w:val="en-US" w:eastAsia="zh-CN"/>
        </w:rPr>
        <w:t>3</w:t>
      </w:r>
      <w:r>
        <w:rPr>
          <w:rFonts w:hint="eastAsia" w:ascii="Times New Roman" w:hAnsi="Times New Roman" w:eastAsia="宋体" w:cs="Times New Roman"/>
          <w:b/>
          <w:bCs/>
          <w:color w:val="auto"/>
          <w:szCs w:val="24"/>
        </w:rPr>
        <w:t>.2技术部分评审标准表</w:t>
      </w:r>
    </w:p>
    <w:tbl>
      <w:tblPr>
        <w:tblStyle w:val="19"/>
        <w:tblW w:w="969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1606"/>
        <w:gridCol w:w="1568"/>
        <w:gridCol w:w="6019"/>
      </w:tblGrid>
      <w:tr w14:paraId="484958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tblHeader/>
          <w:jc w:val="center"/>
        </w:trPr>
        <w:tc>
          <w:tcPr>
            <w:tcW w:w="503" w:type="dxa"/>
            <w:vAlign w:val="center"/>
          </w:tcPr>
          <w:p w14:paraId="41D7390D">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序号</w:t>
            </w:r>
          </w:p>
        </w:tc>
        <w:tc>
          <w:tcPr>
            <w:tcW w:w="1606" w:type="dxa"/>
            <w:vAlign w:val="center"/>
          </w:tcPr>
          <w:p w14:paraId="78B47306">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评标因素（分值）</w:t>
            </w:r>
          </w:p>
        </w:tc>
        <w:tc>
          <w:tcPr>
            <w:tcW w:w="7587" w:type="dxa"/>
            <w:gridSpan w:val="2"/>
            <w:vAlign w:val="center"/>
          </w:tcPr>
          <w:p w14:paraId="3DAD9C13">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评标标准</w:t>
            </w:r>
          </w:p>
        </w:tc>
      </w:tr>
      <w:tr w14:paraId="5A148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restart"/>
            <w:vAlign w:val="center"/>
          </w:tcPr>
          <w:p w14:paraId="40C77C14">
            <w:pPr>
              <w:adjustRightInd w:val="0"/>
              <w:snapToGrid w:val="0"/>
              <w:spacing w:before="156" w:beforeLines="50"/>
              <w:jc w:val="center"/>
              <w:rPr>
                <w:rFonts w:ascii="宋体" w:hAnsi="宋体" w:eastAsia="宋体" w:cs="Times New Roman"/>
                <w:color w:val="auto"/>
                <w:szCs w:val="21"/>
              </w:rPr>
            </w:pPr>
            <w:r>
              <w:rPr>
                <w:rFonts w:hint="eastAsia" w:ascii="宋体" w:hAnsi="宋体" w:eastAsia="宋体" w:cs="Times New Roman"/>
                <w:color w:val="auto"/>
                <w:szCs w:val="21"/>
              </w:rPr>
              <w:t>1</w:t>
            </w:r>
          </w:p>
        </w:tc>
        <w:tc>
          <w:tcPr>
            <w:tcW w:w="1606" w:type="dxa"/>
            <w:vMerge w:val="restart"/>
            <w:vAlign w:val="center"/>
          </w:tcPr>
          <w:p w14:paraId="3FEFCFAD">
            <w:pPr>
              <w:adjustRightInd w:val="0"/>
              <w:snapToGrid w:val="0"/>
              <w:jc w:val="center"/>
              <w:rPr>
                <w:rFonts w:ascii="宋体" w:hAnsi="宋体" w:eastAsia="宋体" w:cs="Times New Roman"/>
                <w:color w:val="auto"/>
                <w:szCs w:val="21"/>
              </w:rPr>
            </w:pPr>
            <w:r>
              <w:rPr>
                <w:rFonts w:hint="eastAsia" w:ascii="宋体" w:hAnsi="宋体" w:eastAsia="宋体" w:cs="Times New Roman"/>
                <w:color w:val="auto"/>
                <w:szCs w:val="21"/>
              </w:rPr>
              <w:t>技术评价项</w:t>
            </w:r>
          </w:p>
          <w:p w14:paraId="6DFEF377">
            <w:pPr>
              <w:adjustRightInd w:val="0"/>
              <w:snapToGrid w:val="0"/>
              <w:jc w:val="center"/>
              <w:rPr>
                <w:rFonts w:ascii="宋体" w:hAnsi="宋体" w:eastAsia="宋体" w:cs="Times New Roman"/>
                <w:color w:val="auto"/>
                <w:szCs w:val="21"/>
              </w:rPr>
            </w:pPr>
            <w:r>
              <w:rPr>
                <w:rFonts w:hint="eastAsia" w:ascii="宋体" w:hAnsi="宋体" w:eastAsia="宋体" w:cs="Times New Roman"/>
                <w:color w:val="auto"/>
                <w:szCs w:val="21"/>
              </w:rPr>
              <w:t>（F</w:t>
            </w:r>
            <w:r>
              <w:rPr>
                <w:rFonts w:ascii="宋体" w:hAnsi="宋体" w:eastAsia="宋体" w:cs="Times New Roman"/>
                <w:color w:val="auto"/>
                <w:szCs w:val="21"/>
                <w:vertAlign w:val="subscript"/>
              </w:rPr>
              <w:t>2</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100</w:t>
            </w:r>
            <w:r>
              <w:rPr>
                <w:rFonts w:hint="eastAsia" w:ascii="宋体" w:hAnsi="宋体" w:eastAsia="宋体" w:cs="Times New Roman"/>
                <w:color w:val="auto"/>
                <w:szCs w:val="21"/>
              </w:rPr>
              <w:t>分）</w:t>
            </w:r>
          </w:p>
        </w:tc>
        <w:tc>
          <w:tcPr>
            <w:tcW w:w="1568" w:type="dxa"/>
            <w:shd w:val="clear" w:color="auto" w:fill="auto"/>
            <w:vAlign w:val="center"/>
          </w:tcPr>
          <w:p w14:paraId="4FB04FA2">
            <w:pPr>
              <w:widowControl/>
              <w:spacing w:line="240" w:lineRule="auto"/>
              <w:jc w:val="center"/>
              <w:rPr>
                <w:rFonts w:hint="eastAsia" w:ascii="宋体" w:hAnsi="宋体" w:cs="宋体"/>
                <w:bCs/>
                <w:color w:val="auto"/>
                <w:szCs w:val="21"/>
              </w:rPr>
            </w:pPr>
            <w:r>
              <w:rPr>
                <w:rFonts w:hint="eastAsia" w:ascii="宋体" w:hAnsi="宋体" w:eastAsia="宋体" w:cs="Times New Roman"/>
                <w:color w:val="auto"/>
                <w:szCs w:val="21"/>
              </w:rPr>
              <w:t>施工方案及技术措施</w:t>
            </w:r>
            <w:r>
              <w:rPr>
                <w:rFonts w:hint="eastAsia" w:ascii="宋体" w:hAnsi="宋体" w:eastAsia="宋体" w:cs="Times New Roman"/>
                <w:color w:val="auto"/>
                <w:szCs w:val="21"/>
                <w:lang w:val="en-US" w:eastAsia="zh-CN"/>
              </w:rPr>
              <w:t>方案</w:t>
            </w:r>
          </w:p>
          <w:p w14:paraId="6FFB951C">
            <w:pPr>
              <w:widowControl/>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cs="宋体"/>
                <w:bCs/>
                <w:color w:val="auto"/>
                <w:szCs w:val="21"/>
                <w:lang w:val="en-US" w:eastAsia="zh-CN"/>
              </w:rPr>
              <w:t>24</w:t>
            </w:r>
            <w:r>
              <w:rPr>
                <w:rFonts w:hint="eastAsia" w:ascii="宋体" w:hAnsi="宋体" w:cs="宋体"/>
                <w:bCs/>
                <w:color w:val="auto"/>
                <w:szCs w:val="21"/>
              </w:rPr>
              <w:t>分</w:t>
            </w:r>
          </w:p>
        </w:tc>
        <w:tc>
          <w:tcPr>
            <w:tcW w:w="6019" w:type="dxa"/>
            <w:shd w:val="clear" w:color="auto" w:fill="auto"/>
            <w:vAlign w:val="center"/>
          </w:tcPr>
          <w:p w14:paraId="101F6027">
            <w:pPr>
              <w:rPr>
                <w:rFonts w:hint="eastAsia" w:ascii="宋体" w:hAnsi="宋体" w:eastAsia="宋体" w:cs="Times New Roman"/>
                <w:color w:val="auto"/>
                <w:szCs w:val="21"/>
              </w:rPr>
            </w:pPr>
            <w:r>
              <w:rPr>
                <w:rFonts w:hint="eastAsia" w:ascii="宋体" w:hAnsi="宋体" w:eastAsia="宋体" w:cs="Times New Roman"/>
                <w:color w:val="auto"/>
                <w:szCs w:val="21"/>
              </w:rPr>
              <w:t>供应商根据项目实际情况提供施工方案及技术措施</w:t>
            </w:r>
            <w:r>
              <w:rPr>
                <w:rFonts w:hint="eastAsia" w:ascii="宋体" w:hAnsi="宋体" w:eastAsia="宋体" w:cs="Times New Roman"/>
                <w:color w:val="auto"/>
                <w:szCs w:val="21"/>
                <w:lang w:val="en-US" w:eastAsia="zh-CN"/>
              </w:rPr>
              <w:t>方案</w:t>
            </w:r>
            <w:r>
              <w:rPr>
                <w:rFonts w:hint="eastAsia" w:ascii="宋体" w:hAnsi="宋体" w:eastAsia="宋体" w:cs="Times New Roman"/>
                <w:color w:val="auto"/>
                <w:szCs w:val="21"/>
              </w:rPr>
              <w:t>，包括但不限于以下内容:1</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项目总体情况;2</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组织机构和管理人员安排;</w:t>
            </w:r>
          </w:p>
          <w:p w14:paraId="1E5F21D3">
            <w:pPr>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对项目主要及关键分部分、重点、难点部分的分析及解决方案切;</w:t>
            </w: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重要施工顺序、施工工艺、作业方法、作业流程、操作要领。施工方案与</w:t>
            </w:r>
            <w:r>
              <w:rPr>
                <w:rFonts w:hint="eastAsia" w:ascii="宋体" w:hAnsi="宋体" w:eastAsia="宋体" w:cs="Times New Roman"/>
                <w:color w:val="auto"/>
                <w:szCs w:val="21"/>
                <w:lang w:val="en-US" w:eastAsia="zh-CN"/>
              </w:rPr>
              <w:t>技术</w:t>
            </w:r>
            <w:r>
              <w:rPr>
                <w:rFonts w:hint="eastAsia" w:ascii="宋体" w:hAnsi="宋体" w:eastAsia="宋体" w:cs="Times New Roman"/>
                <w:color w:val="auto"/>
                <w:szCs w:val="21"/>
              </w:rPr>
              <w:t>措施科学合理、针对性强的计24分</w:t>
            </w:r>
            <w:r>
              <w:rPr>
                <w:rFonts w:hint="eastAsia" w:ascii="宋体" w:hAnsi="宋体" w:eastAsia="宋体" w:cs="Times New Roman"/>
                <w:color w:val="auto"/>
                <w:szCs w:val="21"/>
                <w:lang w:eastAsia="zh-CN"/>
              </w:rPr>
              <w:t>。</w:t>
            </w:r>
          </w:p>
          <w:p w14:paraId="680F9AC7">
            <w:pPr>
              <w:rPr>
                <w:rFonts w:ascii="新宋体" w:hAnsi="新宋体" w:eastAsia="新宋体" w:cs="Times New Roman"/>
                <w:bCs/>
                <w:color w:val="auto"/>
                <w:kern w:val="2"/>
                <w:sz w:val="21"/>
                <w:szCs w:val="24"/>
                <w:highlight w:val="none"/>
                <w:lang w:val="en-US" w:eastAsia="zh-CN" w:bidi="ar-SA"/>
              </w:rPr>
            </w:pPr>
            <w:r>
              <w:rPr>
                <w:rFonts w:hint="eastAsia" w:ascii="宋体" w:hAnsi="宋体" w:eastAsia="宋体" w:cs="Times New Roman"/>
                <w:color w:val="auto"/>
                <w:szCs w:val="21"/>
                <w:lang w:val="en-US" w:eastAsia="zh-CN"/>
              </w:rPr>
              <w:t>备注：1、</w:t>
            </w:r>
            <w:r>
              <w:rPr>
                <w:rFonts w:hint="eastAsia" w:ascii="宋体" w:hAnsi="宋体" w:cs="宋体"/>
                <w:bCs/>
                <w:color w:val="auto"/>
                <w:szCs w:val="21"/>
              </w:rPr>
              <w:t>方案缺漏项</w:t>
            </w:r>
            <w:r>
              <w:rPr>
                <w:rFonts w:hint="eastAsia" w:ascii="宋体" w:hAnsi="宋体" w:cs="宋体"/>
                <w:bCs/>
                <w:color w:val="auto"/>
                <w:szCs w:val="21"/>
                <w:lang w:val="en-US" w:eastAsia="zh-CN"/>
              </w:rPr>
              <w:t>的每项扣6分；2、</w:t>
            </w:r>
            <w:r>
              <w:rPr>
                <w:rFonts w:hint="eastAsia" w:ascii="宋体" w:hAnsi="宋体" w:cs="宋体"/>
                <w:color w:val="auto"/>
                <w:kern w:val="0"/>
                <w:szCs w:val="21"/>
                <w:highlight w:val="none"/>
              </w:rPr>
              <w:t>方案欠完善或针对性欠缺</w:t>
            </w:r>
            <w:r>
              <w:rPr>
                <w:rFonts w:hint="eastAsia" w:ascii="宋体" w:hAnsi="宋体" w:eastAsia="宋体" w:cs="Times New Roman"/>
                <w:color w:val="auto"/>
                <w:szCs w:val="21"/>
              </w:rPr>
              <w:t>的每处扣</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分，未提供施工方案与技术措施的不计分。</w:t>
            </w:r>
          </w:p>
        </w:tc>
      </w:tr>
      <w:tr w14:paraId="6A9A4E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vAlign w:val="center"/>
          </w:tcPr>
          <w:p w14:paraId="6190BBA6">
            <w:pPr>
              <w:adjustRightInd w:val="0"/>
              <w:snapToGrid w:val="0"/>
              <w:spacing w:before="156" w:beforeLines="50"/>
              <w:jc w:val="center"/>
              <w:rPr>
                <w:rFonts w:ascii="宋体" w:hAnsi="宋体" w:eastAsia="宋体" w:cs="Times New Roman"/>
                <w:color w:val="auto"/>
                <w:szCs w:val="21"/>
              </w:rPr>
            </w:pPr>
          </w:p>
        </w:tc>
        <w:tc>
          <w:tcPr>
            <w:tcW w:w="1606" w:type="dxa"/>
            <w:vMerge w:val="continue"/>
            <w:vAlign w:val="center"/>
          </w:tcPr>
          <w:p w14:paraId="087BC8C4">
            <w:pPr>
              <w:adjustRightInd w:val="0"/>
              <w:snapToGrid w:val="0"/>
              <w:spacing w:before="156" w:beforeLines="50"/>
              <w:jc w:val="center"/>
              <w:rPr>
                <w:rFonts w:ascii="宋体" w:hAnsi="宋体" w:eastAsia="宋体" w:cs="Times New Roman"/>
                <w:color w:val="auto"/>
                <w:szCs w:val="21"/>
              </w:rPr>
            </w:pPr>
          </w:p>
        </w:tc>
        <w:tc>
          <w:tcPr>
            <w:tcW w:w="1568" w:type="dxa"/>
            <w:shd w:val="clear" w:color="auto" w:fill="auto"/>
            <w:vAlign w:val="center"/>
          </w:tcPr>
          <w:p w14:paraId="382FB3BA">
            <w:pPr>
              <w:widowControl/>
              <w:spacing w:line="240" w:lineRule="auto"/>
              <w:jc w:val="center"/>
              <w:rPr>
                <w:rFonts w:hint="eastAsia" w:ascii="宋体" w:hAnsi="宋体" w:cs="宋体"/>
                <w:bCs/>
                <w:color w:val="auto"/>
                <w:kern w:val="2"/>
                <w:sz w:val="21"/>
                <w:szCs w:val="21"/>
                <w:lang w:val="en-US" w:eastAsia="zh-CN" w:bidi="ar-SA"/>
              </w:rPr>
            </w:pPr>
            <w:r>
              <w:rPr>
                <w:rFonts w:hint="eastAsia" w:ascii="宋体" w:hAnsi="宋体" w:cs="宋体"/>
                <w:bCs/>
                <w:color w:val="auto"/>
                <w:kern w:val="2"/>
                <w:sz w:val="21"/>
                <w:szCs w:val="21"/>
                <w:lang w:val="en-US" w:eastAsia="zh-CN" w:bidi="ar-SA"/>
              </w:rPr>
              <w:t>质量管理保证措施</w:t>
            </w:r>
          </w:p>
          <w:p w14:paraId="02EC1D0C">
            <w:pPr>
              <w:pStyle w:val="2"/>
              <w:ind w:left="0" w:leftChars="0" w:firstLine="0" w:firstLineChars="0"/>
              <w:jc w:val="center"/>
              <w:rPr>
                <w:rFonts w:hint="default"/>
                <w:lang w:val="en-US" w:eastAsia="zh-CN"/>
              </w:rPr>
            </w:pPr>
            <w:r>
              <w:rPr>
                <w:rFonts w:hint="eastAsia" w:ascii="宋体" w:hAnsi="宋体" w:cs="宋体"/>
                <w:bCs/>
                <w:color w:val="auto"/>
                <w:kern w:val="2"/>
                <w:sz w:val="21"/>
                <w:szCs w:val="21"/>
                <w:lang w:val="en-US" w:eastAsia="zh-CN" w:bidi="ar-SA"/>
              </w:rPr>
              <w:t>18分</w:t>
            </w:r>
          </w:p>
        </w:tc>
        <w:tc>
          <w:tcPr>
            <w:tcW w:w="6019" w:type="dxa"/>
            <w:shd w:val="clear" w:color="auto" w:fill="auto"/>
            <w:vAlign w:val="center"/>
          </w:tcPr>
          <w:p w14:paraId="59B1F6AA">
            <w:pPr>
              <w:pageBreakBefore w:val="0"/>
              <w:kinsoku/>
              <w:wordWrap/>
              <w:overflowPunct/>
              <w:topLinePunct w:val="0"/>
              <w:autoSpaceDE/>
              <w:autoSpaceDN/>
              <w:bidi w:val="0"/>
              <w:adjustRightInd/>
              <w:spacing w:line="240" w:lineRule="auto"/>
              <w:jc w:val="left"/>
              <w:textAlignment w:val="auto"/>
              <w:rPr>
                <w:rFonts w:hint="eastAsia" w:ascii="新宋体" w:hAnsi="新宋体" w:eastAsia="新宋体" w:cs="Times New Roman"/>
                <w:bCs/>
                <w:color w:val="auto"/>
                <w:kern w:val="2"/>
                <w:sz w:val="21"/>
                <w:szCs w:val="24"/>
                <w:highlight w:val="none"/>
                <w:lang w:val="en-US" w:eastAsia="zh-CN" w:bidi="ar-SA"/>
              </w:rPr>
            </w:pPr>
            <w:r>
              <w:rPr>
                <w:rFonts w:hint="eastAsia" w:ascii="新宋体" w:hAnsi="新宋体" w:eastAsia="新宋体" w:cs="Times New Roman"/>
                <w:bCs/>
                <w:color w:val="auto"/>
                <w:kern w:val="2"/>
                <w:sz w:val="21"/>
                <w:szCs w:val="24"/>
                <w:highlight w:val="none"/>
                <w:lang w:val="en-US" w:eastAsia="zh-CN" w:bidi="ar-SA"/>
              </w:rPr>
              <w:t>供应商根据项目实际情况提供质量管理体系与措施方案，包括但不限于以下内容:1.质量管理目标;2.质量管理控制机构、职责、管理制度;3.实施与监控措施。质量管理体系与措施科学合理、针对性强的计18分。</w:t>
            </w:r>
          </w:p>
          <w:p w14:paraId="00783B68">
            <w:pPr>
              <w:pStyle w:val="2"/>
              <w:ind w:left="0" w:leftChars="0" w:firstLine="0" w:firstLineChars="0"/>
              <w:rPr>
                <w:lang w:val="en-US" w:eastAsia="zh-CN"/>
              </w:rPr>
            </w:pPr>
            <w:r>
              <w:rPr>
                <w:rFonts w:hint="eastAsia" w:ascii="宋体" w:hAnsi="宋体" w:eastAsia="宋体" w:cs="Times New Roman"/>
                <w:color w:val="auto"/>
                <w:szCs w:val="21"/>
                <w:lang w:val="en-US" w:eastAsia="zh-CN"/>
              </w:rPr>
              <w:t>备注：1、</w:t>
            </w:r>
            <w:r>
              <w:rPr>
                <w:rFonts w:hint="eastAsia" w:ascii="宋体" w:hAnsi="宋体" w:cs="宋体"/>
                <w:bCs/>
                <w:color w:val="auto"/>
                <w:szCs w:val="21"/>
              </w:rPr>
              <w:t>方案缺漏项</w:t>
            </w:r>
            <w:r>
              <w:rPr>
                <w:rFonts w:hint="eastAsia" w:ascii="宋体" w:hAnsi="宋体" w:cs="宋体"/>
                <w:bCs/>
                <w:color w:val="auto"/>
                <w:szCs w:val="21"/>
                <w:lang w:val="en-US" w:eastAsia="zh-CN"/>
              </w:rPr>
              <w:t>的每项扣6分；2、</w:t>
            </w:r>
            <w:r>
              <w:rPr>
                <w:rFonts w:hint="eastAsia" w:ascii="宋体" w:hAnsi="宋体" w:cs="宋体"/>
                <w:color w:val="auto"/>
                <w:kern w:val="0"/>
                <w:szCs w:val="21"/>
                <w:highlight w:val="none"/>
              </w:rPr>
              <w:t>方案欠完善或针对性欠缺</w:t>
            </w:r>
            <w:r>
              <w:rPr>
                <w:rFonts w:hint="eastAsia" w:ascii="宋体" w:hAnsi="宋体" w:eastAsia="宋体" w:cs="Times New Roman"/>
                <w:color w:val="auto"/>
                <w:szCs w:val="21"/>
              </w:rPr>
              <w:t>的每处扣</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分，未</w:t>
            </w:r>
            <w:r>
              <w:rPr>
                <w:rFonts w:hint="eastAsia" w:ascii="宋体" w:hAnsi="宋体" w:eastAsia="宋体" w:cs="Times New Roman"/>
                <w:color w:val="auto"/>
                <w:szCs w:val="21"/>
                <w:lang w:val="en-US" w:eastAsia="zh-CN"/>
              </w:rPr>
              <w:t>提供</w:t>
            </w:r>
            <w:r>
              <w:rPr>
                <w:rFonts w:hint="eastAsia" w:ascii="宋体" w:hAnsi="宋体" w:cs="宋体"/>
                <w:bCs/>
                <w:color w:val="auto"/>
                <w:kern w:val="2"/>
                <w:sz w:val="21"/>
                <w:szCs w:val="21"/>
                <w:lang w:val="en-US" w:eastAsia="zh-CN" w:bidi="ar-SA"/>
              </w:rPr>
              <w:t>质量管理保证措施</w:t>
            </w:r>
            <w:r>
              <w:rPr>
                <w:rFonts w:hint="eastAsia" w:ascii="宋体" w:hAnsi="宋体" w:eastAsia="宋体" w:cs="Times New Roman"/>
                <w:color w:val="auto"/>
                <w:szCs w:val="21"/>
              </w:rPr>
              <w:t>的不计分。</w:t>
            </w:r>
          </w:p>
        </w:tc>
      </w:tr>
      <w:tr w14:paraId="2EB2E2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503" w:type="dxa"/>
            <w:vMerge w:val="continue"/>
            <w:vAlign w:val="center"/>
          </w:tcPr>
          <w:p w14:paraId="3CCCC285">
            <w:pPr>
              <w:adjustRightInd w:val="0"/>
              <w:snapToGrid w:val="0"/>
              <w:spacing w:before="156" w:beforeLines="50"/>
              <w:jc w:val="center"/>
              <w:rPr>
                <w:rFonts w:ascii="宋体" w:hAnsi="宋体" w:eastAsia="宋体" w:cs="Times New Roman"/>
                <w:color w:val="auto"/>
                <w:szCs w:val="21"/>
              </w:rPr>
            </w:pPr>
          </w:p>
        </w:tc>
        <w:tc>
          <w:tcPr>
            <w:tcW w:w="1606" w:type="dxa"/>
            <w:vMerge w:val="continue"/>
            <w:vAlign w:val="center"/>
          </w:tcPr>
          <w:p w14:paraId="164F31D3">
            <w:pPr>
              <w:adjustRightInd w:val="0"/>
              <w:snapToGrid w:val="0"/>
              <w:spacing w:before="156" w:beforeLines="50"/>
              <w:jc w:val="center"/>
              <w:rPr>
                <w:rFonts w:ascii="宋体" w:hAnsi="宋体" w:eastAsia="宋体" w:cs="Times New Roman"/>
                <w:color w:val="auto"/>
                <w:szCs w:val="21"/>
              </w:rPr>
            </w:pPr>
          </w:p>
        </w:tc>
        <w:tc>
          <w:tcPr>
            <w:tcW w:w="1568" w:type="dxa"/>
            <w:shd w:val="clear" w:color="auto" w:fill="auto"/>
            <w:vAlign w:val="center"/>
          </w:tcPr>
          <w:p w14:paraId="3C8C06CE">
            <w:pPr>
              <w:widowControl/>
              <w:spacing w:line="240" w:lineRule="auto"/>
              <w:jc w:val="center"/>
              <w:rPr>
                <w:rFonts w:hint="eastAsia" w:ascii="宋体" w:hAnsi="宋体" w:cs="宋体"/>
                <w:bCs/>
                <w:color w:val="auto"/>
                <w:kern w:val="2"/>
                <w:sz w:val="21"/>
                <w:szCs w:val="21"/>
                <w:lang w:val="en-US" w:eastAsia="zh-CN" w:bidi="ar-SA"/>
              </w:rPr>
            </w:pPr>
            <w:r>
              <w:rPr>
                <w:rFonts w:hint="eastAsia" w:ascii="宋体" w:hAnsi="宋体" w:cs="宋体"/>
                <w:bCs/>
                <w:color w:val="auto"/>
                <w:kern w:val="2"/>
                <w:sz w:val="21"/>
                <w:szCs w:val="21"/>
                <w:lang w:val="en-US" w:eastAsia="zh-CN" w:bidi="ar-SA"/>
              </w:rPr>
              <w:t>安全管理体系于措施</w:t>
            </w:r>
          </w:p>
          <w:p w14:paraId="7682468E">
            <w:pPr>
              <w:pStyle w:val="2"/>
              <w:ind w:left="0" w:leftChars="0" w:firstLine="0" w:firstLineChars="0"/>
              <w:jc w:val="center"/>
              <w:rPr>
                <w:rFonts w:hint="default"/>
                <w:lang w:val="en-US" w:eastAsia="zh-CN"/>
              </w:rPr>
            </w:pPr>
            <w:r>
              <w:rPr>
                <w:rFonts w:hint="eastAsia" w:ascii="宋体" w:hAnsi="宋体" w:cs="宋体"/>
                <w:bCs/>
                <w:color w:val="auto"/>
                <w:kern w:val="2"/>
                <w:sz w:val="21"/>
                <w:szCs w:val="21"/>
                <w:lang w:val="en-US" w:eastAsia="zh-CN" w:bidi="ar-SA"/>
              </w:rPr>
              <w:t>18分</w:t>
            </w:r>
          </w:p>
        </w:tc>
        <w:tc>
          <w:tcPr>
            <w:tcW w:w="6019" w:type="dxa"/>
            <w:shd w:val="clear" w:color="auto" w:fill="auto"/>
            <w:vAlign w:val="top"/>
          </w:tcPr>
          <w:p w14:paraId="47C20C46">
            <w:pPr>
              <w:pageBreakBefore w:val="0"/>
              <w:kinsoku/>
              <w:wordWrap/>
              <w:overflowPunct/>
              <w:topLinePunct w:val="0"/>
              <w:autoSpaceDE/>
              <w:autoSpaceDN/>
              <w:bidi w:val="0"/>
              <w:adjustRightInd/>
              <w:spacing w:line="240" w:lineRule="auto"/>
              <w:jc w:val="left"/>
              <w:textAlignment w:val="auto"/>
              <w:rPr>
                <w:rFonts w:hint="eastAsia" w:ascii="新宋体" w:hAnsi="新宋体" w:eastAsia="新宋体" w:cs="Times New Roman"/>
                <w:bCs/>
                <w:color w:val="auto"/>
                <w:kern w:val="2"/>
                <w:sz w:val="21"/>
                <w:szCs w:val="24"/>
                <w:highlight w:val="none"/>
                <w:lang w:val="en-US" w:eastAsia="zh-CN" w:bidi="ar-SA"/>
              </w:rPr>
            </w:pPr>
            <w:r>
              <w:rPr>
                <w:rFonts w:hint="eastAsia" w:ascii="新宋体" w:hAnsi="新宋体" w:eastAsia="新宋体" w:cs="Times New Roman"/>
                <w:bCs/>
                <w:color w:val="auto"/>
                <w:kern w:val="2"/>
                <w:sz w:val="21"/>
                <w:szCs w:val="24"/>
                <w:highlight w:val="none"/>
                <w:lang w:val="en-US" w:eastAsia="zh-CN" w:bidi="ar-SA"/>
              </w:rPr>
              <w:t>供应商根据项目实际情况提供安全管理体系与措施方案，包括但不限于以下内容:1安全管理目标明确;2安全管理机构、职责、管理制度；3实施与监控措施。安全管理体系与措施科学合理、针对性强的计18分。</w:t>
            </w:r>
            <w:r>
              <w:rPr>
                <w:rFonts w:hint="eastAsia" w:ascii="宋体" w:hAnsi="宋体" w:eastAsia="宋体" w:cs="Times New Roman"/>
                <w:color w:val="auto"/>
                <w:szCs w:val="21"/>
                <w:lang w:val="en-US" w:eastAsia="zh-CN"/>
              </w:rPr>
              <w:t>备注：1、</w:t>
            </w:r>
            <w:r>
              <w:rPr>
                <w:rFonts w:hint="eastAsia" w:ascii="宋体" w:hAnsi="宋体" w:cs="宋体"/>
                <w:bCs/>
                <w:color w:val="auto"/>
                <w:szCs w:val="21"/>
              </w:rPr>
              <w:t>方案缺漏项</w:t>
            </w:r>
            <w:r>
              <w:rPr>
                <w:rFonts w:hint="eastAsia" w:ascii="宋体" w:hAnsi="宋体" w:cs="宋体"/>
                <w:bCs/>
                <w:color w:val="auto"/>
                <w:szCs w:val="21"/>
                <w:lang w:val="en-US" w:eastAsia="zh-CN"/>
              </w:rPr>
              <w:t>的每项扣6分；2、</w:t>
            </w:r>
            <w:r>
              <w:rPr>
                <w:rFonts w:hint="eastAsia" w:ascii="宋体" w:hAnsi="宋体" w:cs="宋体"/>
                <w:color w:val="auto"/>
                <w:kern w:val="0"/>
                <w:szCs w:val="21"/>
                <w:highlight w:val="none"/>
              </w:rPr>
              <w:t>方案欠完善或针对性欠缺</w:t>
            </w:r>
            <w:r>
              <w:rPr>
                <w:rFonts w:hint="eastAsia" w:ascii="宋体" w:hAnsi="宋体" w:eastAsia="宋体" w:cs="Times New Roman"/>
                <w:color w:val="auto"/>
                <w:szCs w:val="21"/>
              </w:rPr>
              <w:t>的每处扣</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分，未</w:t>
            </w:r>
            <w:r>
              <w:rPr>
                <w:rFonts w:hint="eastAsia" w:ascii="宋体" w:hAnsi="宋体" w:eastAsia="宋体" w:cs="Times New Roman"/>
                <w:color w:val="auto"/>
                <w:szCs w:val="21"/>
                <w:lang w:val="en-US" w:eastAsia="zh-CN"/>
              </w:rPr>
              <w:t>提供</w:t>
            </w:r>
            <w:r>
              <w:rPr>
                <w:rFonts w:hint="eastAsia" w:ascii="宋体" w:hAnsi="宋体" w:eastAsia="宋体" w:cs="宋体"/>
                <w:bCs/>
                <w:color w:val="auto"/>
                <w:kern w:val="2"/>
                <w:sz w:val="21"/>
                <w:szCs w:val="21"/>
                <w:lang w:val="en-US" w:eastAsia="zh-CN" w:bidi="ar-SA"/>
              </w:rPr>
              <w:t>安全管理体系于措施</w:t>
            </w:r>
            <w:r>
              <w:rPr>
                <w:rFonts w:hint="eastAsia" w:ascii="宋体" w:hAnsi="宋体" w:eastAsia="宋体" w:cs="Times New Roman"/>
                <w:color w:val="auto"/>
                <w:szCs w:val="21"/>
              </w:rPr>
              <w:t>的不计分。</w:t>
            </w:r>
          </w:p>
        </w:tc>
      </w:tr>
      <w:tr w14:paraId="365C4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503" w:type="dxa"/>
            <w:vMerge w:val="continue"/>
            <w:vAlign w:val="center"/>
          </w:tcPr>
          <w:p w14:paraId="6259B776">
            <w:pPr>
              <w:pStyle w:val="29"/>
              <w:spacing w:before="194" w:line="220" w:lineRule="auto"/>
              <w:ind w:left="62"/>
              <w:jc w:val="center"/>
              <w:rPr>
                <w:color w:val="auto"/>
              </w:rPr>
            </w:pPr>
          </w:p>
        </w:tc>
        <w:tc>
          <w:tcPr>
            <w:tcW w:w="1606" w:type="dxa"/>
            <w:vMerge w:val="continue"/>
            <w:vAlign w:val="center"/>
          </w:tcPr>
          <w:p w14:paraId="366A5948">
            <w:pPr>
              <w:pStyle w:val="29"/>
              <w:spacing w:before="194" w:line="220" w:lineRule="auto"/>
              <w:ind w:left="62"/>
              <w:jc w:val="center"/>
              <w:rPr>
                <w:color w:val="auto"/>
              </w:rPr>
            </w:pPr>
          </w:p>
        </w:tc>
        <w:tc>
          <w:tcPr>
            <w:tcW w:w="1568" w:type="dxa"/>
            <w:shd w:val="clear" w:color="auto" w:fill="auto"/>
            <w:vAlign w:val="center"/>
          </w:tcPr>
          <w:p w14:paraId="6B78798C">
            <w:pPr>
              <w:widowControl/>
              <w:spacing w:line="240" w:lineRule="auto"/>
              <w:jc w:val="center"/>
              <w:rPr>
                <w:rFonts w:hint="default" w:ascii="宋体" w:hAnsi="宋体" w:eastAsia="宋体" w:cs="宋体"/>
                <w:bCs/>
                <w:color w:val="auto"/>
                <w:kern w:val="2"/>
                <w:sz w:val="21"/>
                <w:szCs w:val="21"/>
                <w:lang w:val="en-US" w:eastAsia="zh-CN" w:bidi="ar-SA"/>
              </w:rPr>
            </w:pPr>
            <w:r>
              <w:rPr>
                <w:rFonts w:hint="default" w:ascii="宋体" w:hAnsi="宋体" w:eastAsia="宋体" w:cs="宋体"/>
                <w:bCs/>
                <w:color w:val="auto"/>
                <w:kern w:val="2"/>
                <w:sz w:val="21"/>
                <w:szCs w:val="21"/>
                <w:lang w:val="en-US" w:eastAsia="zh-CN" w:bidi="ar-SA"/>
              </w:rPr>
              <w:t>工程进度计划及保证措施</w:t>
            </w:r>
          </w:p>
          <w:p w14:paraId="05FC7A2A">
            <w:pPr>
              <w:pStyle w:val="2"/>
              <w:ind w:left="0" w:leftChars="0" w:firstLine="0" w:firstLineChars="0"/>
              <w:jc w:val="center"/>
              <w:rPr>
                <w:rFonts w:hint="default"/>
                <w:lang w:val="en-US" w:eastAsia="zh-CN"/>
              </w:rPr>
            </w:pPr>
            <w:r>
              <w:rPr>
                <w:rFonts w:hint="eastAsia" w:ascii="宋体" w:hAnsi="宋体" w:eastAsia="宋体" w:cs="宋体"/>
                <w:bCs/>
                <w:color w:val="auto"/>
                <w:kern w:val="2"/>
                <w:sz w:val="21"/>
                <w:szCs w:val="21"/>
                <w:lang w:val="en-US" w:eastAsia="zh-CN" w:bidi="ar-SA"/>
              </w:rPr>
              <w:t>18分</w:t>
            </w:r>
          </w:p>
        </w:tc>
        <w:tc>
          <w:tcPr>
            <w:tcW w:w="6019" w:type="dxa"/>
            <w:shd w:val="clear" w:color="auto" w:fill="auto"/>
            <w:vAlign w:val="center"/>
          </w:tcPr>
          <w:p w14:paraId="07A6A0BA">
            <w:pPr>
              <w:pageBreakBefore w:val="0"/>
              <w:kinsoku/>
              <w:wordWrap/>
              <w:overflowPunct/>
              <w:topLinePunct w:val="0"/>
              <w:autoSpaceDE/>
              <w:autoSpaceDN/>
              <w:bidi w:val="0"/>
              <w:adjustRightInd/>
              <w:spacing w:line="240" w:lineRule="auto"/>
              <w:jc w:val="left"/>
              <w:textAlignment w:val="auto"/>
              <w:rPr>
                <w:rFonts w:ascii="新宋体" w:hAnsi="新宋体" w:eastAsia="新宋体" w:cs="Times New Roman"/>
                <w:bCs/>
                <w:color w:val="auto"/>
                <w:kern w:val="2"/>
                <w:sz w:val="21"/>
                <w:szCs w:val="24"/>
                <w:highlight w:val="none"/>
                <w:lang w:val="en-US" w:eastAsia="zh-CN" w:bidi="ar-SA"/>
              </w:rPr>
            </w:pPr>
            <w:r>
              <w:rPr>
                <w:rFonts w:hint="eastAsia" w:ascii="新宋体" w:hAnsi="新宋体" w:eastAsia="新宋体" w:cs="Times New Roman"/>
                <w:bCs/>
                <w:color w:val="auto"/>
                <w:kern w:val="2"/>
                <w:sz w:val="21"/>
                <w:szCs w:val="24"/>
                <w:highlight w:val="none"/>
                <w:lang w:val="en-US" w:eastAsia="zh-CN" w:bidi="ar-SA"/>
              </w:rPr>
              <w:t>供应商根据项目实际情况提供工程进度计划安排及保证措施方案，包括但不限于以下内容:1施工进度计划;2进度保证措施;3.资源投入计划与施工部署。工程进度安排及保证措施科学合理、针对性强的计18分。</w:t>
            </w:r>
            <w:r>
              <w:rPr>
                <w:rFonts w:hint="eastAsia" w:ascii="宋体" w:hAnsi="宋体" w:eastAsia="宋体" w:cs="Times New Roman"/>
                <w:color w:val="auto"/>
                <w:szCs w:val="21"/>
                <w:lang w:val="en-US" w:eastAsia="zh-CN"/>
              </w:rPr>
              <w:t>备注：1、</w:t>
            </w:r>
            <w:r>
              <w:rPr>
                <w:rFonts w:hint="eastAsia" w:ascii="宋体" w:hAnsi="宋体" w:eastAsia="宋体" w:cs="宋体"/>
                <w:bCs/>
                <w:color w:val="auto"/>
                <w:szCs w:val="21"/>
              </w:rPr>
              <w:t>方案缺漏项</w:t>
            </w:r>
            <w:r>
              <w:rPr>
                <w:rFonts w:hint="eastAsia" w:ascii="宋体" w:hAnsi="宋体" w:eastAsia="宋体" w:cs="宋体"/>
                <w:bCs/>
                <w:color w:val="auto"/>
                <w:szCs w:val="21"/>
                <w:lang w:val="en-US" w:eastAsia="zh-CN"/>
              </w:rPr>
              <w:t>的每项扣6分；2、</w:t>
            </w:r>
            <w:r>
              <w:rPr>
                <w:rFonts w:hint="eastAsia" w:ascii="宋体" w:hAnsi="宋体" w:eastAsia="宋体" w:cs="宋体"/>
                <w:color w:val="auto"/>
                <w:kern w:val="0"/>
                <w:szCs w:val="21"/>
                <w:highlight w:val="none"/>
              </w:rPr>
              <w:t>方案欠完善或针对性欠缺</w:t>
            </w:r>
            <w:r>
              <w:rPr>
                <w:rFonts w:hint="eastAsia" w:ascii="宋体" w:hAnsi="宋体" w:eastAsia="宋体" w:cs="Times New Roman"/>
                <w:color w:val="auto"/>
                <w:szCs w:val="21"/>
              </w:rPr>
              <w:t>的每处扣</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分，未</w:t>
            </w:r>
            <w:r>
              <w:rPr>
                <w:rFonts w:hint="eastAsia" w:ascii="宋体" w:hAnsi="宋体" w:cs="Times New Roman"/>
                <w:color w:val="auto"/>
                <w:szCs w:val="21"/>
                <w:lang w:val="en-US" w:eastAsia="zh-CN"/>
              </w:rPr>
              <w:t>提供</w:t>
            </w:r>
            <w:r>
              <w:rPr>
                <w:rFonts w:hint="eastAsia" w:ascii="新宋体" w:hAnsi="新宋体" w:eastAsia="新宋体" w:cs="Times New Roman"/>
                <w:bCs/>
                <w:color w:val="auto"/>
                <w:kern w:val="2"/>
                <w:sz w:val="21"/>
                <w:szCs w:val="24"/>
                <w:highlight w:val="none"/>
                <w:lang w:val="en-US" w:eastAsia="zh-CN" w:bidi="ar-SA"/>
              </w:rPr>
              <w:t>工程进度计划安排及保证措施</w:t>
            </w:r>
            <w:r>
              <w:rPr>
                <w:rFonts w:hint="eastAsia" w:ascii="宋体" w:hAnsi="宋体" w:eastAsia="宋体" w:cs="Times New Roman"/>
                <w:color w:val="auto"/>
                <w:szCs w:val="21"/>
              </w:rPr>
              <w:t>的不计分。</w:t>
            </w:r>
          </w:p>
        </w:tc>
      </w:tr>
      <w:tr w14:paraId="0983F7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503" w:type="dxa"/>
            <w:vMerge w:val="continue"/>
            <w:vAlign w:val="center"/>
          </w:tcPr>
          <w:p w14:paraId="5003C5A7">
            <w:pPr>
              <w:pStyle w:val="29"/>
              <w:spacing w:before="194" w:line="220" w:lineRule="auto"/>
              <w:ind w:left="62"/>
              <w:jc w:val="center"/>
              <w:rPr>
                <w:rFonts w:ascii="宋体" w:hAnsi="宋体" w:eastAsia="宋体" w:cs="宋体"/>
                <w:color w:val="auto"/>
                <w:spacing w:val="0"/>
                <w:sz w:val="21"/>
                <w:szCs w:val="21"/>
              </w:rPr>
            </w:pPr>
          </w:p>
        </w:tc>
        <w:tc>
          <w:tcPr>
            <w:tcW w:w="1606" w:type="dxa"/>
            <w:vMerge w:val="continue"/>
            <w:vAlign w:val="center"/>
          </w:tcPr>
          <w:p w14:paraId="165A34CE">
            <w:pPr>
              <w:pStyle w:val="29"/>
              <w:spacing w:before="194" w:line="220" w:lineRule="auto"/>
              <w:ind w:left="62"/>
              <w:jc w:val="center"/>
              <w:rPr>
                <w:rFonts w:ascii="宋体" w:hAnsi="宋体" w:eastAsia="宋体" w:cs="宋体"/>
                <w:color w:val="auto"/>
                <w:spacing w:val="0"/>
                <w:sz w:val="21"/>
                <w:szCs w:val="21"/>
              </w:rPr>
            </w:pPr>
          </w:p>
        </w:tc>
        <w:tc>
          <w:tcPr>
            <w:tcW w:w="1568" w:type="dxa"/>
            <w:shd w:val="clear" w:color="auto" w:fill="auto"/>
            <w:vAlign w:val="center"/>
          </w:tcPr>
          <w:p w14:paraId="77E71255">
            <w:pPr>
              <w:widowControl/>
              <w:spacing w:line="240" w:lineRule="auto"/>
              <w:jc w:val="center"/>
              <w:rPr>
                <w:rFonts w:hint="default" w:ascii="宋体" w:hAnsi="宋体" w:eastAsia="宋体" w:cs="宋体"/>
                <w:bCs/>
                <w:color w:val="auto"/>
                <w:kern w:val="2"/>
                <w:sz w:val="21"/>
                <w:szCs w:val="21"/>
                <w:lang w:val="en-US" w:eastAsia="zh-CN" w:bidi="ar-SA"/>
              </w:rPr>
            </w:pPr>
            <w:r>
              <w:rPr>
                <w:rFonts w:hint="default" w:ascii="宋体" w:hAnsi="宋体" w:eastAsia="宋体" w:cs="宋体"/>
                <w:bCs/>
                <w:color w:val="auto"/>
                <w:kern w:val="2"/>
                <w:sz w:val="21"/>
                <w:szCs w:val="21"/>
                <w:lang w:val="en-US" w:eastAsia="zh-CN" w:bidi="ar-SA"/>
              </w:rPr>
              <w:t>现场文明及环境保护管理体系与措施</w:t>
            </w:r>
          </w:p>
          <w:p w14:paraId="1940882C">
            <w:pPr>
              <w:widowControl/>
              <w:spacing w:line="240" w:lineRule="auto"/>
              <w:jc w:val="center"/>
              <w:rPr>
                <w:rFonts w:hint="default"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16分</w:t>
            </w:r>
          </w:p>
          <w:p w14:paraId="2BB56AA6">
            <w:pPr>
              <w:bidi w:val="0"/>
              <w:rPr>
                <w:rFonts w:hint="default"/>
                <w:lang w:val="en-US" w:eastAsia="zh-CN"/>
              </w:rPr>
            </w:pPr>
          </w:p>
        </w:tc>
        <w:tc>
          <w:tcPr>
            <w:tcW w:w="6019" w:type="dxa"/>
            <w:shd w:val="clear" w:color="auto" w:fill="auto"/>
            <w:vAlign w:val="center"/>
          </w:tcPr>
          <w:p w14:paraId="1A39DDAA">
            <w:pPr>
              <w:pageBreakBefore w:val="0"/>
              <w:kinsoku/>
              <w:wordWrap/>
              <w:overflowPunct/>
              <w:topLinePunct w:val="0"/>
              <w:autoSpaceDE/>
              <w:autoSpaceDN/>
              <w:bidi w:val="0"/>
              <w:adjustRightInd/>
              <w:spacing w:line="240" w:lineRule="auto"/>
              <w:textAlignment w:val="auto"/>
              <w:rPr>
                <w:rFonts w:ascii="新宋体" w:hAnsi="新宋体" w:eastAsia="新宋体" w:cs="Times New Roman"/>
                <w:bCs/>
                <w:color w:val="auto"/>
                <w:kern w:val="2"/>
                <w:sz w:val="21"/>
                <w:szCs w:val="24"/>
                <w:highlight w:val="none"/>
                <w:lang w:val="en-US" w:eastAsia="zh-CN" w:bidi="ar-SA"/>
              </w:rPr>
            </w:pPr>
            <w:r>
              <w:rPr>
                <w:rFonts w:hint="eastAsia" w:ascii="新宋体" w:hAnsi="新宋体" w:eastAsia="新宋体" w:cs="Times New Roman"/>
                <w:bCs/>
                <w:color w:val="auto"/>
                <w:kern w:val="2"/>
                <w:sz w:val="21"/>
                <w:szCs w:val="24"/>
                <w:highlight w:val="none"/>
                <w:lang w:val="en-US" w:eastAsia="zh-CN" w:bidi="ar-SA"/>
              </w:rPr>
              <w:t>供应商根据项目实际情况提供的现场文明及环境保护管理体系与措施方案，包括但不限于以下内容:1.现场文明及环境保护管理目标;2.管理机构、职责、管理制度;3实施与监控措施;4对现场噪音控制、污水控制、扬尘控制，材料堆放。现场文明及环境保护管理体系与措施科学合理、针对性强的计16分。</w:t>
            </w:r>
            <w:r>
              <w:rPr>
                <w:rFonts w:hint="eastAsia" w:ascii="宋体" w:hAnsi="宋体" w:eastAsia="宋体" w:cs="Times New Roman"/>
                <w:color w:val="auto"/>
                <w:szCs w:val="21"/>
                <w:lang w:val="en-US" w:eastAsia="zh-CN"/>
              </w:rPr>
              <w:t>备注：1</w:t>
            </w:r>
            <w:r>
              <w:rPr>
                <w:rFonts w:hint="eastAsia" w:ascii="宋体" w:hAnsi="宋体" w:cs="Times New Roman"/>
                <w:color w:val="auto"/>
                <w:szCs w:val="21"/>
                <w:lang w:val="en-US" w:eastAsia="zh-CN"/>
              </w:rPr>
              <w:t>.</w:t>
            </w:r>
            <w:r>
              <w:rPr>
                <w:rFonts w:hint="eastAsia" w:ascii="宋体" w:hAnsi="宋体" w:eastAsia="宋体" w:cs="宋体"/>
                <w:bCs/>
                <w:color w:val="auto"/>
                <w:szCs w:val="21"/>
              </w:rPr>
              <w:t>方案缺漏项</w:t>
            </w:r>
            <w:r>
              <w:rPr>
                <w:rFonts w:hint="eastAsia" w:ascii="宋体" w:hAnsi="宋体" w:eastAsia="宋体" w:cs="宋体"/>
                <w:bCs/>
                <w:color w:val="auto"/>
                <w:szCs w:val="21"/>
                <w:lang w:val="en-US" w:eastAsia="zh-CN"/>
              </w:rPr>
              <w:t>的每项扣4分；2</w:t>
            </w:r>
            <w:r>
              <w:rPr>
                <w:rFonts w:hint="eastAsia" w:ascii="宋体" w:hAnsi="宋体" w:cs="宋体"/>
                <w:bCs/>
                <w:color w:val="auto"/>
                <w:szCs w:val="21"/>
                <w:lang w:val="en-US" w:eastAsia="zh-CN"/>
              </w:rPr>
              <w:t>.</w:t>
            </w:r>
            <w:r>
              <w:rPr>
                <w:rFonts w:hint="eastAsia" w:ascii="宋体" w:hAnsi="宋体" w:eastAsia="宋体" w:cs="宋体"/>
                <w:color w:val="auto"/>
                <w:kern w:val="0"/>
                <w:szCs w:val="21"/>
                <w:highlight w:val="none"/>
              </w:rPr>
              <w:t>方案欠完善或针对性欠缺</w:t>
            </w:r>
            <w:r>
              <w:rPr>
                <w:rFonts w:hint="eastAsia" w:ascii="宋体" w:hAnsi="宋体" w:eastAsia="宋体" w:cs="Times New Roman"/>
                <w:color w:val="auto"/>
                <w:szCs w:val="21"/>
              </w:rPr>
              <w:t>的每处扣</w:t>
            </w: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分，未</w:t>
            </w:r>
            <w:r>
              <w:rPr>
                <w:rFonts w:hint="eastAsia" w:ascii="宋体" w:hAnsi="宋体" w:eastAsia="宋体" w:cs="Times New Roman"/>
                <w:color w:val="auto"/>
                <w:szCs w:val="21"/>
                <w:lang w:val="en-US" w:eastAsia="zh-CN"/>
              </w:rPr>
              <w:t>提供</w:t>
            </w:r>
            <w:r>
              <w:rPr>
                <w:rFonts w:hint="default" w:ascii="宋体" w:hAnsi="宋体" w:eastAsia="宋体" w:cs="宋体"/>
                <w:bCs/>
                <w:color w:val="auto"/>
                <w:kern w:val="2"/>
                <w:sz w:val="21"/>
                <w:szCs w:val="21"/>
                <w:lang w:val="en-US" w:eastAsia="zh-CN" w:bidi="ar-SA"/>
              </w:rPr>
              <w:t>现场文明及环境保护管理体系与措施</w:t>
            </w:r>
            <w:r>
              <w:rPr>
                <w:rFonts w:hint="eastAsia" w:ascii="宋体" w:hAnsi="宋体" w:eastAsia="宋体" w:cs="Times New Roman"/>
                <w:color w:val="auto"/>
                <w:szCs w:val="21"/>
              </w:rPr>
              <w:t>的不计分。</w:t>
            </w:r>
          </w:p>
        </w:tc>
      </w:tr>
      <w:tr w14:paraId="08074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9" w:hRule="atLeast"/>
          <w:jc w:val="center"/>
        </w:trPr>
        <w:tc>
          <w:tcPr>
            <w:tcW w:w="503" w:type="dxa"/>
            <w:vMerge w:val="continue"/>
            <w:vAlign w:val="center"/>
          </w:tcPr>
          <w:p w14:paraId="1FB30453">
            <w:pPr>
              <w:adjustRightInd w:val="0"/>
              <w:snapToGrid w:val="0"/>
              <w:spacing w:before="156" w:beforeLines="50"/>
              <w:jc w:val="center"/>
              <w:rPr>
                <w:rFonts w:ascii="宋体" w:hAnsi="宋体" w:eastAsia="宋体" w:cs="Times New Roman"/>
                <w:color w:val="auto"/>
                <w:szCs w:val="21"/>
              </w:rPr>
            </w:pPr>
          </w:p>
        </w:tc>
        <w:tc>
          <w:tcPr>
            <w:tcW w:w="1606" w:type="dxa"/>
            <w:vMerge w:val="continue"/>
            <w:vAlign w:val="center"/>
          </w:tcPr>
          <w:p w14:paraId="31B9ACAF">
            <w:pPr>
              <w:adjustRightInd w:val="0"/>
              <w:snapToGrid w:val="0"/>
              <w:spacing w:before="156" w:beforeLines="50"/>
              <w:jc w:val="center"/>
              <w:rPr>
                <w:rFonts w:ascii="宋体" w:hAnsi="宋体" w:eastAsia="宋体" w:cs="Times New Roman"/>
                <w:color w:val="auto"/>
                <w:szCs w:val="21"/>
              </w:rPr>
            </w:pPr>
          </w:p>
        </w:tc>
        <w:tc>
          <w:tcPr>
            <w:tcW w:w="1568" w:type="dxa"/>
            <w:shd w:val="clear" w:color="auto" w:fill="auto"/>
            <w:vAlign w:val="center"/>
          </w:tcPr>
          <w:p w14:paraId="7E36BE33">
            <w:pPr>
              <w:widowControl/>
              <w:spacing w:line="240" w:lineRule="auto"/>
              <w:jc w:val="center"/>
              <w:rPr>
                <w:rFonts w:hint="eastAsia" w:ascii="宋体" w:hAnsi="宋体" w:cs="Times New Roman"/>
                <w:color w:val="auto"/>
                <w:kern w:val="2"/>
                <w:sz w:val="21"/>
                <w:szCs w:val="21"/>
                <w:shd w:val="clear" w:color="auto" w:fill="FFFFFF"/>
                <w:lang w:val="en-US" w:eastAsia="zh-CN" w:bidi="ar-SA"/>
              </w:rPr>
            </w:pPr>
            <w:r>
              <w:rPr>
                <w:rFonts w:hint="eastAsia" w:ascii="宋体" w:hAnsi="宋体" w:cs="Times New Roman"/>
                <w:color w:val="auto"/>
                <w:kern w:val="2"/>
                <w:sz w:val="21"/>
                <w:szCs w:val="21"/>
                <w:shd w:val="clear" w:color="auto" w:fill="FFFFFF"/>
                <w:lang w:val="en-US" w:eastAsia="zh-CN" w:bidi="ar-SA"/>
              </w:rPr>
              <w:t>资源配备计划</w:t>
            </w:r>
          </w:p>
          <w:p w14:paraId="2C01FF35">
            <w:pPr>
              <w:pStyle w:val="2"/>
              <w:ind w:left="0" w:leftChars="0" w:firstLine="0" w:firstLineChars="0"/>
              <w:jc w:val="center"/>
              <w:rPr>
                <w:rFonts w:hint="default"/>
                <w:lang w:val="en-US" w:eastAsia="zh-CN"/>
              </w:rPr>
            </w:pPr>
            <w:r>
              <w:rPr>
                <w:rFonts w:hint="eastAsia" w:ascii="宋体" w:hAnsi="宋体" w:cs="Times New Roman"/>
                <w:color w:val="auto"/>
                <w:kern w:val="2"/>
                <w:sz w:val="21"/>
                <w:szCs w:val="21"/>
                <w:shd w:val="clear" w:color="auto" w:fill="FFFFFF"/>
                <w:lang w:val="en-US" w:eastAsia="zh-CN" w:bidi="ar-SA"/>
              </w:rPr>
              <w:t>6分</w:t>
            </w:r>
          </w:p>
        </w:tc>
        <w:tc>
          <w:tcPr>
            <w:tcW w:w="6019" w:type="dxa"/>
            <w:shd w:val="clear" w:color="auto" w:fill="auto"/>
            <w:vAlign w:val="center"/>
          </w:tcPr>
          <w:p w14:paraId="0611754F">
            <w:pPr>
              <w:pageBreakBefore w:val="0"/>
              <w:kinsoku/>
              <w:wordWrap/>
              <w:overflowPunct/>
              <w:topLinePunct w:val="0"/>
              <w:autoSpaceDE/>
              <w:autoSpaceDN/>
              <w:bidi w:val="0"/>
              <w:adjustRightInd/>
              <w:spacing w:line="240" w:lineRule="auto"/>
              <w:textAlignment w:val="auto"/>
              <w:rPr>
                <w:rFonts w:hint="eastAsia" w:ascii="新宋体" w:hAnsi="新宋体" w:eastAsia="新宋体" w:cs="Times New Roman"/>
                <w:bCs/>
                <w:color w:val="auto"/>
                <w:kern w:val="2"/>
                <w:sz w:val="21"/>
                <w:szCs w:val="24"/>
                <w:highlight w:val="none"/>
                <w:lang w:val="en-US" w:eastAsia="zh-CN" w:bidi="ar-SA"/>
              </w:rPr>
            </w:pPr>
            <w:r>
              <w:rPr>
                <w:rFonts w:hint="eastAsia" w:ascii="新宋体" w:hAnsi="新宋体" w:eastAsia="新宋体" w:cs="Times New Roman"/>
                <w:bCs/>
                <w:color w:val="auto"/>
                <w:kern w:val="2"/>
                <w:sz w:val="21"/>
                <w:szCs w:val="24"/>
                <w:highlight w:val="none"/>
                <w:lang w:val="en-US" w:eastAsia="zh-CN" w:bidi="ar-SA"/>
              </w:rPr>
              <w:t>供应商根据项目实际情况提供资源配备计划方案，包括但不限于以下内容:1.总体资源配备计划;2.具体配备方案实施;3配备计划明细等。资源配备计划科学合理，内容明确且全面的计6分。</w:t>
            </w:r>
          </w:p>
          <w:p w14:paraId="0207C4AD">
            <w:pPr>
              <w:pageBreakBefore w:val="0"/>
              <w:kinsoku/>
              <w:wordWrap/>
              <w:overflowPunct/>
              <w:topLinePunct w:val="0"/>
              <w:autoSpaceDE/>
              <w:autoSpaceDN/>
              <w:bidi w:val="0"/>
              <w:adjustRightInd/>
              <w:spacing w:line="240" w:lineRule="auto"/>
              <w:textAlignment w:val="auto"/>
              <w:rPr>
                <w:rFonts w:ascii="新宋体" w:hAnsi="新宋体" w:eastAsia="新宋体" w:cs="Times New Roman"/>
                <w:bCs/>
                <w:color w:val="auto"/>
                <w:kern w:val="2"/>
                <w:sz w:val="21"/>
                <w:szCs w:val="24"/>
                <w:highlight w:val="none"/>
                <w:lang w:val="en-US" w:eastAsia="zh-CN" w:bidi="ar-SA"/>
              </w:rPr>
            </w:pPr>
            <w:r>
              <w:rPr>
                <w:rFonts w:hint="eastAsia" w:ascii="宋体" w:hAnsi="宋体" w:eastAsia="宋体" w:cs="Times New Roman"/>
                <w:color w:val="auto"/>
                <w:szCs w:val="21"/>
                <w:lang w:val="en-US" w:eastAsia="zh-CN"/>
              </w:rPr>
              <w:t>备注：1</w:t>
            </w:r>
            <w:r>
              <w:rPr>
                <w:rFonts w:hint="eastAsia" w:ascii="宋体" w:hAnsi="宋体" w:cs="Times New Roman"/>
                <w:color w:val="auto"/>
                <w:szCs w:val="21"/>
                <w:lang w:val="en-US" w:eastAsia="zh-CN"/>
              </w:rPr>
              <w:t>.</w:t>
            </w:r>
            <w:r>
              <w:rPr>
                <w:rFonts w:hint="eastAsia" w:ascii="宋体" w:hAnsi="宋体" w:eastAsia="宋体" w:cs="宋体"/>
                <w:bCs/>
                <w:color w:val="auto"/>
                <w:szCs w:val="21"/>
              </w:rPr>
              <w:t>方案缺漏项</w:t>
            </w:r>
            <w:r>
              <w:rPr>
                <w:rFonts w:hint="eastAsia" w:ascii="宋体" w:hAnsi="宋体" w:eastAsia="宋体" w:cs="宋体"/>
                <w:bCs/>
                <w:color w:val="auto"/>
                <w:szCs w:val="21"/>
                <w:lang w:val="en-US" w:eastAsia="zh-CN"/>
              </w:rPr>
              <w:t>的每项扣2分；2</w:t>
            </w:r>
            <w:r>
              <w:rPr>
                <w:rFonts w:hint="eastAsia" w:ascii="宋体" w:hAnsi="宋体" w:cs="宋体"/>
                <w:bCs/>
                <w:color w:val="auto"/>
                <w:szCs w:val="21"/>
                <w:lang w:val="en-US" w:eastAsia="zh-CN"/>
              </w:rPr>
              <w:t>.</w:t>
            </w:r>
            <w:r>
              <w:rPr>
                <w:rFonts w:hint="eastAsia" w:ascii="宋体" w:hAnsi="宋体" w:eastAsia="宋体" w:cs="宋体"/>
                <w:color w:val="auto"/>
                <w:kern w:val="0"/>
                <w:szCs w:val="21"/>
                <w:highlight w:val="none"/>
              </w:rPr>
              <w:t>方案欠完善或针对性欠缺</w:t>
            </w:r>
            <w:r>
              <w:rPr>
                <w:rFonts w:hint="eastAsia" w:ascii="宋体" w:hAnsi="宋体" w:eastAsia="宋体" w:cs="Times New Roman"/>
                <w:color w:val="auto"/>
                <w:szCs w:val="21"/>
              </w:rPr>
              <w:t>的每处扣</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分，未</w:t>
            </w:r>
            <w:r>
              <w:rPr>
                <w:rFonts w:hint="eastAsia" w:ascii="宋体" w:hAnsi="宋体" w:eastAsia="宋体" w:cs="Times New Roman"/>
                <w:color w:val="auto"/>
                <w:szCs w:val="21"/>
                <w:lang w:val="en-US" w:eastAsia="zh-CN"/>
              </w:rPr>
              <w:t>提供</w:t>
            </w:r>
            <w:r>
              <w:rPr>
                <w:rFonts w:hint="eastAsia" w:ascii="宋体" w:hAnsi="宋体" w:cs="Times New Roman"/>
                <w:color w:val="auto"/>
                <w:kern w:val="2"/>
                <w:sz w:val="21"/>
                <w:szCs w:val="21"/>
                <w:shd w:val="clear" w:color="auto" w:fill="FFFFFF"/>
                <w:lang w:val="en-US" w:eastAsia="zh-CN" w:bidi="ar-SA"/>
              </w:rPr>
              <w:t>资源配备计划</w:t>
            </w:r>
            <w:r>
              <w:rPr>
                <w:rFonts w:hint="eastAsia" w:ascii="宋体" w:hAnsi="宋体" w:eastAsia="宋体" w:cs="Times New Roman"/>
                <w:color w:val="auto"/>
                <w:szCs w:val="21"/>
              </w:rPr>
              <w:t>的不计分。</w:t>
            </w:r>
          </w:p>
        </w:tc>
      </w:tr>
    </w:tbl>
    <w:p w14:paraId="7096A098">
      <w:pPr>
        <w:adjustRightInd w:val="0"/>
        <w:snapToGrid w:val="0"/>
        <w:spacing w:before="156" w:beforeLines="50" w:line="360" w:lineRule="auto"/>
        <w:jc w:val="center"/>
        <w:rPr>
          <w:rFonts w:ascii="Times New Roman" w:hAnsi="Times New Roman" w:eastAsia="宋体" w:cs="Times New Roman"/>
          <w:b/>
          <w:bCs/>
          <w:color w:val="auto"/>
          <w:szCs w:val="24"/>
        </w:rPr>
      </w:pPr>
      <w:r>
        <w:rPr>
          <w:rFonts w:hint="eastAsia" w:ascii="Times New Roman" w:hAnsi="Times New Roman" w:eastAsia="宋体" w:cs="Times New Roman"/>
          <w:b/>
          <w:bCs/>
          <w:color w:val="auto"/>
          <w:szCs w:val="24"/>
        </w:rPr>
        <w:t>附表</w:t>
      </w:r>
      <w:r>
        <w:rPr>
          <w:rFonts w:hint="eastAsia" w:ascii="Times New Roman" w:hAnsi="Times New Roman" w:eastAsia="宋体" w:cs="Times New Roman"/>
          <w:b/>
          <w:bCs/>
          <w:color w:val="auto"/>
          <w:szCs w:val="24"/>
          <w:lang w:val="en-US" w:eastAsia="zh-CN"/>
        </w:rPr>
        <w:t>3</w:t>
      </w:r>
      <w:r>
        <w:rPr>
          <w:rFonts w:hint="eastAsia" w:ascii="Times New Roman" w:hAnsi="Times New Roman" w:eastAsia="宋体" w:cs="Times New Roman"/>
          <w:b/>
          <w:bCs/>
          <w:color w:val="auto"/>
          <w:szCs w:val="24"/>
        </w:rPr>
        <w:t>.3商务部分评审标准表</w:t>
      </w:r>
    </w:p>
    <w:tbl>
      <w:tblPr>
        <w:tblStyle w:val="19"/>
        <w:tblpPr w:leftFromText="180" w:rightFromText="180" w:vertAnchor="text" w:tblpXSpec="center" w:tblpY="1"/>
        <w:tblOverlap w:val="never"/>
        <w:tblW w:w="981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7"/>
        <w:gridCol w:w="1433"/>
        <w:gridCol w:w="1403"/>
        <w:gridCol w:w="6334"/>
      </w:tblGrid>
      <w:tr w14:paraId="18ED08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blHeader/>
          <w:jc w:val="center"/>
        </w:trPr>
        <w:tc>
          <w:tcPr>
            <w:tcW w:w="647" w:type="dxa"/>
            <w:tcBorders>
              <w:right w:val="single" w:color="auto" w:sz="4" w:space="0"/>
            </w:tcBorders>
            <w:vAlign w:val="center"/>
          </w:tcPr>
          <w:p w14:paraId="5D9BE6D2">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序号</w:t>
            </w:r>
          </w:p>
        </w:tc>
        <w:tc>
          <w:tcPr>
            <w:tcW w:w="1433" w:type="dxa"/>
            <w:tcBorders>
              <w:left w:val="single" w:color="auto" w:sz="4" w:space="0"/>
              <w:right w:val="single" w:color="auto" w:sz="4" w:space="0"/>
            </w:tcBorders>
            <w:vAlign w:val="center"/>
          </w:tcPr>
          <w:p w14:paraId="40F2ED04">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评标因素（分值）</w:t>
            </w:r>
          </w:p>
        </w:tc>
        <w:tc>
          <w:tcPr>
            <w:tcW w:w="7737" w:type="dxa"/>
            <w:gridSpan w:val="2"/>
            <w:tcBorders>
              <w:left w:val="single" w:color="auto" w:sz="4" w:space="0"/>
            </w:tcBorders>
            <w:vAlign w:val="center"/>
          </w:tcPr>
          <w:p w14:paraId="427B8D6B">
            <w:pPr>
              <w:adjustRightInd w:val="0"/>
              <w:snapToGrid w:val="0"/>
              <w:jc w:val="center"/>
              <w:rPr>
                <w:rFonts w:ascii="宋体" w:hAnsi="宋体" w:eastAsia="宋体" w:cs="Times New Roman"/>
                <w:b/>
                <w:color w:val="auto"/>
                <w:szCs w:val="21"/>
              </w:rPr>
            </w:pPr>
            <w:r>
              <w:rPr>
                <w:rFonts w:hint="eastAsia" w:ascii="宋体" w:hAnsi="宋体" w:eastAsia="宋体" w:cs="Times New Roman"/>
                <w:b/>
                <w:color w:val="auto"/>
                <w:szCs w:val="21"/>
              </w:rPr>
              <w:t>评标标准</w:t>
            </w:r>
          </w:p>
        </w:tc>
      </w:tr>
      <w:tr w14:paraId="195A07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3" w:hRule="atLeast"/>
          <w:jc w:val="center"/>
        </w:trPr>
        <w:tc>
          <w:tcPr>
            <w:tcW w:w="647" w:type="dxa"/>
            <w:tcBorders>
              <w:right w:val="single" w:color="auto" w:sz="4" w:space="0"/>
            </w:tcBorders>
            <w:vAlign w:val="center"/>
          </w:tcPr>
          <w:p w14:paraId="587E471F">
            <w:pPr>
              <w:adjustRightInd w:val="0"/>
              <w:snapToGrid w:val="0"/>
              <w:spacing w:before="156" w:beforeLines="50"/>
              <w:jc w:val="center"/>
              <w:rPr>
                <w:rFonts w:ascii="宋体" w:hAnsi="宋体" w:eastAsia="宋体" w:cs="Times New Roman"/>
                <w:color w:val="auto"/>
                <w:szCs w:val="21"/>
              </w:rPr>
            </w:pPr>
            <w:r>
              <w:rPr>
                <w:rFonts w:hint="eastAsia" w:ascii="宋体" w:hAnsi="宋体" w:eastAsia="宋体" w:cs="Times New Roman"/>
                <w:color w:val="auto"/>
                <w:szCs w:val="21"/>
              </w:rPr>
              <w:t>1</w:t>
            </w:r>
          </w:p>
        </w:tc>
        <w:tc>
          <w:tcPr>
            <w:tcW w:w="1433" w:type="dxa"/>
            <w:tcBorders>
              <w:left w:val="single" w:color="auto" w:sz="4" w:space="0"/>
            </w:tcBorders>
            <w:vAlign w:val="center"/>
          </w:tcPr>
          <w:p w14:paraId="7F7B441A">
            <w:pPr>
              <w:adjustRightInd w:val="0"/>
              <w:snapToGrid w:val="0"/>
              <w:jc w:val="center"/>
              <w:rPr>
                <w:rFonts w:ascii="宋体" w:hAnsi="宋体" w:eastAsia="宋体" w:cs="Times New Roman"/>
                <w:color w:val="auto"/>
                <w:szCs w:val="21"/>
              </w:rPr>
            </w:pPr>
            <w:r>
              <w:rPr>
                <w:rFonts w:hint="eastAsia" w:ascii="宋体" w:hAnsi="宋体" w:eastAsia="宋体" w:cs="Times New Roman"/>
                <w:color w:val="auto"/>
                <w:szCs w:val="21"/>
              </w:rPr>
              <w:t>商务评价项</w:t>
            </w:r>
          </w:p>
          <w:p w14:paraId="36F0A377">
            <w:pPr>
              <w:adjustRightInd w:val="0"/>
              <w:snapToGrid w:val="0"/>
              <w:jc w:val="center"/>
              <w:rPr>
                <w:rFonts w:ascii="宋体" w:hAnsi="宋体" w:eastAsia="宋体" w:cs="Times New Roman"/>
                <w:color w:val="auto"/>
                <w:szCs w:val="21"/>
              </w:rPr>
            </w:pPr>
            <w:r>
              <w:rPr>
                <w:rFonts w:hint="eastAsia" w:ascii="宋体" w:hAnsi="宋体" w:eastAsia="宋体" w:cs="Times New Roman"/>
                <w:color w:val="auto"/>
                <w:szCs w:val="21"/>
              </w:rPr>
              <w:t>（F</w:t>
            </w:r>
            <w:r>
              <w:rPr>
                <w:rFonts w:hint="eastAsia" w:ascii="宋体" w:hAnsi="宋体" w:eastAsia="宋体" w:cs="Times New Roman"/>
                <w:color w:val="auto"/>
                <w:szCs w:val="21"/>
                <w:vertAlign w:val="subscript"/>
              </w:rPr>
              <w:t>3</w:t>
            </w: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100</w:t>
            </w:r>
            <w:r>
              <w:rPr>
                <w:rFonts w:hint="eastAsia" w:ascii="宋体" w:hAnsi="宋体" w:eastAsia="宋体" w:cs="Times New Roman"/>
                <w:color w:val="auto"/>
                <w:szCs w:val="21"/>
              </w:rPr>
              <w:t>分）</w:t>
            </w:r>
          </w:p>
        </w:tc>
        <w:tc>
          <w:tcPr>
            <w:tcW w:w="1403" w:type="dxa"/>
            <w:vAlign w:val="center"/>
          </w:tcPr>
          <w:p w14:paraId="61D6FF9B">
            <w:pPr>
              <w:snapToGrid w:val="0"/>
              <w:jc w:val="center"/>
              <w:rPr>
                <w:rFonts w:hint="eastAsia" w:ascii="新宋体" w:hAnsi="新宋体" w:eastAsia="新宋体"/>
                <w:bCs/>
                <w:color w:val="auto"/>
                <w:highlight w:val="none"/>
                <w:lang w:val="en-US" w:eastAsia="zh-CN"/>
              </w:rPr>
            </w:pPr>
            <w:r>
              <w:rPr>
                <w:rFonts w:hint="eastAsia" w:ascii="新宋体" w:hAnsi="新宋体" w:eastAsia="新宋体"/>
                <w:bCs/>
                <w:color w:val="auto"/>
                <w:highlight w:val="none"/>
                <w:lang w:val="en-US" w:eastAsia="zh-CN"/>
              </w:rPr>
              <w:t>业绩</w:t>
            </w:r>
          </w:p>
          <w:p w14:paraId="4C405EB0">
            <w:pPr>
              <w:snapToGrid w:val="0"/>
              <w:jc w:val="center"/>
              <w:rPr>
                <w:rFonts w:ascii="Times New Roman" w:hAnsi="Times New Roman" w:eastAsia="宋体" w:cs="Times New Roman"/>
                <w:color w:val="auto"/>
                <w:spacing w:val="0"/>
                <w:sz w:val="21"/>
                <w:szCs w:val="21"/>
              </w:rPr>
            </w:pPr>
            <w:r>
              <w:rPr>
                <w:rFonts w:hint="eastAsia" w:ascii="新宋体" w:hAnsi="新宋体" w:eastAsia="新宋体"/>
                <w:bCs/>
                <w:color w:val="auto"/>
                <w:highlight w:val="none"/>
                <w:lang w:val="en-US" w:eastAsia="zh-CN"/>
              </w:rPr>
              <w:t>100分</w:t>
            </w:r>
          </w:p>
        </w:tc>
        <w:tc>
          <w:tcPr>
            <w:tcW w:w="6334" w:type="dxa"/>
            <w:vAlign w:val="center"/>
          </w:tcPr>
          <w:p w14:paraId="0BFEAF73">
            <w:pPr>
              <w:pageBreakBefore w:val="0"/>
              <w:kinsoku/>
              <w:wordWrap/>
              <w:overflowPunct/>
              <w:topLinePunct w:val="0"/>
              <w:autoSpaceDE/>
              <w:autoSpaceDN/>
              <w:bidi w:val="0"/>
              <w:adjustRightInd/>
              <w:spacing w:line="240" w:lineRule="auto"/>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供应商提供近三年内（至投标截止时间前36个月内为有效）</w:t>
            </w:r>
            <w:r>
              <w:rPr>
                <w:rFonts w:hint="eastAsia" w:ascii="宋体" w:hAnsi="宋体" w:cs="宋体"/>
                <w:color w:val="auto"/>
                <w:kern w:val="0"/>
                <w:szCs w:val="21"/>
                <w:lang w:val="en-US" w:eastAsia="zh-CN"/>
              </w:rPr>
              <w:t>类似项目业绩</w:t>
            </w:r>
            <w:r>
              <w:rPr>
                <w:rFonts w:hint="eastAsia" w:ascii="宋体" w:hAnsi="宋体" w:eastAsia="宋体" w:cs="宋体"/>
                <w:color w:val="auto"/>
                <w:kern w:val="0"/>
                <w:szCs w:val="21"/>
              </w:rPr>
              <w:t>，每个计</w:t>
            </w:r>
            <w:r>
              <w:rPr>
                <w:rFonts w:hint="eastAsia" w:ascii="宋体" w:hAnsi="宋体" w:cs="宋体"/>
                <w:color w:val="auto"/>
                <w:kern w:val="0"/>
                <w:szCs w:val="21"/>
                <w:lang w:val="en-US" w:eastAsia="zh-CN"/>
              </w:rPr>
              <w:t>50</w:t>
            </w:r>
            <w:r>
              <w:rPr>
                <w:rFonts w:hint="eastAsia" w:ascii="宋体" w:hAnsi="宋体" w:eastAsia="宋体" w:cs="宋体"/>
                <w:color w:val="auto"/>
                <w:kern w:val="0"/>
                <w:szCs w:val="21"/>
              </w:rPr>
              <w:t>分，本项最高</w:t>
            </w:r>
            <w:r>
              <w:rPr>
                <w:rFonts w:hint="eastAsia" w:ascii="宋体" w:hAnsi="宋体" w:cs="宋体"/>
                <w:color w:val="auto"/>
                <w:kern w:val="0"/>
                <w:szCs w:val="21"/>
                <w:lang w:val="en-US" w:eastAsia="zh-CN"/>
              </w:rPr>
              <w:t>100</w:t>
            </w:r>
            <w:r>
              <w:rPr>
                <w:rFonts w:hint="eastAsia" w:ascii="宋体" w:hAnsi="宋体" w:eastAsia="宋体" w:cs="宋体"/>
                <w:color w:val="auto"/>
                <w:kern w:val="0"/>
                <w:szCs w:val="21"/>
              </w:rPr>
              <w:t>分。</w:t>
            </w:r>
          </w:p>
          <w:p w14:paraId="0666EA08">
            <w:pPr>
              <w:pageBreakBefore w:val="0"/>
              <w:kinsoku/>
              <w:wordWrap/>
              <w:overflowPunct/>
              <w:topLinePunct w:val="0"/>
              <w:autoSpaceDE/>
              <w:autoSpaceDN/>
              <w:bidi w:val="0"/>
              <w:adjustRightInd/>
              <w:snapToGrid w:val="0"/>
              <w:spacing w:line="240" w:lineRule="auto"/>
              <w:textAlignment w:val="auto"/>
              <w:rPr>
                <w:rFonts w:hint="eastAsia" w:ascii="Times New Roman" w:hAnsi="Times New Roman" w:eastAsia="宋体" w:cs="Times New Roman"/>
                <w:b/>
                <w:color w:val="auto"/>
                <w:spacing w:val="0"/>
                <w:kern w:val="2"/>
                <w:sz w:val="21"/>
                <w:szCs w:val="21"/>
                <w:lang w:val="en-US" w:eastAsia="zh-CN" w:bidi="ar-SA"/>
              </w:rPr>
            </w:pPr>
            <w:r>
              <w:rPr>
                <w:rFonts w:hint="eastAsia" w:ascii="宋体" w:hAnsi="宋体" w:eastAsia="宋体" w:cs="宋体"/>
                <w:color w:val="auto"/>
                <w:kern w:val="0"/>
                <w:szCs w:val="21"/>
              </w:rPr>
              <w:t>注：日期以合同签订日期为准，提供合同复印件并加盖公章，未提供不计分。</w:t>
            </w:r>
          </w:p>
        </w:tc>
      </w:tr>
    </w:tbl>
    <w:p w14:paraId="4C13D116">
      <w:pP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1、方案欠完善或针对性欠缺是指项目名称不符、未贴合采购需求、方案内容与项目需求不一致或没有关联性、涉及的技术规范标准等与国家标准或行业标准或采购文件要求不一致，相关评审具体实施方案内容与实际实施时存在差异性，计划安排无条理性、方案内容空洞、语义表述不清，存在歧义、逻辑混乱、有错别字，内容不完善等；</w:t>
      </w:r>
    </w:p>
    <w:p w14:paraId="7BADEAA1">
      <w:pP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2、缺漏项是指该项内容未提供具体的实施方案内容，或者整段内容照搬采购需求、评审办法的内容未</w:t>
      </w:r>
      <w:r>
        <w:rPr>
          <w:rFonts w:hint="eastAsia" w:ascii="宋体" w:hAnsi="宋体" w:cs="宋体"/>
          <w:color w:val="auto"/>
          <w:kern w:val="0"/>
          <w:szCs w:val="21"/>
          <w:highlight w:val="none"/>
          <w:lang w:eastAsia="zh-CN"/>
        </w:rPr>
        <w:t>作</w:t>
      </w:r>
      <w:r>
        <w:rPr>
          <w:rFonts w:hint="eastAsia" w:ascii="宋体" w:hAnsi="宋体" w:cs="宋体"/>
          <w:color w:val="auto"/>
          <w:kern w:val="0"/>
          <w:szCs w:val="21"/>
          <w:highlight w:val="none"/>
        </w:rPr>
        <w:t>修改；不合理是指非专门针对本项目或者不适用项目的情形，内容不完整或者缺少关键安排，套用其他项目方案、内容前后矛盾、表述错误；</w:t>
      </w:r>
    </w:p>
    <w:p w14:paraId="2A2336D8">
      <w:pPr>
        <w:jc w:val="left"/>
        <w:rPr>
          <w:rFonts w:ascii="宋体" w:hAnsi="宋体" w:cs="宋体"/>
          <w:color w:val="auto"/>
          <w:kern w:val="0"/>
          <w:szCs w:val="21"/>
          <w:highlight w:val="none"/>
        </w:rPr>
      </w:pPr>
      <w:r>
        <w:rPr>
          <w:rFonts w:hint="eastAsia" w:ascii="宋体" w:hAnsi="宋体" w:cs="宋体"/>
          <w:color w:val="auto"/>
          <w:kern w:val="0"/>
          <w:szCs w:val="21"/>
          <w:highlight w:val="none"/>
        </w:rPr>
        <w:t>3、统计分值出现小数点的，先计算各项分值并保留小数点后2位数，第三位数四舍五入，再进行合计分值统计。</w:t>
      </w:r>
    </w:p>
    <w:p w14:paraId="5A9EA840">
      <w:pPr>
        <w:widowControl/>
        <w:jc w:val="left"/>
        <w:rPr>
          <w:b/>
          <w:bCs/>
          <w:color w:val="auto"/>
          <w:highlight w:val="none"/>
        </w:rPr>
      </w:pPr>
      <w:r>
        <w:rPr>
          <w:b/>
          <w:bCs/>
          <w:color w:val="auto"/>
          <w:highlight w:val="none"/>
        </w:rPr>
        <w:br w:type="page"/>
      </w:r>
    </w:p>
    <w:p w14:paraId="326FFE93">
      <w:pPr>
        <w:pStyle w:val="5"/>
        <w:adjustRightInd w:val="0"/>
        <w:snapToGrid w:val="0"/>
        <w:spacing w:before="156" w:beforeLines="50"/>
        <w:jc w:val="center"/>
        <w:rPr>
          <w:rFonts w:ascii="新宋体" w:hAnsi="新宋体" w:eastAsia="新宋体" w:cs="新宋体"/>
          <w:b w:val="0"/>
          <w:bCs w:val="0"/>
          <w:color w:val="auto"/>
          <w:sz w:val="32"/>
          <w:highlight w:val="none"/>
        </w:rPr>
      </w:pPr>
      <w:bookmarkStart w:id="37" w:name="_Toc6614"/>
      <w:r>
        <w:rPr>
          <w:rFonts w:hint="eastAsia" w:ascii="黑体" w:hAnsi="黑体" w:eastAsia="黑体"/>
          <w:color w:val="auto"/>
          <w:sz w:val="28"/>
          <w:szCs w:val="28"/>
          <w:highlight w:val="none"/>
        </w:rPr>
        <w:t>第二节  磋商须知正文</w:t>
      </w:r>
      <w:bookmarkEnd w:id="37"/>
    </w:p>
    <w:p w14:paraId="455E4D7A">
      <w:pPr>
        <w:pStyle w:val="7"/>
        <w:spacing w:before="0" w:after="0" w:line="400" w:lineRule="exact"/>
        <w:jc w:val="center"/>
        <w:rPr>
          <w:rFonts w:ascii="黑体" w:hAnsi="黑体" w:eastAsia="黑体" w:cs="新宋体"/>
          <w:b w:val="0"/>
          <w:bCs w:val="0"/>
          <w:color w:val="auto"/>
          <w:sz w:val="28"/>
          <w:szCs w:val="28"/>
          <w:highlight w:val="none"/>
        </w:rPr>
      </w:pPr>
      <w:bookmarkStart w:id="38" w:name="_Toc12259"/>
      <w:r>
        <w:rPr>
          <w:rFonts w:hint="eastAsia" w:ascii="黑体" w:hAnsi="黑体" w:eastAsia="黑体" w:cs="新宋体"/>
          <w:b w:val="0"/>
          <w:bCs w:val="0"/>
          <w:color w:val="auto"/>
          <w:sz w:val="28"/>
          <w:szCs w:val="28"/>
          <w:highlight w:val="none"/>
        </w:rPr>
        <w:t>一、说明</w:t>
      </w:r>
      <w:bookmarkEnd w:id="38"/>
    </w:p>
    <w:p w14:paraId="0358C32D">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1.适用范围</w:t>
      </w:r>
    </w:p>
    <w:p w14:paraId="38941EA2">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1.1 本磋商文件仅适用于磋商须知前附表</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以下简称【</w:t>
      </w:r>
      <w:r>
        <w:rPr>
          <w:rFonts w:hint="eastAsia" w:ascii="新宋体" w:hAnsi="新宋体" w:eastAsia="新宋体" w:cs="新宋体"/>
          <w:b/>
          <w:color w:val="auto"/>
          <w:highlight w:val="none"/>
        </w:rPr>
        <w:t>磋商须知前附表】</w:t>
      </w:r>
      <w:r>
        <w:rPr>
          <w:rFonts w:hint="eastAsia" w:ascii="新宋体" w:hAnsi="新宋体" w:eastAsia="新宋体" w:cs="新宋体"/>
          <w:b/>
          <w:color w:val="auto"/>
          <w:highlight w:val="none"/>
          <w:lang w:eastAsia="zh-CN"/>
        </w:rPr>
        <w:t>）</w:t>
      </w:r>
      <w:r>
        <w:rPr>
          <w:rFonts w:hint="eastAsia" w:ascii="新宋体" w:hAnsi="新宋体" w:eastAsia="新宋体" w:cs="新宋体"/>
          <w:color w:val="auto"/>
          <w:highlight w:val="none"/>
        </w:rPr>
        <w:t>中所叙述的采购项目。</w:t>
      </w:r>
    </w:p>
    <w:p w14:paraId="38E5CA08">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2.定义</w:t>
      </w:r>
    </w:p>
    <w:p w14:paraId="0D780B31">
      <w:pPr>
        <w:snapToGrid w:val="0"/>
        <w:spacing w:line="400" w:lineRule="exact"/>
        <w:ind w:firstLine="420"/>
        <w:rPr>
          <w:rFonts w:ascii="新宋体" w:hAnsi="新宋体" w:eastAsia="新宋体" w:cs="新宋体"/>
          <w:b/>
          <w:color w:val="auto"/>
          <w:highlight w:val="none"/>
        </w:rPr>
      </w:pPr>
      <w:r>
        <w:rPr>
          <w:rFonts w:hint="eastAsia" w:ascii="新宋体" w:hAnsi="新宋体" w:eastAsia="新宋体" w:cs="新宋体"/>
          <w:color w:val="auto"/>
          <w:highlight w:val="none"/>
        </w:rPr>
        <w:t>2.1 “采购人”是指依法进行政府采购的国家机关、事业单位、团体组织。本次政府采购的采购人名称、地址、电话、联系人见</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磋商邀请</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w:t>
      </w:r>
    </w:p>
    <w:p w14:paraId="413E889F">
      <w:pPr>
        <w:snapToGrid w:val="0"/>
        <w:spacing w:line="400" w:lineRule="exact"/>
        <w:ind w:firstLine="420"/>
        <w:rPr>
          <w:rFonts w:ascii="新宋体" w:hAnsi="新宋体" w:eastAsia="新宋体" w:cs="新宋体"/>
          <w:b/>
          <w:color w:val="auto"/>
          <w:highlight w:val="none"/>
        </w:rPr>
      </w:pPr>
      <w:r>
        <w:rPr>
          <w:rFonts w:hint="eastAsia" w:ascii="新宋体" w:hAnsi="新宋体" w:eastAsia="新宋体" w:cs="新宋体"/>
          <w:color w:val="auto"/>
          <w:highlight w:val="none"/>
        </w:rPr>
        <w:t>2.2 “采购代理机构”是指接受采购人委托，代理采购项目的集中采购机构和其他采购代理机构。本次政府采购的采购代理机构名称、地址、电话、联系人见</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磋商邀请</w:t>
      </w:r>
      <w:r>
        <w:rPr>
          <w:rFonts w:hint="eastAsia" w:ascii="新宋体" w:hAnsi="新宋体" w:eastAsia="新宋体" w:cs="新宋体"/>
          <w:b/>
          <w:color w:val="auto"/>
          <w:highlight w:val="none"/>
        </w:rPr>
        <w:t>】。</w:t>
      </w:r>
    </w:p>
    <w:p w14:paraId="5CE1F8E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2.3 “供应商”是指响应磋商文件要求、参加竞争性磋商采购的法人、其他组织或者自然人。本次政府采购项目采用</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磋商邀请</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所述方式，邀请符合资格条件的供应商参与竞争性磋商采购活动。供应商应持</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磋商邀请</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规定的资料购买磋商文件。</w:t>
      </w:r>
    </w:p>
    <w:p w14:paraId="530837E8">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2.4 “磋商小组”是指依据财政部《政府采购竞争性磋商采购方式管理暂行办法》有关规定组建，依法依规履行其职责和义务的机构。</w:t>
      </w:r>
    </w:p>
    <w:p w14:paraId="4A15538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2.5 “货物”是指各种形态和种类的物品，包括原资料、燃料、设备、产品等，详见《政府采购品目分类目录》</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w:t>
      </w:r>
      <w:r>
        <w:rPr>
          <w:rFonts w:hint="eastAsia" w:ascii="新宋体" w:hAnsi="新宋体" w:eastAsia="新宋体" w:cs="新宋体"/>
          <w:color w:val="auto"/>
          <w:highlight w:val="none"/>
          <w:lang w:eastAsia="zh-CN"/>
        </w:rPr>
        <w:t>〔2013〕189号）</w:t>
      </w:r>
      <w:r>
        <w:rPr>
          <w:rFonts w:hint="eastAsia" w:ascii="新宋体" w:hAnsi="新宋体" w:eastAsia="新宋体" w:cs="新宋体"/>
          <w:color w:val="auto"/>
          <w:highlight w:val="none"/>
        </w:rPr>
        <w:t>。</w:t>
      </w:r>
    </w:p>
    <w:p w14:paraId="5E2B2B05">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2.6 “工程”是指建设工程，包括建筑物和构筑物的新建、改建、扩建、装修、拆除、修缮等，详见《政府采购品目分类目录》</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w:t>
      </w:r>
      <w:r>
        <w:rPr>
          <w:rFonts w:hint="eastAsia" w:ascii="新宋体" w:hAnsi="新宋体" w:eastAsia="新宋体" w:cs="新宋体"/>
          <w:color w:val="auto"/>
          <w:highlight w:val="none"/>
          <w:lang w:eastAsia="zh-CN"/>
        </w:rPr>
        <w:t>〔2013〕189号）</w:t>
      </w:r>
      <w:r>
        <w:rPr>
          <w:rFonts w:hint="eastAsia" w:ascii="新宋体" w:hAnsi="新宋体" w:eastAsia="新宋体" w:cs="新宋体"/>
          <w:color w:val="auto"/>
          <w:highlight w:val="none"/>
        </w:rPr>
        <w:t>。</w:t>
      </w:r>
    </w:p>
    <w:p w14:paraId="1771A838">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2.7 “服务”是指除货物和工程以外的其他政府采购对象，详见《政府采购品目分类目录》</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w:t>
      </w:r>
      <w:r>
        <w:rPr>
          <w:rFonts w:hint="eastAsia" w:ascii="新宋体" w:hAnsi="新宋体" w:eastAsia="新宋体" w:cs="新宋体"/>
          <w:color w:val="auto"/>
          <w:highlight w:val="none"/>
          <w:lang w:eastAsia="zh-CN"/>
        </w:rPr>
        <w:t>〔2013〕189号）</w:t>
      </w:r>
      <w:r>
        <w:rPr>
          <w:rFonts w:hint="eastAsia" w:ascii="新宋体" w:hAnsi="新宋体" w:eastAsia="新宋体" w:cs="新宋体"/>
          <w:color w:val="auto"/>
          <w:highlight w:val="none"/>
        </w:rPr>
        <w:t>。</w:t>
      </w:r>
    </w:p>
    <w:p w14:paraId="29D8FA5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2.8 “节能产品”或者“环保产品”是指财政部发布的《节能产品政府采购清单》或者《环境标志产品政府采购清单》的产品，“两型产品”是指湖南省财政厅发布的《湖南省两型产品政府采购目录》的产品。</w:t>
      </w:r>
    </w:p>
    <w:p w14:paraId="4BB41CAA">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2.9“进口产品”是指通过中国海关报关验放进入中国境内且产自关境外的产品，详见《关于政府采购进口产品管理有关问题的通知》</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w:t>
      </w:r>
      <w:r>
        <w:rPr>
          <w:rFonts w:hint="eastAsia" w:ascii="新宋体" w:hAnsi="新宋体" w:eastAsia="新宋体" w:cs="新宋体"/>
          <w:color w:val="auto"/>
          <w:highlight w:val="none"/>
          <w:lang w:eastAsia="zh-CN"/>
        </w:rPr>
        <w:t>〔2007〕119号）</w:t>
      </w:r>
      <w:r>
        <w:rPr>
          <w:rFonts w:hint="eastAsia" w:ascii="新宋体" w:hAnsi="新宋体" w:eastAsia="新宋体" w:cs="新宋体"/>
          <w:color w:val="auto"/>
          <w:highlight w:val="none"/>
        </w:rPr>
        <w:t>。</w:t>
      </w:r>
    </w:p>
    <w:p w14:paraId="27B0D967">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3.供应商的资格要求</w:t>
      </w:r>
    </w:p>
    <w:p w14:paraId="5246F3E8">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3.1 供应商应当符合</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磋商邀请</w:t>
      </w:r>
      <w:r>
        <w:rPr>
          <w:rFonts w:hint="eastAsia" w:ascii="新宋体" w:hAnsi="新宋体" w:eastAsia="新宋体" w:cs="新宋体"/>
          <w:b/>
          <w:color w:val="auto"/>
          <w:highlight w:val="none"/>
        </w:rPr>
        <w:t>】</w:t>
      </w:r>
      <w:r>
        <w:rPr>
          <w:rFonts w:hint="eastAsia" w:ascii="新宋体" w:hAnsi="新宋体" w:eastAsia="新宋体" w:cs="新宋体"/>
          <w:color w:val="auto"/>
          <w:highlight w:val="none"/>
        </w:rPr>
        <w:t>中规定的资格条件要求。</w:t>
      </w:r>
    </w:p>
    <w:p w14:paraId="694D6245">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 xml:space="preserve">3.2供应商为联合体形式的，除应满足本章第3.1款资格条件要求及第3.3款规定外，还应遵守以下规定： </w:t>
      </w:r>
    </w:p>
    <w:p w14:paraId="78394352">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（1）联合体各方应按磋商文件提供的格式签订联合体协议书，明确联合体牵头人和各方权利义务</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含承担工作及工作量比例</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w:t>
      </w:r>
    </w:p>
    <w:p w14:paraId="7597EB31">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（2）联合体中有同类资质的供应商按照联合体分工承担相同工作的，应当按照资质等级较低的供应商确定资质等级；</w:t>
      </w:r>
    </w:p>
    <w:p w14:paraId="78D69FEE">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（3）以联合体形式参加政府采购活动的，联合体各方不得再单独参加或者与其他供应商另外组成联合体参加同一合同项下的政府采购活动。</w:t>
      </w:r>
    </w:p>
    <w:p w14:paraId="1A39FF0A">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3.3 供应商不得存在下列情形之一：</w:t>
      </w:r>
    </w:p>
    <w:p w14:paraId="541D448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eastAsia="zh-CN"/>
        </w:rPr>
        <w:t>1</w:t>
      </w:r>
      <w:r>
        <w:rPr>
          <w:rFonts w:hint="eastAsia" w:ascii="新宋体" w:hAnsi="新宋体" w:eastAsia="新宋体" w:cs="新宋体"/>
          <w:color w:val="auto"/>
          <w:highlight w:val="none"/>
        </w:rPr>
        <w:t>）与采购人、采购代理机构存在隶属关系或者其他利害关系。</w:t>
      </w:r>
    </w:p>
    <w:p w14:paraId="5E49980A">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（2）与其他供应商的法定代表人（或者负责人）为同一人，或者与其他供应商存在控股、关联关系。</w:t>
      </w:r>
    </w:p>
    <w:p w14:paraId="207D48FF">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（3）为采购项目提供整体设计、规范编制或者项目管理、监理、检测等服务的供应商。</w:t>
      </w:r>
    </w:p>
    <w:p w14:paraId="067A5C9E">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4）列入失信被执行人、重大税收违法案件当事人名单、政府采购严重违法失信行为记录名单及其他不符合《中华人民共和国政府采购法》第二十二条规定条件（联合体形式投标的，联合体成员存在不良信用记录，视同联合体存在不良信用记录）。</w:t>
      </w:r>
    </w:p>
    <w:p w14:paraId="3DC41E25">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 xml:space="preserve">4.参与磋商的费用 </w:t>
      </w:r>
    </w:p>
    <w:p w14:paraId="5CB6A6C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4.1 无论磋商的结果如何，供应商应自行承担所有与竞争性磋商采购活动有关的全部费用。</w:t>
      </w:r>
    </w:p>
    <w:p w14:paraId="28EF989E">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lang w:eastAsia="zh-CN"/>
        </w:rPr>
        <w:t>5.</w:t>
      </w:r>
      <w:r>
        <w:rPr>
          <w:rFonts w:hint="eastAsia" w:ascii="新宋体" w:hAnsi="新宋体" w:eastAsia="新宋体" w:cs="新宋体"/>
          <w:b/>
          <w:color w:val="auto"/>
          <w:highlight w:val="none"/>
        </w:rPr>
        <w:t>授权委托</w:t>
      </w:r>
    </w:p>
    <w:p w14:paraId="005CF914">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5.1供应商代表为供应商法定代表人的，应持有法定代表人身份证明。供应商代表不是供应商法定代表人的，应持有法定代表人授权书，并附法定代表人身份证明。</w:t>
      </w:r>
    </w:p>
    <w:p w14:paraId="191BC48F">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lang w:eastAsia="zh-CN"/>
        </w:rPr>
        <w:t>6.</w:t>
      </w:r>
      <w:r>
        <w:rPr>
          <w:rFonts w:hint="eastAsia" w:ascii="新宋体" w:hAnsi="新宋体" w:eastAsia="新宋体" w:cs="新宋体"/>
          <w:b/>
          <w:color w:val="auto"/>
          <w:highlight w:val="none"/>
        </w:rPr>
        <w:t>联合体形式</w:t>
      </w:r>
    </w:p>
    <w:p w14:paraId="3620358E">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6.1除</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中另有规定，本次磋商采购不接受为联合体形式的供应商。</w:t>
      </w:r>
    </w:p>
    <w:p w14:paraId="24C5BACC">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6.2供应商为联合体形式的，除应符合本章第3条规定外，还应遵守以下规定：</w:t>
      </w:r>
    </w:p>
    <w:p w14:paraId="67C57017">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eastAsia="zh-CN"/>
        </w:rPr>
        <w:t>1</w:t>
      </w:r>
      <w:r>
        <w:rPr>
          <w:rFonts w:hint="eastAsia" w:ascii="新宋体" w:hAnsi="新宋体" w:eastAsia="新宋体" w:cs="新宋体"/>
          <w:color w:val="auto"/>
          <w:highlight w:val="none"/>
        </w:rPr>
        <w:t>）联合体各方必须签订联合体协议书，明确联合体牵头人和各方的义务、工作、合同工作量比例；</w:t>
      </w:r>
    </w:p>
    <w:p w14:paraId="277FA4B7">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（2）联合体各方均应当符合本章第3.1款规定的供应商基本资格条件；</w:t>
      </w:r>
    </w:p>
    <w:p w14:paraId="51E5D077">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（3）除</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中另有规定，联合体各方中至少有一方应当符合本章第3.1款规定的供应商特定资格条件；</w:t>
      </w:r>
    </w:p>
    <w:p w14:paraId="782C8D5E">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（4）联合体各方不得再单独或与其他供应商组成新的联合体参加同一项目的采购活动。</w:t>
      </w:r>
    </w:p>
    <w:p w14:paraId="15BDEF6D">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7.现场勘察</w:t>
      </w:r>
    </w:p>
    <w:p w14:paraId="040D799E">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7.1供应商应按</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中规定对采购项目现场和周围环境的现场考察。</w:t>
      </w:r>
    </w:p>
    <w:p w14:paraId="1ADCCFA8">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7.2勘察现场的费用由供应商自己承担，勘察期间所发生的人身伤害及财产损失由供应商自己负责。</w:t>
      </w:r>
    </w:p>
    <w:p w14:paraId="32386E0F">
      <w:pPr>
        <w:snapToGrid w:val="0"/>
        <w:spacing w:line="400" w:lineRule="exact"/>
        <w:ind w:firstLine="420"/>
        <w:jc w:val="left"/>
        <w:rPr>
          <w:rFonts w:ascii="新宋体" w:hAnsi="新宋体" w:eastAsia="新宋体" w:cs="新宋体"/>
          <w:b/>
          <w:color w:val="auto"/>
          <w:highlight w:val="none"/>
        </w:rPr>
      </w:pPr>
      <w:r>
        <w:rPr>
          <w:rFonts w:hint="eastAsia" w:ascii="新宋体" w:hAnsi="新宋体" w:eastAsia="新宋体" w:cs="新宋体"/>
          <w:color w:val="auto"/>
          <w:highlight w:val="none"/>
        </w:rPr>
        <w:t>7.3采购人不对供应商据此而做出的推论、理解和结论负责。一旦成交，供应商不得以任何借口，提出额外补偿，或延长合同期限的要求。</w:t>
      </w:r>
    </w:p>
    <w:p w14:paraId="10810A1A">
      <w:pPr>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8.采购进口产品</w:t>
      </w:r>
    </w:p>
    <w:p w14:paraId="606E8C95">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8.1除</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另有规定外，本项目拒绝进口产品参加竞争性磋商采购活动。</w:t>
      </w:r>
    </w:p>
    <w:p w14:paraId="2B026523">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8.2本章第8.1款规定同意购买进口产品的，本项目采购活动不限制满足磋商文件要求的国内产品参与竞争性磋商。</w:t>
      </w:r>
    </w:p>
    <w:p w14:paraId="1CC54398">
      <w:pPr>
        <w:adjustRightInd w:val="0"/>
        <w:snapToGrid w:val="0"/>
        <w:spacing w:before="156" w:beforeLines="50" w:line="400" w:lineRule="exact"/>
        <w:jc w:val="left"/>
        <w:rPr>
          <w:rFonts w:ascii="新宋体" w:hAnsi="新宋体" w:eastAsia="新宋体" w:cs="新宋体"/>
          <w:b/>
          <w:color w:val="auto"/>
          <w:sz w:val="24"/>
          <w:highlight w:val="none"/>
        </w:rPr>
      </w:pPr>
      <w:r>
        <w:rPr>
          <w:rFonts w:hint="eastAsia" w:ascii="新宋体" w:hAnsi="新宋体" w:eastAsia="新宋体" w:cs="新宋体"/>
          <w:b/>
          <w:color w:val="auto"/>
          <w:sz w:val="24"/>
          <w:highlight w:val="none"/>
        </w:rPr>
        <w:t>9．组织现场考察或者召开答疑会</w:t>
      </w:r>
    </w:p>
    <w:p w14:paraId="2B8AF349">
      <w:pPr>
        <w:adjustRightInd w:val="0"/>
        <w:snapToGrid w:val="0"/>
        <w:spacing w:before="156" w:beforeLines="50" w:line="400" w:lineRule="exact"/>
        <w:ind w:firstLine="420" w:firstLineChars="200"/>
        <w:jc w:val="left"/>
        <w:rPr>
          <w:rFonts w:ascii="新宋体" w:hAnsi="新宋体" w:eastAsia="新宋体" w:cs="新宋体"/>
          <w:color w:val="auto"/>
          <w:szCs w:val="21"/>
          <w:highlight w:val="none"/>
        </w:rPr>
      </w:pPr>
      <w:r>
        <w:rPr>
          <w:rFonts w:hint="eastAsia" w:ascii="新宋体" w:hAnsi="新宋体" w:eastAsia="新宋体" w:cs="新宋体"/>
          <w:color w:val="auto"/>
          <w:highlight w:val="none"/>
        </w:rPr>
        <w:t>9.1采购人、采购代理机构可以在</w:t>
      </w:r>
      <w:r>
        <w:rPr>
          <w:rFonts w:hint="eastAsia" w:ascii="新宋体" w:hAnsi="新宋体" w:eastAsia="新宋体" w:cs="新宋体"/>
          <w:b/>
          <w:color w:val="auto"/>
          <w:szCs w:val="21"/>
          <w:highlight w:val="none"/>
        </w:rPr>
        <w:t>【磋商须知前附表】</w:t>
      </w:r>
      <w:r>
        <w:rPr>
          <w:rFonts w:hint="eastAsia" w:ascii="新宋体" w:hAnsi="新宋体" w:eastAsia="新宋体" w:cs="新宋体"/>
          <w:color w:val="auto"/>
          <w:szCs w:val="21"/>
          <w:highlight w:val="none"/>
        </w:rPr>
        <w:t>规定的磋商文件提供期限截止后，组织已获取磋商文件的供应商现场考察或者召开开标前答疑会。</w:t>
      </w:r>
    </w:p>
    <w:p w14:paraId="774DD0AF">
      <w:pPr>
        <w:adjustRightInd w:val="0"/>
        <w:snapToGrid w:val="0"/>
        <w:spacing w:before="156" w:beforeLines="50" w:line="400" w:lineRule="exact"/>
        <w:ind w:firstLine="420" w:firstLineChars="200"/>
        <w:jc w:val="left"/>
        <w:rPr>
          <w:rFonts w:ascii="新宋体" w:hAnsi="新宋体" w:eastAsia="新宋体" w:cs="新宋体"/>
          <w:color w:val="auto"/>
          <w:szCs w:val="21"/>
          <w:highlight w:val="none"/>
        </w:rPr>
      </w:pPr>
      <w:r>
        <w:rPr>
          <w:rFonts w:hint="eastAsia" w:ascii="新宋体" w:hAnsi="新宋体" w:eastAsia="新宋体" w:cs="新宋体"/>
          <w:color w:val="auto"/>
          <w:szCs w:val="21"/>
          <w:highlight w:val="none"/>
        </w:rPr>
        <w:t>9.2获取磋商文件的供应商应按</w:t>
      </w:r>
      <w:r>
        <w:rPr>
          <w:rFonts w:hint="eastAsia" w:ascii="新宋体" w:hAnsi="新宋体" w:eastAsia="新宋体" w:cs="新宋体"/>
          <w:b/>
          <w:color w:val="auto"/>
          <w:szCs w:val="21"/>
          <w:highlight w:val="none"/>
        </w:rPr>
        <w:t>【磋商须知前附表】</w:t>
      </w:r>
      <w:r>
        <w:rPr>
          <w:rFonts w:hint="eastAsia" w:ascii="新宋体" w:hAnsi="新宋体" w:eastAsia="新宋体" w:cs="新宋体"/>
          <w:color w:val="auto"/>
          <w:szCs w:val="21"/>
          <w:highlight w:val="none"/>
        </w:rPr>
        <w:t>规定参加现场考察或者答疑会；如不参加，其风险由其自行承担。</w:t>
      </w:r>
    </w:p>
    <w:p w14:paraId="5468BA96">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9.3供应商现场考察或者参加答疑会的费用由自己承担，现场考察期间所发生的人身伤害及财产损失由自己负责。</w:t>
      </w:r>
    </w:p>
    <w:p w14:paraId="3A52A160">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9.4采购人、采购代理机构不对供应商据此而做出的推论、理解和结论负责。供应商一旦中标，不得以任何借口，提出额外补偿，或延长合同期限的要求。</w:t>
      </w:r>
    </w:p>
    <w:p w14:paraId="11A5A038">
      <w:pPr>
        <w:pStyle w:val="22"/>
        <w:spacing w:line="400" w:lineRule="exact"/>
        <w:rPr>
          <w:rFonts w:ascii="新宋体" w:hAnsi="新宋体" w:eastAsia="新宋体" w:cs="新宋体"/>
          <w:color w:val="auto"/>
          <w:highlight w:val="none"/>
        </w:rPr>
      </w:pPr>
    </w:p>
    <w:p w14:paraId="34874108">
      <w:pPr>
        <w:pStyle w:val="7"/>
        <w:spacing w:before="0" w:after="0" w:line="400" w:lineRule="exact"/>
        <w:jc w:val="center"/>
        <w:rPr>
          <w:rFonts w:ascii="黑体" w:hAnsi="黑体" w:eastAsia="黑体" w:cs="新宋体"/>
          <w:b w:val="0"/>
          <w:bCs w:val="0"/>
          <w:color w:val="auto"/>
          <w:sz w:val="28"/>
          <w:szCs w:val="28"/>
          <w:highlight w:val="none"/>
        </w:rPr>
      </w:pPr>
      <w:bookmarkStart w:id="39" w:name="_Toc32029"/>
      <w:r>
        <w:rPr>
          <w:rFonts w:hint="eastAsia" w:ascii="黑体" w:hAnsi="黑体" w:eastAsia="黑体" w:cs="新宋体"/>
          <w:b w:val="0"/>
          <w:bCs w:val="0"/>
          <w:color w:val="auto"/>
          <w:sz w:val="28"/>
          <w:szCs w:val="28"/>
          <w:highlight w:val="none"/>
        </w:rPr>
        <w:t>二、磋商文件</w:t>
      </w:r>
      <w:bookmarkEnd w:id="39"/>
    </w:p>
    <w:p w14:paraId="1B6CC660">
      <w:pPr>
        <w:pStyle w:val="8"/>
        <w:adjustRightInd w:val="0"/>
        <w:snapToGrid w:val="0"/>
        <w:spacing w:before="50" w:after="0" w:line="400" w:lineRule="exact"/>
        <w:rPr>
          <w:color w:val="auto"/>
          <w:sz w:val="24"/>
          <w:szCs w:val="24"/>
          <w:highlight w:val="none"/>
        </w:rPr>
      </w:pPr>
      <w:r>
        <w:rPr>
          <w:rFonts w:hint="eastAsia"/>
          <w:color w:val="auto"/>
          <w:sz w:val="24"/>
          <w:szCs w:val="24"/>
          <w:highlight w:val="none"/>
        </w:rPr>
        <w:t>10.磋商文件的组成</w:t>
      </w:r>
    </w:p>
    <w:p w14:paraId="4E154B2A">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10.1磋商文件由下列文件组成：</w:t>
      </w:r>
    </w:p>
    <w:p w14:paraId="71462B98">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第一章 磋商邀请</w:t>
      </w:r>
    </w:p>
    <w:p w14:paraId="13F43F5B">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第二章 磋商须知</w:t>
      </w:r>
    </w:p>
    <w:p w14:paraId="09794CA1">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第三章 采购需求</w:t>
      </w:r>
    </w:p>
    <w:p w14:paraId="45E32F98">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第四章 合同草案条款</w:t>
      </w:r>
    </w:p>
    <w:p w14:paraId="1080E3B9">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第五章 响应文件组成</w:t>
      </w:r>
    </w:p>
    <w:p w14:paraId="6DF3AF16">
      <w:pPr>
        <w:pStyle w:val="11"/>
        <w:adjustRightInd w:val="0"/>
        <w:snapToGrid w:val="0"/>
        <w:spacing w:before="156" w:beforeLines="50" w:line="400" w:lineRule="exact"/>
        <w:ind w:firstLine="420" w:firstLineChars="200"/>
        <w:rPr>
          <w:rFonts w:hAnsi="宋体" w:cs="宋体"/>
          <w:color w:val="auto"/>
          <w:kern w:val="0"/>
          <w:highlight w:val="none"/>
        </w:rPr>
      </w:pPr>
      <w:r>
        <w:rPr>
          <w:rFonts w:hint="eastAsia" w:hAnsi="宋体" w:cs="宋体"/>
          <w:color w:val="auto"/>
          <w:kern w:val="0"/>
          <w:highlight w:val="none"/>
        </w:rPr>
        <w:t>10.2采购人、采购代理机构或者磋商小组在提交首次响应文件截止之日前对已发出的磋商文件进行的澄清或者修改，构成磋商文件的组成部分。</w:t>
      </w:r>
    </w:p>
    <w:p w14:paraId="2721F958">
      <w:pPr>
        <w:pStyle w:val="11"/>
        <w:adjustRightInd w:val="0"/>
        <w:snapToGrid w:val="0"/>
        <w:spacing w:before="156" w:beforeLines="50" w:line="400" w:lineRule="exact"/>
        <w:ind w:firstLine="420" w:firstLineChars="200"/>
        <w:rPr>
          <w:color w:val="auto"/>
          <w:highlight w:val="none"/>
        </w:rPr>
      </w:pPr>
      <w:r>
        <w:rPr>
          <w:rFonts w:hint="eastAsia" w:hAnsi="宋体" w:cs="宋体"/>
          <w:color w:val="auto"/>
          <w:kern w:val="0"/>
          <w:highlight w:val="none"/>
        </w:rPr>
        <w:t>10.3磋商文件中，磋商小组根据与供应商磋商情况可能实质性变动的内容见</w:t>
      </w:r>
      <w:r>
        <w:rPr>
          <w:rFonts w:hint="eastAsia" w:hAnsi="宋体"/>
          <w:b/>
          <w:color w:val="auto"/>
          <w:highlight w:val="none"/>
        </w:rPr>
        <w:t>【磋商须知前附表】</w:t>
      </w:r>
      <w:r>
        <w:rPr>
          <w:rFonts w:hint="eastAsia" w:hAnsi="宋体" w:cs="宋体"/>
          <w:color w:val="auto"/>
          <w:kern w:val="0"/>
          <w:highlight w:val="none"/>
        </w:rPr>
        <w:t>。对磋商文件作出的实质性变动是磋商文件的有效组成部分。</w:t>
      </w:r>
    </w:p>
    <w:p w14:paraId="3D0B7C18">
      <w:pPr>
        <w:pStyle w:val="11"/>
        <w:adjustRightInd w:val="0"/>
        <w:snapToGrid w:val="0"/>
        <w:spacing w:before="156" w:beforeLines="50" w:line="400" w:lineRule="exact"/>
        <w:ind w:firstLine="420" w:firstLineChars="200"/>
        <w:rPr>
          <w:rFonts w:hAnsi="宋体" w:cs="宋体"/>
          <w:color w:val="auto"/>
          <w:highlight w:val="none"/>
        </w:rPr>
      </w:pPr>
      <w:r>
        <w:rPr>
          <w:rFonts w:hint="eastAsia" w:hAnsi="宋体"/>
          <w:color w:val="auto"/>
          <w:highlight w:val="none"/>
        </w:rPr>
        <w:t>10.4供应商应仔细阅读</w:t>
      </w:r>
      <w:r>
        <w:rPr>
          <w:rFonts w:hint="eastAsia" w:hAnsi="宋体"/>
          <w:bCs/>
          <w:color w:val="auto"/>
          <w:highlight w:val="none"/>
        </w:rPr>
        <w:t>磋商</w:t>
      </w:r>
      <w:r>
        <w:rPr>
          <w:rFonts w:hint="eastAsia" w:hAnsi="宋体"/>
          <w:color w:val="auto"/>
          <w:highlight w:val="none"/>
        </w:rPr>
        <w:t>文件的全部内容，按照</w:t>
      </w:r>
      <w:r>
        <w:rPr>
          <w:rFonts w:hint="eastAsia" w:hAnsi="宋体"/>
          <w:bCs/>
          <w:color w:val="auto"/>
          <w:highlight w:val="none"/>
        </w:rPr>
        <w:t>磋商</w:t>
      </w:r>
      <w:r>
        <w:rPr>
          <w:rFonts w:hint="eastAsia" w:hAnsi="宋体"/>
          <w:color w:val="auto"/>
          <w:highlight w:val="none"/>
        </w:rPr>
        <w:t>文件要求编制</w:t>
      </w:r>
      <w:r>
        <w:rPr>
          <w:rFonts w:hint="eastAsia"/>
          <w:color w:val="auto"/>
          <w:highlight w:val="none"/>
        </w:rPr>
        <w:t>响应</w:t>
      </w:r>
      <w:r>
        <w:rPr>
          <w:rFonts w:hint="eastAsia" w:hAnsi="宋体"/>
          <w:color w:val="auto"/>
          <w:highlight w:val="none"/>
        </w:rPr>
        <w:t>文件。任何对</w:t>
      </w:r>
      <w:r>
        <w:rPr>
          <w:rFonts w:hint="eastAsia" w:hAnsi="宋体"/>
          <w:bCs/>
          <w:color w:val="auto"/>
          <w:highlight w:val="none"/>
        </w:rPr>
        <w:t>磋商</w:t>
      </w:r>
      <w:r>
        <w:rPr>
          <w:rFonts w:hint="eastAsia" w:hAnsi="宋体"/>
          <w:color w:val="auto"/>
          <w:highlight w:val="none"/>
        </w:rPr>
        <w:t>文件的忽略或误解不能作为</w:t>
      </w:r>
      <w:r>
        <w:rPr>
          <w:rFonts w:hint="eastAsia"/>
          <w:color w:val="auto"/>
          <w:highlight w:val="none"/>
        </w:rPr>
        <w:t>响应</w:t>
      </w:r>
      <w:r>
        <w:rPr>
          <w:rFonts w:hint="eastAsia" w:hAnsi="宋体"/>
          <w:color w:val="auto"/>
          <w:highlight w:val="none"/>
        </w:rPr>
        <w:t>文件存在缺陷或瑕疵的理由，其风险由供应商承担。</w:t>
      </w:r>
    </w:p>
    <w:p w14:paraId="18545028">
      <w:pPr>
        <w:tabs>
          <w:tab w:val="left" w:pos="0"/>
        </w:tabs>
        <w:snapToGrid w:val="0"/>
        <w:spacing w:before="120" w:after="160" w:line="400" w:lineRule="exact"/>
        <w:ind w:firstLine="420"/>
        <w:rPr>
          <w:rFonts w:ascii="宋体" w:hAnsi="宋体" w:cs="宋体"/>
          <w:color w:val="auto"/>
          <w:highlight w:val="none"/>
        </w:rPr>
      </w:pPr>
      <w:r>
        <w:rPr>
          <w:rFonts w:hint="eastAsia" w:ascii="宋体" w:hAnsi="宋体" w:cs="宋体"/>
          <w:color w:val="auto"/>
          <w:highlight w:val="none"/>
        </w:rPr>
        <w:t>10.5除法律、法规和规章规定外，磋商文件中用“拒绝”、“不接受”、“无效”、“不得”等文字规定或标注“★”符号的条款为实质性要求条款（即重要条款），对其中任何一条的偏离，在评标时将其视为无效投标。未用上述文字规定或符号标注的条款为非实质性要求条款(即一般条款)。</w:t>
      </w:r>
    </w:p>
    <w:p w14:paraId="4FD34209">
      <w:pPr>
        <w:tabs>
          <w:tab w:val="left" w:pos="0"/>
        </w:tabs>
        <w:snapToGrid w:val="0"/>
        <w:spacing w:before="120" w:after="160" w:line="400" w:lineRule="exact"/>
        <w:ind w:firstLine="420"/>
        <w:rPr>
          <w:rFonts w:ascii="宋体" w:hAnsi="宋体" w:cs="宋体"/>
          <w:b/>
          <w:color w:val="auto"/>
          <w:highlight w:val="none"/>
        </w:rPr>
      </w:pPr>
      <w:r>
        <w:rPr>
          <w:rFonts w:hint="eastAsia" w:ascii="宋体" w:hAnsi="宋体" w:cs="宋体"/>
          <w:color w:val="auto"/>
          <w:highlight w:val="none"/>
        </w:rPr>
        <w:t>10.6第三章“采购需求”和第四章第三节“政府采购合同专用条款”中的一般商务和技术条款（参数），在超出允许偏离的条款数（最高项数）时，在评标时将其视为无效投标。前述章节中一般商务和技术条款允许偏离的最高项数见</w:t>
      </w:r>
      <w:r>
        <w:rPr>
          <w:rFonts w:hint="eastAsia" w:ascii="宋体" w:hAnsi="宋体" w:cs="宋体"/>
          <w:b/>
          <w:color w:val="auto"/>
          <w:highlight w:val="none"/>
          <w:lang w:eastAsia="zh-CN"/>
        </w:rPr>
        <w:t>磋商文件</w:t>
      </w:r>
      <w:r>
        <w:rPr>
          <w:rFonts w:hint="eastAsia" w:ascii="宋体" w:hAnsi="宋体" w:cs="宋体"/>
          <w:b/>
          <w:color w:val="auto"/>
          <w:highlight w:val="none"/>
        </w:rPr>
        <w:t>前附表。</w:t>
      </w:r>
    </w:p>
    <w:p w14:paraId="1C87DE96">
      <w:pPr>
        <w:numPr>
          <w:ilvl w:val="0"/>
          <w:numId w:val="2"/>
        </w:num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磋商文件的提供期限及提交首次响应文件的截止时间</w:t>
      </w:r>
    </w:p>
    <w:p w14:paraId="2665FCA8">
      <w:pPr>
        <w:pStyle w:val="22"/>
        <w:spacing w:line="400" w:lineRule="exact"/>
        <w:ind w:firstLine="0" w:firstLineChars="0"/>
        <w:rPr>
          <w:rFonts w:ascii="新宋体" w:hAnsi="新宋体" w:eastAsia="新宋体" w:cs="新宋体"/>
          <w:color w:val="auto"/>
          <w:highlight w:val="none"/>
        </w:rPr>
      </w:pPr>
      <w:r>
        <w:rPr>
          <w:rFonts w:hint="eastAsia" w:ascii="新宋体" w:hAnsi="新宋体" w:eastAsia="新宋体" w:cs="新宋体"/>
          <w:color w:val="auto"/>
          <w:highlight w:val="none"/>
        </w:rPr>
        <w:t xml:space="preserve">    11.1获取磋商文件的时间从发布公告之日起不少于5个工作日，具体时间见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w:t>
      </w:r>
    </w:p>
    <w:p w14:paraId="2FC2C13A">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11.2供应商提交首次响应文件截止时间见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w:t>
      </w:r>
    </w:p>
    <w:p w14:paraId="24F0E505">
      <w:pPr>
        <w:pStyle w:val="22"/>
        <w:spacing w:line="400" w:lineRule="exact"/>
        <w:rPr>
          <w:rFonts w:ascii="新宋体" w:hAnsi="新宋体" w:eastAsia="新宋体" w:cs="新宋体"/>
          <w:color w:val="auto"/>
          <w:highlight w:val="none"/>
        </w:rPr>
      </w:pPr>
      <w:r>
        <w:rPr>
          <w:rFonts w:hint="eastAsia" w:ascii="新宋体" w:hAnsi="新宋体" w:eastAsia="新宋体" w:cs="新宋体"/>
          <w:color w:val="auto"/>
          <w:highlight w:val="none"/>
        </w:rPr>
        <w:t>11.3领取或购买磋商文件时应提供的资料见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w:t>
      </w:r>
    </w:p>
    <w:p w14:paraId="234B70B8">
      <w:pPr>
        <w:snapToGrid w:val="0"/>
        <w:spacing w:line="400" w:lineRule="exact"/>
        <w:rPr>
          <w:rFonts w:ascii="新宋体" w:hAnsi="新宋体" w:eastAsia="新宋体" w:cs="新宋体"/>
          <w:b/>
          <w:color w:val="auto"/>
          <w:highlight w:val="none"/>
        </w:rPr>
      </w:pPr>
    </w:p>
    <w:p w14:paraId="6DF94525">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12.磋商文件的澄清或者修改</w:t>
      </w:r>
    </w:p>
    <w:p w14:paraId="503F11A7">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 xml:space="preserve">12.1在提交首次响应文件截止之日前，采购人、采购代理机构可以对已发出的磋商文件进行必要的澄清或者修改。 </w:t>
      </w:r>
    </w:p>
    <w:p w14:paraId="654D5272">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12.2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32654F1D">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12.2提交首次响应文件截止时间前对磋商文件澄清或者修改内容，为磋商文件的组成部分。</w:t>
      </w:r>
    </w:p>
    <w:p w14:paraId="77BF855D">
      <w:pPr>
        <w:snapToGrid w:val="0"/>
        <w:spacing w:line="400" w:lineRule="exact"/>
        <w:rPr>
          <w:rFonts w:ascii="新宋体" w:hAnsi="新宋体" w:eastAsia="新宋体" w:cs="新宋体"/>
          <w:b/>
          <w:bCs/>
          <w:color w:val="auto"/>
          <w:sz w:val="24"/>
          <w:highlight w:val="none"/>
        </w:rPr>
      </w:pPr>
    </w:p>
    <w:p w14:paraId="39BFDED3">
      <w:pPr>
        <w:pStyle w:val="7"/>
        <w:spacing w:before="0" w:after="0" w:line="400" w:lineRule="exact"/>
        <w:jc w:val="center"/>
        <w:rPr>
          <w:rFonts w:ascii="黑体" w:hAnsi="黑体" w:eastAsia="黑体" w:cs="新宋体"/>
          <w:b w:val="0"/>
          <w:bCs w:val="0"/>
          <w:color w:val="auto"/>
          <w:sz w:val="28"/>
          <w:szCs w:val="28"/>
          <w:highlight w:val="none"/>
        </w:rPr>
      </w:pPr>
      <w:bookmarkStart w:id="40" w:name="_Toc31162"/>
      <w:r>
        <w:rPr>
          <w:rFonts w:hint="eastAsia" w:ascii="黑体" w:hAnsi="黑体" w:eastAsia="黑体" w:cs="新宋体"/>
          <w:b w:val="0"/>
          <w:bCs w:val="0"/>
          <w:color w:val="auto"/>
          <w:sz w:val="28"/>
          <w:szCs w:val="28"/>
          <w:highlight w:val="none"/>
        </w:rPr>
        <w:t>三、响应文件</w:t>
      </w:r>
      <w:bookmarkEnd w:id="40"/>
    </w:p>
    <w:p w14:paraId="29224E58">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13.一般要求</w:t>
      </w:r>
    </w:p>
    <w:p w14:paraId="1E16B805">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13.1 供应商应仔细阅读磋商文件的所有内容，按磋商文件的要求编制响应文件，并保证所提供的全部资料的真实性，以使其响应文件对磋商文件做出实质性的响应。</w:t>
      </w:r>
    </w:p>
    <w:p w14:paraId="4368BA7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13.2 供应商提交的响应文件及供应商与采购人或采购代理机构、磋商小组就有关磋商的所有来往函电均使用中文。供应商可以提交其它语言的资料，但应附中文注释，在有差异时以中文为准。</w:t>
      </w:r>
    </w:p>
    <w:p w14:paraId="73440054">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13.3 计量单位应使用我国法定计量单位，未列明时应默认为我国法定计量单位。</w:t>
      </w:r>
    </w:p>
    <w:p w14:paraId="7DB48918">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13.4 响应文件应采用书面形式，电报、传真、电子邮件形式的响应文件概不接受。</w:t>
      </w:r>
    </w:p>
    <w:p w14:paraId="2A8B2EF7">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13.5 供应商应按磋商文件中提供的响应文件格式填写。</w:t>
      </w:r>
    </w:p>
    <w:p w14:paraId="16830A9D">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14.响应文件的组成</w:t>
      </w:r>
    </w:p>
    <w:p w14:paraId="4C28813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 xml:space="preserve">14.1 响应文件包括下列内容： </w:t>
      </w:r>
    </w:p>
    <w:p w14:paraId="21ADA215">
      <w:pPr>
        <w:snapToGrid w:val="0"/>
        <w:spacing w:line="400" w:lineRule="exact"/>
        <w:ind w:firstLine="630" w:firstLineChars="300"/>
        <w:rPr>
          <w:rFonts w:ascii="新宋体" w:hAnsi="新宋体" w:eastAsia="新宋体" w:cs="新宋体"/>
          <w:color w:val="auto"/>
          <w:highlight w:val="none"/>
        </w:rPr>
      </w:pPr>
      <w:r>
        <w:rPr>
          <w:rFonts w:hint="eastAsia" w:ascii="新宋体" w:hAnsi="新宋体" w:eastAsia="新宋体" w:cs="新宋体"/>
          <w:color w:val="auto"/>
          <w:highlight w:val="none"/>
        </w:rPr>
        <w:t>（1）磋商响应声明</w:t>
      </w:r>
    </w:p>
    <w:p w14:paraId="1DDC49A9">
      <w:pPr>
        <w:snapToGrid w:val="0"/>
        <w:spacing w:line="400" w:lineRule="exact"/>
        <w:ind w:firstLine="630" w:firstLineChars="300"/>
        <w:rPr>
          <w:rFonts w:ascii="新宋体" w:hAnsi="新宋体" w:eastAsia="新宋体" w:cs="新宋体"/>
          <w:color w:val="auto"/>
          <w:highlight w:val="none"/>
        </w:rPr>
      </w:pPr>
      <w:r>
        <w:rPr>
          <w:rFonts w:hint="eastAsia" w:ascii="新宋体" w:hAnsi="新宋体" w:eastAsia="新宋体" w:cs="新宋体"/>
          <w:color w:val="auto"/>
          <w:highlight w:val="none"/>
        </w:rPr>
        <w:t>（2）法定代表人身份证明</w:t>
      </w:r>
    </w:p>
    <w:p w14:paraId="10D86E83">
      <w:pPr>
        <w:snapToGrid w:val="0"/>
        <w:spacing w:line="400" w:lineRule="exact"/>
        <w:ind w:firstLine="630" w:firstLineChars="300"/>
        <w:rPr>
          <w:rFonts w:ascii="新宋体" w:hAnsi="新宋体" w:eastAsia="新宋体" w:cs="新宋体"/>
          <w:color w:val="auto"/>
          <w:highlight w:val="none"/>
        </w:rPr>
      </w:pPr>
      <w:r>
        <w:rPr>
          <w:rFonts w:hint="eastAsia" w:ascii="新宋体" w:hAnsi="新宋体" w:eastAsia="新宋体" w:cs="新宋体"/>
          <w:color w:val="auto"/>
          <w:highlight w:val="none"/>
        </w:rPr>
        <w:t>（3）授权委托书</w:t>
      </w:r>
    </w:p>
    <w:p w14:paraId="10B8F9AC">
      <w:pPr>
        <w:pStyle w:val="25"/>
        <w:spacing w:line="400" w:lineRule="exact"/>
        <w:jc w:val="both"/>
        <w:rPr>
          <w:rFonts w:ascii="新宋体" w:hAnsi="新宋体" w:eastAsia="新宋体" w:cs="新宋体"/>
          <w:color w:val="auto"/>
          <w:highlight w:val="none"/>
        </w:rPr>
      </w:pPr>
      <w:r>
        <w:rPr>
          <w:rFonts w:hint="eastAsia" w:ascii="新宋体" w:hAnsi="新宋体" w:eastAsia="新宋体" w:cs="新宋体"/>
          <w:b w:val="0"/>
          <w:color w:val="auto"/>
          <w:sz w:val="21"/>
          <w:highlight w:val="none"/>
        </w:rPr>
        <w:t xml:space="preserve">      （</w:t>
      </w:r>
      <w:r>
        <w:rPr>
          <w:rFonts w:hint="eastAsia" w:ascii="新宋体" w:hAnsi="新宋体" w:eastAsia="新宋体" w:cs="新宋体"/>
          <w:b w:val="0"/>
          <w:color w:val="auto"/>
          <w:sz w:val="21"/>
          <w:highlight w:val="none"/>
          <w:lang w:val="en-US" w:eastAsia="zh-CN"/>
        </w:rPr>
        <w:t>4</w:t>
      </w:r>
      <w:r>
        <w:rPr>
          <w:rFonts w:hint="eastAsia" w:ascii="新宋体" w:hAnsi="新宋体" w:eastAsia="新宋体" w:cs="新宋体"/>
          <w:b w:val="0"/>
          <w:color w:val="auto"/>
          <w:sz w:val="21"/>
          <w:highlight w:val="none"/>
        </w:rPr>
        <w:t>）供应商的资格证明材料</w:t>
      </w:r>
    </w:p>
    <w:p w14:paraId="1B99FAC0">
      <w:pPr>
        <w:snapToGrid w:val="0"/>
        <w:spacing w:line="400" w:lineRule="exact"/>
        <w:ind w:firstLine="630" w:firstLineChars="300"/>
        <w:rPr>
          <w:rFonts w:ascii="新宋体" w:hAnsi="新宋体" w:eastAsia="新宋体" w:cs="新宋体"/>
          <w:color w:val="auto"/>
          <w:highlight w:val="non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val="en-US" w:eastAsia="zh-CN"/>
        </w:rPr>
        <w:t>5</w:t>
      </w:r>
      <w:r>
        <w:rPr>
          <w:rFonts w:hint="eastAsia" w:ascii="新宋体" w:hAnsi="新宋体" w:eastAsia="新宋体" w:cs="新宋体"/>
          <w:color w:val="auto"/>
          <w:highlight w:val="none"/>
        </w:rPr>
        <w:t>）报价表及报价文件</w:t>
      </w:r>
    </w:p>
    <w:p w14:paraId="7070E4D4">
      <w:pPr>
        <w:snapToGrid w:val="0"/>
        <w:spacing w:line="400" w:lineRule="exact"/>
        <w:ind w:firstLine="630" w:firstLineChars="300"/>
        <w:rPr>
          <w:rFonts w:hint="default" w:ascii="新宋体" w:hAnsi="新宋体" w:eastAsia="新宋体" w:cs="新宋体"/>
          <w:color w:val="auto"/>
          <w:highlight w:val="none"/>
          <w:lang w:val="en-US" w:eastAsia="zh-CN"/>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val="en-US" w:eastAsia="zh-CN"/>
        </w:rPr>
        <w:t>6</w:t>
      </w:r>
      <w:r>
        <w:rPr>
          <w:rFonts w:hint="eastAsia" w:ascii="新宋体" w:hAnsi="新宋体" w:eastAsia="新宋体" w:cs="新宋体"/>
          <w:color w:val="auto"/>
          <w:highlight w:val="none"/>
        </w:rPr>
        <w:t>）技术方案</w:t>
      </w:r>
    </w:p>
    <w:p w14:paraId="1CB62288">
      <w:pPr>
        <w:snapToGrid w:val="0"/>
        <w:spacing w:line="400" w:lineRule="exact"/>
        <w:ind w:firstLine="630" w:firstLineChars="300"/>
        <w:rPr>
          <w:rFonts w:ascii="新宋体" w:hAnsi="新宋体" w:eastAsia="新宋体" w:cs="新宋体"/>
          <w:color w:val="auto"/>
          <w:highlight w:val="non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val="en-US" w:eastAsia="zh-CN"/>
        </w:rPr>
        <w:t>7</w:t>
      </w:r>
      <w:r>
        <w:rPr>
          <w:rFonts w:hint="eastAsia" w:ascii="新宋体" w:hAnsi="新宋体" w:eastAsia="新宋体" w:cs="新宋体"/>
          <w:color w:val="auto"/>
          <w:highlight w:val="none"/>
        </w:rPr>
        <w:t>）合同条款偏离表</w:t>
      </w:r>
    </w:p>
    <w:p w14:paraId="11D0E154">
      <w:pPr>
        <w:snapToGrid w:val="0"/>
        <w:spacing w:line="400" w:lineRule="exact"/>
        <w:ind w:firstLine="630" w:firstLineChars="300"/>
        <w:rPr>
          <w:rFonts w:ascii="新宋体" w:hAnsi="新宋体" w:eastAsia="新宋体" w:cs="新宋体"/>
          <w:color w:val="auto"/>
          <w:highlight w:val="non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val="en-US" w:eastAsia="zh-CN"/>
        </w:rPr>
        <w:t>8</w:t>
      </w:r>
      <w:r>
        <w:rPr>
          <w:rFonts w:hint="eastAsia" w:ascii="新宋体" w:hAnsi="新宋体" w:eastAsia="新宋体" w:cs="新宋体"/>
          <w:color w:val="auto"/>
          <w:highlight w:val="none"/>
        </w:rPr>
        <w:t>）采购需求偏离表</w:t>
      </w:r>
    </w:p>
    <w:p w14:paraId="31CFEF9B">
      <w:pPr>
        <w:pStyle w:val="25"/>
        <w:spacing w:line="400" w:lineRule="exact"/>
        <w:jc w:val="both"/>
        <w:rPr>
          <w:rFonts w:ascii="新宋体" w:hAnsi="新宋体" w:eastAsia="新宋体" w:cs="新宋体"/>
          <w:b w:val="0"/>
          <w:color w:val="auto"/>
          <w:sz w:val="21"/>
          <w:highlight w:val="none"/>
        </w:rPr>
      </w:pPr>
      <w:r>
        <w:rPr>
          <w:rFonts w:hint="eastAsia" w:ascii="新宋体" w:hAnsi="新宋体" w:eastAsia="新宋体" w:cs="新宋体"/>
          <w:b w:val="0"/>
          <w:color w:val="auto"/>
          <w:sz w:val="21"/>
          <w:highlight w:val="none"/>
        </w:rPr>
        <w:t xml:space="preserve">      （</w:t>
      </w:r>
      <w:r>
        <w:rPr>
          <w:rFonts w:hint="eastAsia" w:ascii="新宋体" w:hAnsi="新宋体" w:eastAsia="新宋体" w:cs="新宋体"/>
          <w:b w:val="0"/>
          <w:color w:val="auto"/>
          <w:sz w:val="21"/>
          <w:highlight w:val="none"/>
          <w:lang w:val="en-US" w:eastAsia="zh-CN"/>
        </w:rPr>
        <w:t>9</w:t>
      </w:r>
      <w:r>
        <w:rPr>
          <w:rFonts w:hint="eastAsia" w:ascii="新宋体" w:hAnsi="新宋体" w:eastAsia="新宋体" w:cs="新宋体"/>
          <w:b w:val="0"/>
          <w:color w:val="auto"/>
          <w:sz w:val="21"/>
          <w:highlight w:val="none"/>
        </w:rPr>
        <w:t>）享受政府采购政策优惠的证明材料</w:t>
      </w:r>
    </w:p>
    <w:p w14:paraId="0039C57C">
      <w:pPr>
        <w:spacing w:line="400" w:lineRule="exact"/>
        <w:rPr>
          <w:rFonts w:ascii="新宋体" w:hAnsi="新宋体" w:eastAsia="新宋体" w:cs="新宋体"/>
          <w:color w:val="auto"/>
          <w:highlight w:val="none"/>
        </w:rPr>
      </w:pPr>
      <w:r>
        <w:rPr>
          <w:rFonts w:hint="eastAsia" w:ascii="新宋体" w:hAnsi="新宋体" w:eastAsia="新宋体" w:cs="新宋体"/>
          <w:color w:val="auto"/>
          <w:highlight w:val="none"/>
        </w:rPr>
        <w:t xml:space="preserve">      （1</w:t>
      </w:r>
      <w:r>
        <w:rPr>
          <w:rFonts w:hint="eastAsia" w:ascii="新宋体" w:hAnsi="新宋体" w:eastAsia="新宋体" w:cs="新宋体"/>
          <w:color w:val="auto"/>
          <w:highlight w:val="none"/>
          <w:lang w:val="en-US" w:eastAsia="zh-CN"/>
        </w:rPr>
        <w:t>0</w:t>
      </w:r>
      <w:r>
        <w:rPr>
          <w:rFonts w:hint="eastAsia" w:ascii="新宋体" w:hAnsi="新宋体" w:eastAsia="新宋体" w:cs="新宋体"/>
          <w:color w:val="auto"/>
          <w:highlight w:val="none"/>
        </w:rPr>
        <w:t>）商务评分证明资料</w:t>
      </w:r>
    </w:p>
    <w:p w14:paraId="38032B2E">
      <w:pPr>
        <w:pStyle w:val="25"/>
        <w:spacing w:line="400" w:lineRule="exact"/>
        <w:jc w:val="both"/>
        <w:rPr>
          <w:rFonts w:ascii="新宋体" w:hAnsi="新宋体" w:eastAsia="新宋体" w:cs="新宋体"/>
          <w:b w:val="0"/>
          <w:color w:val="auto"/>
          <w:sz w:val="21"/>
          <w:highlight w:val="none"/>
        </w:rPr>
      </w:pPr>
      <w:r>
        <w:rPr>
          <w:rFonts w:hint="eastAsia" w:ascii="新宋体" w:hAnsi="新宋体" w:eastAsia="新宋体" w:cs="新宋体"/>
          <w:b w:val="0"/>
          <w:color w:val="auto"/>
          <w:sz w:val="21"/>
          <w:highlight w:val="none"/>
        </w:rPr>
        <w:t xml:space="preserve">      （1</w:t>
      </w:r>
      <w:r>
        <w:rPr>
          <w:rFonts w:hint="eastAsia" w:ascii="新宋体" w:hAnsi="新宋体" w:eastAsia="新宋体" w:cs="新宋体"/>
          <w:b w:val="0"/>
          <w:color w:val="auto"/>
          <w:sz w:val="21"/>
          <w:highlight w:val="none"/>
          <w:lang w:val="en-US" w:eastAsia="zh-CN"/>
        </w:rPr>
        <w:t>1</w:t>
      </w:r>
      <w:r>
        <w:rPr>
          <w:rFonts w:hint="eastAsia" w:ascii="新宋体" w:hAnsi="新宋体" w:eastAsia="新宋体" w:cs="新宋体"/>
          <w:b w:val="0"/>
          <w:color w:val="auto"/>
          <w:sz w:val="21"/>
          <w:highlight w:val="none"/>
        </w:rPr>
        <w:t>）供应商认为需要提供的其他资料</w:t>
      </w:r>
    </w:p>
    <w:p w14:paraId="46196F24">
      <w:pPr>
        <w:spacing w:line="400" w:lineRule="exact"/>
        <w:rPr>
          <w:rFonts w:ascii="新宋体" w:hAnsi="新宋体" w:eastAsia="新宋体" w:cs="新宋体"/>
          <w:color w:val="auto"/>
          <w:highlight w:val="none"/>
        </w:rPr>
      </w:pPr>
      <w:r>
        <w:rPr>
          <w:rFonts w:hint="eastAsia" w:ascii="新宋体" w:hAnsi="新宋体" w:eastAsia="新宋体" w:cs="新宋体"/>
          <w:color w:val="auto"/>
          <w:highlight w:val="none"/>
        </w:rPr>
        <w:t xml:space="preserve">      （1</w:t>
      </w:r>
      <w:r>
        <w:rPr>
          <w:rFonts w:hint="eastAsia" w:ascii="新宋体" w:hAnsi="新宋体" w:eastAsia="新宋体" w:cs="新宋体"/>
          <w:color w:val="auto"/>
          <w:highlight w:val="none"/>
          <w:lang w:val="en-US" w:eastAsia="zh-CN"/>
        </w:rPr>
        <w:t>2</w:t>
      </w:r>
      <w:r>
        <w:rPr>
          <w:rFonts w:hint="eastAsia" w:ascii="新宋体" w:hAnsi="新宋体" w:eastAsia="新宋体" w:cs="新宋体"/>
          <w:color w:val="auto"/>
          <w:highlight w:val="none"/>
        </w:rPr>
        <w:t>） 最后报价表</w:t>
      </w:r>
    </w:p>
    <w:p w14:paraId="227A261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14.2在磋商过程中，供应商根据磋商小组书面形式要求提交的最后报价(或者重新提交的响应文件和最后报价)是响应文件的有效组成部分。</w:t>
      </w:r>
    </w:p>
    <w:p w14:paraId="6BAFA7B4">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14.3根据《政府采购法》第四十二条的规定，供应商无论成交与否，其响应文件不予退还。</w:t>
      </w:r>
    </w:p>
    <w:p w14:paraId="60207FA0">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15.报价要求</w:t>
      </w:r>
    </w:p>
    <w:p w14:paraId="1FCB4808">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15.1供应商应当根据磋商文件第三章第一节“采购清单一览表”逐一报价；磋商文件第三章提供第三节“工程量清单”的，供应商应按其要求填写相应表格。</w:t>
      </w:r>
    </w:p>
    <w:p w14:paraId="31572304">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15.2在报价表、分项报价表填写报价时应注意下列要求：</w:t>
      </w:r>
    </w:p>
    <w:p w14:paraId="4BFE1BD9">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（1）采购需求要求的安装、调试、培训、售后服务及其它附加服务的费用。</w:t>
      </w:r>
    </w:p>
    <w:p w14:paraId="08C9EA2B">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（2）所有根据合同或其它原因应由供应商交纳和支付的税款和费用。</w:t>
      </w:r>
    </w:p>
    <w:p w14:paraId="6EC4AD23">
      <w:pPr>
        <w:adjustRightInd w:val="0"/>
        <w:snapToGrid w:val="0"/>
        <w:spacing w:before="156" w:beforeLines="50" w:line="400" w:lineRule="exact"/>
        <w:ind w:firstLine="420" w:firstLineChars="200"/>
        <w:rPr>
          <w:rFonts w:ascii="宋体" w:hAnsi="宋体"/>
          <w:color w:val="auto"/>
          <w:highlight w:val="none"/>
        </w:rPr>
      </w:pPr>
      <w:r>
        <w:rPr>
          <w:rFonts w:hint="eastAsia" w:ascii="宋体" w:hAnsi="宋体"/>
          <w:color w:val="auto"/>
          <w:highlight w:val="none"/>
        </w:rPr>
        <w:t>（3）磋商文件指定交货地点的运输、保险、装卸费。</w:t>
      </w:r>
    </w:p>
    <w:p w14:paraId="6D2F1F4D">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highlight w:val="none"/>
        </w:rPr>
        <w:t>（4）实行工程量清单报价的，供应商提交最后报价应与已标价工程量清单总报价一致。</w:t>
      </w:r>
    </w:p>
    <w:p w14:paraId="19798AB0">
      <w:pPr>
        <w:pStyle w:val="26"/>
        <w:widowControl w:val="0"/>
        <w:adjustRightInd w:val="0"/>
        <w:snapToGrid w:val="0"/>
        <w:spacing w:before="156" w:beforeLines="50" w:line="400" w:lineRule="exact"/>
        <w:ind w:firstLine="420" w:firstLineChars="200"/>
        <w:rPr>
          <w:rFonts w:ascii="宋体" w:hAnsi="宋体"/>
          <w:color w:val="auto"/>
          <w:highlight w:val="none"/>
        </w:rPr>
      </w:pPr>
      <w:r>
        <w:rPr>
          <w:rFonts w:hint="eastAsia" w:ascii="宋体" w:hAnsi="宋体"/>
          <w:color w:val="auto"/>
          <w:highlight w:val="none"/>
        </w:rPr>
        <w:t>15.3</w:t>
      </w:r>
      <w:r>
        <w:rPr>
          <w:rFonts w:hint="eastAsia" w:ascii="宋体" w:hAnsi="宋体" w:cs="宋体"/>
          <w:color w:val="auto"/>
          <w:highlight w:val="none"/>
          <w:lang w:val="zh-CN"/>
        </w:rPr>
        <w:t>供应商</w:t>
      </w:r>
      <w:r>
        <w:rPr>
          <w:rFonts w:hint="eastAsia" w:ascii="宋体" w:hAnsi="宋体"/>
          <w:color w:val="auto"/>
          <w:highlight w:val="none"/>
        </w:rPr>
        <w:t>的最后报价不得超过采购项目预算，采购项目预算见</w:t>
      </w:r>
      <w:r>
        <w:rPr>
          <w:rFonts w:hint="eastAsia" w:ascii="宋体" w:hAnsi="宋体"/>
          <w:b/>
          <w:color w:val="auto"/>
          <w:highlight w:val="none"/>
        </w:rPr>
        <w:t>【磋商须知前附表】</w:t>
      </w:r>
      <w:r>
        <w:rPr>
          <w:rFonts w:hint="eastAsia" w:ascii="宋体" w:hAnsi="宋体"/>
          <w:color w:val="auto"/>
          <w:highlight w:val="none"/>
        </w:rPr>
        <w:t>。</w:t>
      </w:r>
    </w:p>
    <w:p w14:paraId="0089F6C9">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15.4供应商提交的最后报价在合同执行过程中是固定不变的，不得以任何理由予以变更。以可变动价格提交的报价将被认为是非实质响应而被拒绝。</w:t>
      </w:r>
    </w:p>
    <w:p w14:paraId="05F62BEB">
      <w:pPr>
        <w:adjustRightInd w:val="0"/>
        <w:snapToGrid w:val="0"/>
        <w:spacing w:before="156" w:beforeLines="50" w:line="400" w:lineRule="exact"/>
        <w:ind w:firstLine="420" w:firstLineChars="200"/>
        <w:jc w:val="left"/>
        <w:rPr>
          <w:rFonts w:ascii="宋体" w:hAnsi="宋体"/>
          <w:color w:val="auto"/>
          <w:highlight w:val="none"/>
        </w:rPr>
      </w:pPr>
      <w:r>
        <w:rPr>
          <w:rFonts w:hint="eastAsia" w:ascii="宋体" w:hAnsi="宋体"/>
          <w:color w:val="auto"/>
          <w:highlight w:val="none"/>
        </w:rPr>
        <w:t>15.5采购人不接受供应商给予的赠品、回扣或者与采购无关的其他商品、服务。</w:t>
      </w:r>
    </w:p>
    <w:p w14:paraId="5C5C028B">
      <w:pPr>
        <w:pStyle w:val="11"/>
        <w:adjustRightInd w:val="0"/>
        <w:snapToGrid w:val="0"/>
        <w:spacing w:before="156" w:beforeLines="50" w:line="400" w:lineRule="exact"/>
        <w:ind w:firstLine="420" w:firstLineChars="200"/>
        <w:rPr>
          <w:rFonts w:ascii="新宋体" w:hAnsi="新宋体" w:eastAsia="新宋体" w:cs="新宋体"/>
          <w:color w:val="auto"/>
          <w:highlight w:val="none"/>
        </w:rPr>
      </w:pPr>
      <w:r>
        <w:rPr>
          <w:rFonts w:hint="eastAsia" w:hAnsi="宋体"/>
          <w:color w:val="auto"/>
          <w:highlight w:val="none"/>
        </w:rPr>
        <w:t>15.6报价的其他要求见</w:t>
      </w:r>
      <w:r>
        <w:rPr>
          <w:rFonts w:hint="eastAsia" w:hAnsi="宋体"/>
          <w:b/>
          <w:color w:val="auto"/>
          <w:highlight w:val="none"/>
        </w:rPr>
        <w:t>【磋商须知前附表】</w:t>
      </w:r>
      <w:r>
        <w:rPr>
          <w:rFonts w:hint="eastAsia" w:hAnsi="宋体"/>
          <w:color w:val="auto"/>
          <w:highlight w:val="none"/>
        </w:rPr>
        <w:t>。</w:t>
      </w:r>
    </w:p>
    <w:p w14:paraId="54FA9B6E">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16.供应商符合磋商文件规定的证明文件</w:t>
      </w:r>
    </w:p>
    <w:p w14:paraId="53BEB533">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16.1供应商应提交满足本章第3.1款规定的资格条件要求的证明文件</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该证明文件作为响应文件的一部分。</w:t>
      </w:r>
    </w:p>
    <w:p w14:paraId="04E7BFC7">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16.2如果供应商为联合体，则应提交联合体各方资格证明文件、联合体协议。否则，在评审时将其视为无效响应。</w:t>
      </w:r>
    </w:p>
    <w:p w14:paraId="11B5BC57">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17.保证金</w:t>
      </w:r>
    </w:p>
    <w:p w14:paraId="41EC58B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17.1磋商文件要求供应商提交保证金的，供应商应按</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规定，在提交响应文件的截止时间前提交保证金。保证金有效期应当与响应文件有效期一致。</w:t>
      </w:r>
    </w:p>
    <w:p w14:paraId="166F8134">
      <w:pPr>
        <w:snapToGrid w:val="0"/>
        <w:spacing w:line="400" w:lineRule="exact"/>
        <w:ind w:firstLine="420"/>
        <w:rPr>
          <w:rFonts w:ascii="新宋体" w:hAnsi="新宋体" w:eastAsia="新宋体" w:cs="新宋体"/>
          <w:b/>
          <w:color w:val="auto"/>
          <w:highlight w:val="none"/>
        </w:rPr>
      </w:pPr>
      <w:r>
        <w:rPr>
          <w:rFonts w:hint="eastAsia" w:ascii="新宋体" w:hAnsi="新宋体" w:eastAsia="新宋体" w:cs="新宋体"/>
          <w:color w:val="auto"/>
          <w:highlight w:val="none"/>
        </w:rPr>
        <w:t>17.2供应商为联合体的，可以由联合体中的一方或者共同交纳磋商保证金，其交纳的磋商保证金，对联合体各方均具有约束力。</w:t>
      </w:r>
    </w:p>
    <w:p w14:paraId="25B1938B">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17.3供应商未按照磋商文件要求提交磋商保证金的，响应无效。</w:t>
      </w:r>
    </w:p>
    <w:p w14:paraId="2B90D245">
      <w:pPr>
        <w:tabs>
          <w:tab w:val="left" w:pos="6300"/>
        </w:tabs>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17.4采购代理机构在成交通知书发出后5个工作日内退还未成交供应商的磋商保证金；在采购合同签定后5个工作日内退还成交供应商的磋商保证金，但因供应商自身原因导致无法及时退还的除外。</w:t>
      </w:r>
    </w:p>
    <w:p w14:paraId="35D3C440">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17.5 有下列情形之一的，磋商保证金不予退还，并上缴本级财政国库：</w:t>
      </w:r>
    </w:p>
    <w:p w14:paraId="1447B0B3">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（1）供应商在提交首次响应文件截止时间后撤回响应文件的；</w:t>
      </w:r>
    </w:p>
    <w:p w14:paraId="59299450">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（2）供应商在响应文件中提供虚假资料的；</w:t>
      </w:r>
    </w:p>
    <w:p w14:paraId="59FF4F45">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（3）确定成交结果后，无正当理由放弃成交资格的；</w:t>
      </w:r>
    </w:p>
    <w:p w14:paraId="79E6DDA9">
      <w:pPr>
        <w:widowControl/>
        <w:snapToGrid w:val="0"/>
        <w:spacing w:line="400" w:lineRule="exact"/>
        <w:ind w:firstLine="525"/>
        <w:jc w:val="left"/>
        <w:rPr>
          <w:rFonts w:ascii="新宋体" w:hAnsi="新宋体" w:eastAsia="新宋体" w:cs="新宋体"/>
          <w:color w:val="auto"/>
          <w:highlight w:val="none"/>
        </w:rPr>
      </w:pPr>
      <w:r>
        <w:rPr>
          <w:rFonts w:hint="eastAsia" w:ascii="新宋体" w:hAnsi="新宋体" w:eastAsia="新宋体" w:cs="新宋体"/>
          <w:color w:val="auto"/>
          <w:highlight w:val="none"/>
        </w:rPr>
        <w:t>(4) 除因不可抗力或磋商文件认可的情形以外，成交供应商不与采购人签订合同的；</w:t>
      </w:r>
    </w:p>
    <w:p w14:paraId="4F948297">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（5）供应商与采购人、其他供应商或者采购代理机构恶意串通的；</w:t>
      </w:r>
    </w:p>
    <w:p w14:paraId="023F97B2">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（6）磋商文件规定的其他情形。</w:t>
      </w:r>
    </w:p>
    <w:p w14:paraId="5DC280A0">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18.响应文件有效期</w:t>
      </w:r>
    </w:p>
    <w:p w14:paraId="7EB1EE2B">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18.1响应文件有效期见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，在此期间响应文件对供应商具有法律约束力，从提交首次响应文件截止时间之日起计算。响应文件有效期不足的将被视为无效响应。</w:t>
      </w:r>
    </w:p>
    <w:p w14:paraId="3D65BB29">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19.响应文件的签署及规定</w:t>
      </w:r>
    </w:p>
    <w:p w14:paraId="56A225BD">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19.1响应文件的正本和副本应装订成册，正本一份，副本份数见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。正本和副本的封面上应标记“正本”或“副本”的字样，当正本和副本有差异时，以正本为准。</w:t>
      </w:r>
    </w:p>
    <w:p w14:paraId="0A54BD02">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19.2 响应文件正本和副本应按磋商文件要求签章处盖单位章和由法定代表人或其委托代理人签字；任何加行、涂改、增删，应有法定代表人或其委托代理人在旁边签字。否则，将导致响应文件无效。</w:t>
      </w:r>
    </w:p>
    <w:p w14:paraId="7B50FD5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19.3 在磋商过程中，供应商按磋商文件规定和磋商小组要求提交的最后报价</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或者重新提交的响应文件和最后报价</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，一式两份，可打印或用不退色墨水书写，但需经法定代表人或其委托代理人签字，或者加盖供应商单位章。否则，将导致响应文件无效。</w:t>
      </w:r>
    </w:p>
    <w:p w14:paraId="05ACDAF3">
      <w:pPr>
        <w:snapToGrid w:val="0"/>
        <w:spacing w:line="400" w:lineRule="exact"/>
        <w:ind w:firstLine="2640" w:firstLineChars="1100"/>
        <w:rPr>
          <w:rFonts w:ascii="新宋体" w:hAnsi="新宋体" w:eastAsia="新宋体" w:cs="新宋体"/>
          <w:color w:val="auto"/>
          <w:sz w:val="24"/>
          <w:highlight w:val="none"/>
        </w:rPr>
      </w:pPr>
    </w:p>
    <w:p w14:paraId="25800D46">
      <w:pPr>
        <w:pStyle w:val="7"/>
        <w:spacing w:before="0" w:after="0" w:line="400" w:lineRule="exact"/>
        <w:jc w:val="center"/>
        <w:rPr>
          <w:rFonts w:ascii="黑体" w:hAnsi="黑体" w:eastAsia="黑体" w:cs="新宋体"/>
          <w:b w:val="0"/>
          <w:bCs w:val="0"/>
          <w:color w:val="auto"/>
          <w:sz w:val="28"/>
          <w:szCs w:val="28"/>
          <w:highlight w:val="none"/>
        </w:rPr>
      </w:pPr>
      <w:bookmarkStart w:id="41" w:name="_Toc24500"/>
      <w:r>
        <w:rPr>
          <w:rFonts w:hint="eastAsia" w:ascii="黑体" w:hAnsi="黑体" w:eastAsia="黑体" w:cs="新宋体"/>
          <w:b w:val="0"/>
          <w:bCs w:val="0"/>
          <w:color w:val="auto"/>
          <w:sz w:val="28"/>
          <w:szCs w:val="28"/>
          <w:highlight w:val="none"/>
        </w:rPr>
        <w:t>四、响应文件的递交</w:t>
      </w:r>
      <w:bookmarkEnd w:id="41"/>
    </w:p>
    <w:p w14:paraId="4338AAAD">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20.响应文件的密封和标记</w:t>
      </w:r>
    </w:p>
    <w:p w14:paraId="780330F3">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20.1响应文件应密封包装，加贴封条，并在封套的封口处盖供应商单位章和由法定代表人或其委托代理人签字。</w:t>
      </w:r>
    </w:p>
    <w:p w14:paraId="4C6F74F4">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20.2响应文件封套上应写明的内容见</w:t>
      </w:r>
      <w:r>
        <w:rPr>
          <w:rFonts w:hint="eastAsia" w:ascii="新宋体" w:hAnsi="新宋体" w:eastAsia="新宋体" w:cs="新宋体"/>
          <w:b/>
          <w:color w:val="auto"/>
          <w:highlight w:val="none"/>
        </w:rPr>
        <w:t>【磋商须知前附表】。</w:t>
      </w:r>
    </w:p>
    <w:p w14:paraId="09C1F623">
      <w:pPr>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20.3响应文件如果未按上述规定密封，采购人或采购代理机构将拒绝接收。</w:t>
      </w:r>
    </w:p>
    <w:p w14:paraId="61E59084">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21.响应文件的补充、修改或者撤回</w:t>
      </w:r>
    </w:p>
    <w:p w14:paraId="346A06A5">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21.1供应商在提交首次响应文件截止时间前，可以对所提交的首次响应文件进行补充、修改或者撤回，并书面通知采购人、采购代理机构。该通知应有供应商法定代表人或其委托代理人签字。</w:t>
      </w:r>
    </w:p>
    <w:p w14:paraId="42E75D73">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21.2补充、修改的内容与响应文件不一致时，以补充、修改的内容为准。</w:t>
      </w:r>
    </w:p>
    <w:p w14:paraId="7A04ECA2">
      <w:pPr>
        <w:pStyle w:val="8"/>
        <w:keepNext w:val="0"/>
        <w:keepLines w:val="0"/>
        <w:adjustRightInd w:val="0"/>
        <w:snapToGrid w:val="0"/>
        <w:spacing w:before="50" w:after="0" w:line="400" w:lineRule="exact"/>
        <w:rPr>
          <w:rFonts w:ascii="黑体" w:hAnsi="黑体"/>
          <w:color w:val="auto"/>
          <w:sz w:val="24"/>
          <w:szCs w:val="24"/>
          <w:highlight w:val="none"/>
        </w:rPr>
      </w:pPr>
      <w:r>
        <w:rPr>
          <w:rFonts w:hint="eastAsia" w:ascii="黑体" w:hAnsi="黑体"/>
          <w:color w:val="auto"/>
          <w:sz w:val="24"/>
          <w:szCs w:val="24"/>
          <w:highlight w:val="none"/>
        </w:rPr>
        <w:t>22.响应文件的递交与接收</w:t>
      </w:r>
    </w:p>
    <w:p w14:paraId="4101EECC">
      <w:pPr>
        <w:adjustRightInd w:val="0"/>
        <w:snapToGrid w:val="0"/>
        <w:spacing w:before="156" w:beforeLines="50" w:line="400" w:lineRule="exact"/>
        <w:ind w:firstLine="420" w:firstLineChars="200"/>
        <w:rPr>
          <w:rFonts w:hAnsi="宋体" w:cs="宋体"/>
          <w:color w:val="auto"/>
          <w:kern w:val="0"/>
          <w:highlight w:val="none"/>
        </w:rPr>
      </w:pPr>
      <w:r>
        <w:rPr>
          <w:rFonts w:hint="eastAsia" w:ascii="宋体" w:hAnsi="宋体"/>
          <w:color w:val="auto"/>
          <w:szCs w:val="21"/>
          <w:highlight w:val="none"/>
        </w:rPr>
        <w:t>22.1供应商应在</w:t>
      </w:r>
      <w:r>
        <w:rPr>
          <w:rFonts w:hint="eastAsia" w:ascii="宋体" w:hAnsi="宋体"/>
          <w:b/>
          <w:color w:val="auto"/>
          <w:szCs w:val="21"/>
          <w:highlight w:val="none"/>
        </w:rPr>
        <w:t>【</w:t>
      </w:r>
      <w:r>
        <w:rPr>
          <w:rFonts w:hint="eastAsia" w:hAnsi="宋体"/>
          <w:b/>
          <w:color w:val="auto"/>
          <w:highlight w:val="none"/>
        </w:rPr>
        <w:t>磋商</w:t>
      </w:r>
      <w:r>
        <w:rPr>
          <w:rFonts w:hint="eastAsia" w:ascii="宋体" w:hAnsi="宋体"/>
          <w:b/>
          <w:color w:val="auto"/>
          <w:szCs w:val="21"/>
          <w:highlight w:val="none"/>
        </w:rPr>
        <w:t>须知前附表】</w:t>
      </w:r>
      <w:r>
        <w:rPr>
          <w:rFonts w:hint="eastAsia" w:hAnsi="宋体"/>
          <w:color w:val="auto"/>
          <w:highlight w:val="none"/>
        </w:rPr>
        <w:t>规定的</w:t>
      </w:r>
      <w:r>
        <w:rPr>
          <w:rFonts w:hint="eastAsia" w:ascii="宋体" w:hAnsi="宋体" w:cs="宋体"/>
          <w:color w:val="auto"/>
          <w:kern w:val="0"/>
          <w:szCs w:val="21"/>
          <w:highlight w:val="none"/>
        </w:rPr>
        <w:t>时间和</w:t>
      </w:r>
      <w:r>
        <w:rPr>
          <w:rFonts w:hint="eastAsia" w:ascii="宋体" w:hAnsi="宋体"/>
          <w:color w:val="auto"/>
          <w:szCs w:val="21"/>
          <w:highlight w:val="none"/>
        </w:rPr>
        <w:t>地点提交响应文件。</w:t>
      </w:r>
      <w:r>
        <w:rPr>
          <w:rFonts w:hint="eastAsia" w:hAnsi="宋体" w:cs="宋体"/>
          <w:color w:val="auto"/>
          <w:kern w:val="0"/>
          <w:highlight w:val="none"/>
        </w:rPr>
        <w:t>采购人、采购代理机构或者磋商小组拒收逾期送达的响应文件。</w:t>
      </w:r>
    </w:p>
    <w:p w14:paraId="47C6AC88">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22.2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579FFEBB">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（1）项目名称、</w:t>
      </w:r>
      <w:r>
        <w:rPr>
          <w:rFonts w:hint="eastAsia" w:ascii="宋体" w:hAnsi="宋体"/>
          <w:color w:val="auto"/>
          <w:szCs w:val="21"/>
          <w:highlight w:val="none"/>
          <w:lang w:eastAsia="zh-CN"/>
        </w:rPr>
        <w:t>采购项目</w:t>
      </w:r>
      <w:r>
        <w:rPr>
          <w:rFonts w:hint="eastAsia" w:ascii="宋体" w:hAnsi="宋体"/>
          <w:color w:val="auto"/>
          <w:szCs w:val="21"/>
          <w:highlight w:val="none"/>
        </w:rPr>
        <w:t>编号；</w:t>
      </w:r>
    </w:p>
    <w:p w14:paraId="0C430CBA">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（2）供应商名称；</w:t>
      </w:r>
    </w:p>
    <w:p w14:paraId="1B64A860">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（3）响应文件送达时间、地址；</w:t>
      </w:r>
    </w:p>
    <w:p w14:paraId="695D7A96">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（4）响应文件密封情况；</w:t>
      </w:r>
    </w:p>
    <w:p w14:paraId="57705A51">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（5）采购人、采购代理机构名称；</w:t>
      </w:r>
    </w:p>
    <w:p w14:paraId="388298B0">
      <w:pPr>
        <w:adjustRightInd w:val="0"/>
        <w:snapToGrid w:val="0"/>
        <w:spacing w:before="156" w:beforeLines="50" w:line="400" w:lineRule="exact"/>
        <w:ind w:firstLine="420" w:firstLineChars="200"/>
        <w:rPr>
          <w:rFonts w:ascii="宋体" w:hAnsi="宋体"/>
          <w:color w:val="auto"/>
          <w:szCs w:val="21"/>
          <w:highlight w:val="none"/>
        </w:rPr>
      </w:pPr>
      <w:r>
        <w:rPr>
          <w:rFonts w:hint="eastAsia" w:ascii="宋体" w:hAnsi="宋体"/>
          <w:color w:val="auto"/>
          <w:szCs w:val="21"/>
          <w:highlight w:val="none"/>
        </w:rPr>
        <w:t>（6）采购人、采购代理机构接收人签字。</w:t>
      </w:r>
    </w:p>
    <w:p w14:paraId="527FBA66">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22.3采购人、</w:t>
      </w:r>
      <w:r>
        <w:rPr>
          <w:rFonts w:hint="eastAsia" w:hAnsi="宋体"/>
          <w:bCs/>
          <w:color w:val="auto"/>
          <w:highlight w:val="none"/>
        </w:rPr>
        <w:t>采购代理机构</w:t>
      </w:r>
      <w:r>
        <w:rPr>
          <w:rFonts w:hint="eastAsia" w:hAnsi="宋体"/>
          <w:color w:val="auto"/>
          <w:highlight w:val="none"/>
        </w:rPr>
        <w:t>在公布供应商的最后报价前，不公开供应商的技术资料和其他信息。</w:t>
      </w:r>
    </w:p>
    <w:p w14:paraId="58C9B3A8">
      <w:pPr>
        <w:snapToGrid w:val="0"/>
        <w:spacing w:line="400" w:lineRule="exact"/>
        <w:ind w:firstLine="2891" w:firstLineChars="1200"/>
        <w:rPr>
          <w:rFonts w:ascii="新宋体" w:hAnsi="新宋体" w:eastAsia="新宋体" w:cs="新宋体"/>
          <w:b/>
          <w:bCs/>
          <w:color w:val="auto"/>
          <w:sz w:val="24"/>
          <w:highlight w:val="none"/>
        </w:rPr>
      </w:pPr>
    </w:p>
    <w:p w14:paraId="1845564A">
      <w:pPr>
        <w:pStyle w:val="7"/>
        <w:spacing w:before="0" w:after="0" w:line="400" w:lineRule="exact"/>
        <w:jc w:val="center"/>
        <w:rPr>
          <w:rFonts w:ascii="黑体" w:hAnsi="黑体" w:eastAsia="黑体" w:cs="新宋体"/>
          <w:b w:val="0"/>
          <w:bCs w:val="0"/>
          <w:color w:val="auto"/>
          <w:sz w:val="28"/>
          <w:szCs w:val="28"/>
          <w:highlight w:val="none"/>
        </w:rPr>
      </w:pPr>
      <w:bookmarkStart w:id="42" w:name="_Toc16452"/>
      <w:r>
        <w:rPr>
          <w:rFonts w:hint="eastAsia" w:ascii="黑体" w:hAnsi="黑体" w:eastAsia="黑体" w:cs="新宋体"/>
          <w:b w:val="0"/>
          <w:bCs w:val="0"/>
          <w:color w:val="auto"/>
          <w:sz w:val="28"/>
          <w:szCs w:val="28"/>
          <w:highlight w:val="none"/>
        </w:rPr>
        <w:t>五、响应文件的磋商与评审</w:t>
      </w:r>
      <w:bookmarkEnd w:id="42"/>
    </w:p>
    <w:p w14:paraId="62B77214">
      <w:pPr>
        <w:tabs>
          <w:tab w:val="left" w:pos="0"/>
        </w:tabs>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23.磋商程序</w:t>
      </w:r>
    </w:p>
    <w:p w14:paraId="56378843">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23.1磋商程序：响应文件审查、磋商（包括澄清）、响应文件评审、提出成交供应商。其中，磋商按本章第28.1款或者第28.2款情形进行。</w:t>
      </w:r>
    </w:p>
    <w:p w14:paraId="3D0AFCE0">
      <w:pPr>
        <w:widowControl/>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24.响应文件审查</w:t>
      </w:r>
    </w:p>
    <w:p w14:paraId="7691F91A">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24.1 资格性审查：根据本章第3.1项规定的供应商资格条件要求，对响应文件的资格证明等进行审查，以确定供应商是否具备磋商资格条件。</w:t>
      </w:r>
    </w:p>
    <w:p w14:paraId="3CFFA4CA">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24.2符合性审查： 对响应文件</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包括首次提交的响应文件、重新提交的响应文件</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的有效性、完整性和响应程度进行审查，以确定是否对磋商文件的实质性要求作出响应。</w:t>
      </w:r>
    </w:p>
    <w:p w14:paraId="4F2B66A7">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24.3响应文件审查结束后，磋商小组所有成员集中与单一供应商分别进行磋商，并给予所有参加磋商的供应商平等的磋商机会。供应商应派其法定代表人或委托代理人参加磋商。</w:t>
      </w:r>
    </w:p>
    <w:p w14:paraId="150998EA">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25.实质性响应</w:t>
      </w:r>
    </w:p>
    <w:p w14:paraId="0C06C715">
      <w:pPr>
        <w:snapToGrid w:val="0"/>
        <w:spacing w:line="400" w:lineRule="exact"/>
        <w:ind w:firstLine="420"/>
        <w:rPr>
          <w:rFonts w:ascii="新宋体" w:hAnsi="新宋体" w:eastAsia="新宋体" w:cs="新宋体"/>
          <w:color w:val="auto"/>
          <w:highlight w:val="none"/>
          <w:u w:val="single"/>
        </w:rPr>
      </w:pPr>
      <w:r>
        <w:rPr>
          <w:rFonts w:hint="eastAsia" w:ascii="新宋体" w:hAnsi="新宋体" w:eastAsia="新宋体" w:cs="新宋体"/>
          <w:color w:val="auto"/>
          <w:highlight w:val="none"/>
        </w:rPr>
        <w:t>25.1实质性响应是指响应文件</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包括首次响应文件、重新提交的响应文件</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与磋商文件要求的所有条款、条件和规格相符，没有偏离。偏离指不满足、或不响应磋商文件的要求。</w:t>
      </w:r>
    </w:p>
    <w:p w14:paraId="2B1826F5">
      <w:pPr>
        <w:tabs>
          <w:tab w:val="left" w:pos="0"/>
          <w:tab w:val="left" w:pos="7560"/>
          <w:tab w:val="left" w:pos="7740"/>
          <w:tab w:val="left" w:pos="7920"/>
        </w:tabs>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25.2响应文件是否实质性响应磋商文件要求由磋商小组依据磋商文件规定认定。磋商小组决定响应文件的响应性只根据响应文件本身的真实无误的内容，而不依据外部的证据。</w:t>
      </w:r>
    </w:p>
    <w:p w14:paraId="37B71ECA">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 xml:space="preserve">26.无效响应 </w:t>
      </w:r>
    </w:p>
    <w:p w14:paraId="6BF1C4C8">
      <w:pPr>
        <w:snapToGrid w:val="0"/>
        <w:spacing w:line="400" w:lineRule="exact"/>
        <w:ind w:firstLine="411"/>
        <w:rPr>
          <w:rFonts w:ascii="新宋体" w:hAnsi="新宋体" w:eastAsia="新宋体" w:cs="新宋体"/>
          <w:b/>
          <w:color w:val="auto"/>
          <w:highlight w:val="none"/>
        </w:rPr>
      </w:pPr>
      <w:r>
        <w:rPr>
          <w:rFonts w:hint="eastAsia" w:ascii="新宋体" w:hAnsi="新宋体" w:eastAsia="新宋体" w:cs="新宋体"/>
          <w:color w:val="auto"/>
          <w:highlight w:val="none"/>
        </w:rPr>
        <w:t>26.1磋商小组在对资格性和符合性进行审查时，有下列情况之一的，属无效响应，磋商小组应当告知有关供应商：</w:t>
      </w:r>
    </w:p>
    <w:p w14:paraId="1E5C79C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（1）供应商不具备本章第3.1款规定的供应商资格条件要求，或存在本章第3.3款情形的；</w:t>
      </w:r>
    </w:p>
    <w:p w14:paraId="11CAE8F3">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（2）联合体不符合本章第3.2款规定的；</w:t>
      </w:r>
    </w:p>
    <w:p w14:paraId="744443E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（3）应交未交磋商保证金或金额不足、磋商保证金缴纳形式不符合磋商文件要求的；</w:t>
      </w:r>
    </w:p>
    <w:p w14:paraId="445A81C1">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（4）响应文件未按照磋商文件要求签署、盖章的；</w:t>
      </w:r>
    </w:p>
    <w:p w14:paraId="7788A15E">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（5）响应文件不满足本章第25.1款规定的实质性要求的；</w:t>
      </w:r>
    </w:p>
    <w:p w14:paraId="1013D8FB">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（6）报价超过采购项目预算的；</w:t>
      </w:r>
    </w:p>
    <w:p w14:paraId="1AA3954B">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（7）响应文件有效期不足的；</w:t>
      </w:r>
    </w:p>
    <w:p w14:paraId="2818870F">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（8）响应文件不符合法律、规章、规范性文件和磋商文件规定及要求的。</w:t>
      </w:r>
    </w:p>
    <w:p w14:paraId="52396272">
      <w:pPr>
        <w:widowControl/>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27.澄清</w:t>
      </w:r>
    </w:p>
    <w:p w14:paraId="6B5ACF2E">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180894C">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9AAAFEF">
      <w:pPr>
        <w:widowControl/>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28.磋商</w:t>
      </w:r>
    </w:p>
    <w:p w14:paraId="75A60E26">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28.1本章第10.2项未明确磋商文件实质性变动内容的，或者磋商文件明确了可能发生实质性变动内容，但在磋商过程中，磋商小组根据磋商情况认为磋商文件无需发生实质性变动的，磋商小组应当直接与响应文件审查合格的供应商就价格组织多轮磋商。</w:t>
      </w:r>
    </w:p>
    <w:p w14:paraId="418231C7">
      <w:pPr>
        <w:widowControl/>
        <w:tabs>
          <w:tab w:val="left" w:pos="1080"/>
          <w:tab w:val="left" w:pos="1260"/>
        </w:tabs>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（1）磋商结束后，磋商小组应当要求所有继续参加磋商的供应商在磋商小组规定时间内提交最后报价。</w:t>
      </w:r>
    </w:p>
    <w:p w14:paraId="5CBC623C">
      <w:pPr>
        <w:widowControl/>
        <w:tabs>
          <w:tab w:val="left" w:pos="1080"/>
          <w:tab w:val="left" w:pos="1260"/>
        </w:tabs>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（2）磋商文件明确可能发生实质性变动，但在磋商过程中磋商小组根据磋商情况认为磋商文件无需发生实质性变动的，磋商小组不另行通知。</w:t>
      </w:r>
    </w:p>
    <w:p w14:paraId="52FB3D98">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28.2本章第10.2款明确磋商文件实质性变动内容的，磋商小组可以组织多轮磋商。在每一轮磋商中，磋商小组可以根据磋商文件规定和磋商情况，对磋商文件的采购需求中的技术、服务要求以及合同草案条款作实质性变动</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磋商文件的实质性变动内容为磋商文件的组成部分</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并以书面形式要求响应文件审查合格的供应商，在规定的截止时间前重新提交响应文件。磋商小组应当根据本章第25.2款规定对供应商重新提交的响应文件进行审查。供应商重新提交的响应文件审查不合格的，不得进入下一轮磋商，也不得要求提交最后报价。</w:t>
      </w:r>
    </w:p>
    <w:p w14:paraId="72BF3102">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（1）磋商文件能够详细列明采购需求的技术、服务要求的，磋商结束后，磋商小组应当要求所有继续参加磋商的供应商在规定时间内提交最后报价。</w:t>
      </w:r>
    </w:p>
    <w:p w14:paraId="1E256197">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C48172B">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28.3重新提交的响应文件或者最后报价应按本章第19.3款规定，由其法定代表人或其委托代理人签字或者加盖供应商单位章，在规定时间内密封递交给磋商小组。</w:t>
      </w:r>
    </w:p>
    <w:p w14:paraId="4078E3DF">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28.4供应商的最后报价及政府采购政策规定的价格扣除情况，磋商小组应召集所有参加最后报价的供应商当场开封公布，并由供应商代表签字确认。</w:t>
      </w:r>
    </w:p>
    <w:p w14:paraId="52C7660A">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28.5提交首次响应文件的供应商，在提交最后报价之前，可以根据磋商情况退出磋商，并书面通知采购代理机构或者磋商小组。该通知由供应商法定代表人或其委托代理人签字。采购代理机构按本章第17.4款规定退还退出磋商的供应商的磋商保证金。</w:t>
      </w:r>
    </w:p>
    <w:p w14:paraId="6A0A3ED8">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28.6提交首次响应文件的供应商，未按磋商文件规定及磋商小组要求提交最后报价(或者重新提交的响应文件和最后报价)，且又未按本章第28.5款规定退出磋商的，供应商的磋商保证金不予退还。</w:t>
      </w:r>
    </w:p>
    <w:p w14:paraId="62338019">
      <w:pPr>
        <w:adjustRightInd w:val="0"/>
        <w:snapToGrid w:val="0"/>
        <w:spacing w:before="156" w:beforeLines="50" w:line="400" w:lineRule="exact"/>
        <w:ind w:firstLine="420" w:firstLineChars="200"/>
        <w:jc w:val="left"/>
        <w:rPr>
          <w:color w:val="auto"/>
          <w:highlight w:val="none"/>
        </w:rPr>
      </w:pPr>
      <w:r>
        <w:rPr>
          <w:rFonts w:hint="eastAsia" w:ascii="新宋体" w:hAnsi="新宋体" w:eastAsia="新宋体" w:cs="新宋体"/>
          <w:color w:val="auto"/>
          <w:highlight w:val="none"/>
        </w:rPr>
        <w:t>28.7</w:t>
      </w:r>
      <w:r>
        <w:rPr>
          <w:rFonts w:hint="eastAsia" w:ascii="宋体" w:hAnsi="宋体" w:eastAsia="新宋体"/>
          <w:bCs/>
          <w:color w:val="auto"/>
          <w:szCs w:val="21"/>
          <w:highlight w:val="none"/>
        </w:rPr>
        <w:t>磋商</w:t>
      </w:r>
      <w:r>
        <w:rPr>
          <w:rFonts w:hint="eastAsia" w:ascii="宋体" w:hAnsi="宋体"/>
          <w:bCs/>
          <w:color w:val="auto"/>
          <w:szCs w:val="21"/>
          <w:highlight w:val="none"/>
        </w:rPr>
        <w:t>小组认为供应商的报价明显低于其他通过资格性、符合性审查供应商的报价，有可能影响产品质量或者不能诚信履约的，应当要求其在磋商现场合理的时间内提供书面说明，必要时提交相关证明材料；供应商不能证明其报价合理性的，磋商小组应当将其作为响应无效处理。</w:t>
      </w:r>
    </w:p>
    <w:p w14:paraId="4B851B0D">
      <w:pPr>
        <w:widowControl/>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29.响应文件评审</w:t>
      </w:r>
    </w:p>
    <w:p w14:paraId="7AFB7FD3">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29.1经磋商确定最终采购需求和提交最后报价的供应商后，由磋商小组采用综合评分法对提交最后报价的供应商的响应文件和最后报价进行综合评价。</w:t>
      </w:r>
    </w:p>
    <w:p w14:paraId="05360F4D">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29.2综合评分法，是指响应文件满足磋商文件全部实质性要求且按评审因素的量化指标评审得分最高的供应商为成交候选供应商的评审方法。本采购项目的评审因素和标准见</w:t>
      </w:r>
      <w:r>
        <w:rPr>
          <w:rFonts w:hint="eastAsia" w:ascii="新宋体" w:hAnsi="新宋体" w:eastAsia="新宋体" w:cs="新宋体"/>
          <w:b/>
          <w:color w:val="auto"/>
          <w:highlight w:val="none"/>
        </w:rPr>
        <w:t>【磋商须知前附表】。</w:t>
      </w:r>
    </w:p>
    <w:p w14:paraId="2EB1426C">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29.3最后报价调整。磋商小组以各供应商最后报价为基础，按照第二章39.1款的规定，对供应商的最后报价进行价格扣除，用扣除后的最后报价计算价格得分，具体价格扣除比例见本章第39.2款规定。</w:t>
      </w:r>
    </w:p>
    <w:p w14:paraId="4931659B">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29.4综合评分法中的价格分采用低价优先法计算，即满足磋商文件要求且经调整后的最后报价最低的供应商的价格为磋商基准价，其价格分为满分。其他供应商的价格分按照下列公式计算：</w:t>
      </w:r>
    </w:p>
    <w:p w14:paraId="7F0F5E7F">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磋商报价得分=（磋商基准价/最后磋商报价）×价格权值</w:t>
      </w:r>
    </w:p>
    <w:p w14:paraId="1C29E3BE">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项目评审过程中，不得去掉最后报价中的最高报价和最低报价。</w:t>
      </w:r>
    </w:p>
    <w:p w14:paraId="4EFB4C07">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29.5评审时，磋商小组各成员应当独立对每个供应商的响应文件进行评价、评分，并按照政府采购优惠政策对最后报价进行价格扣除和技术、商务、价格加分后，汇总各供应商的总得分。</w:t>
      </w:r>
    </w:p>
    <w:p w14:paraId="3C24AB51">
      <w:pPr>
        <w:pStyle w:val="22"/>
        <w:spacing w:line="400" w:lineRule="exact"/>
        <w:rPr>
          <w:rFonts w:ascii="新宋体" w:hAnsi="新宋体" w:eastAsia="新宋体" w:cs="新宋体"/>
          <w:color w:val="auto"/>
          <w:highlight w:val="none"/>
        </w:rPr>
      </w:pPr>
      <w:r>
        <w:rPr>
          <w:rFonts w:hint="eastAsia" w:ascii="新宋体" w:hAnsi="新宋体" w:eastAsia="新宋体" w:cs="新宋体"/>
          <w:color w:val="auto"/>
          <w:highlight w:val="none"/>
        </w:rPr>
        <w:t>29.6评审因素和标准见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w:t>
      </w:r>
    </w:p>
    <w:p w14:paraId="722B3DE3">
      <w:pPr>
        <w:widowControl/>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30.提出成交供应商</w:t>
      </w:r>
    </w:p>
    <w:p w14:paraId="3C47DB1A">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30.1磋商小组应当根据综合评分情况，按照评审得分由高到低顺序推荐3名以上成交候选供应商，并编写评审报告。评审得分相同的，按照最后报价由低到高的顺序推荐。评审得分和最后报价均相同的，按照技术指标优劣顺序推荐。</w:t>
      </w:r>
    </w:p>
    <w:p w14:paraId="69A6D274">
      <w:pPr>
        <w:adjustRightInd w:val="0"/>
        <w:snapToGrid w:val="0"/>
        <w:spacing w:before="156" w:beforeLines="50" w:line="400" w:lineRule="exact"/>
        <w:ind w:firstLine="420"/>
        <w:jc w:val="left"/>
        <w:rPr>
          <w:rFonts w:ascii="宋体" w:hAnsi="宋体" w:cs="宋体"/>
          <w:color w:val="auto"/>
          <w:kern w:val="0"/>
          <w:szCs w:val="21"/>
          <w:highlight w:val="none"/>
        </w:rPr>
      </w:pPr>
      <w:r>
        <w:rPr>
          <w:rFonts w:hint="eastAsia" w:ascii="宋体" w:hAnsi="宋体"/>
          <w:bCs/>
          <w:color w:val="auto"/>
          <w:szCs w:val="21"/>
          <w:highlight w:val="none"/>
        </w:rPr>
        <w:t>30.2</w:t>
      </w:r>
      <w:r>
        <w:rPr>
          <w:rFonts w:hint="eastAsia" w:ascii="宋体" w:hAnsi="宋体" w:cs="宋体"/>
          <w:color w:val="auto"/>
          <w:kern w:val="0"/>
          <w:szCs w:val="21"/>
          <w:highlight w:val="none"/>
        </w:rPr>
        <w:t>最后报价有算术错误的，除</w:t>
      </w:r>
      <w:r>
        <w:rPr>
          <w:rFonts w:hint="eastAsia" w:ascii="宋体" w:hAnsi="宋体"/>
          <w:b/>
          <w:color w:val="auto"/>
          <w:szCs w:val="21"/>
          <w:highlight w:val="none"/>
        </w:rPr>
        <w:t>【磋商须知前附表】</w:t>
      </w:r>
      <w:r>
        <w:rPr>
          <w:rFonts w:hint="eastAsia" w:ascii="宋体" w:hAnsi="宋体" w:cs="宋体"/>
          <w:color w:val="auto"/>
          <w:kern w:val="0"/>
          <w:szCs w:val="21"/>
          <w:highlight w:val="none"/>
        </w:rPr>
        <w:t>另有规定外，磋商小组按以下原则对报价进行修正，修正的价格经供应商书面确认，并由供应商代表签字或者加盖单位公章确认后产生约束力，供应商不接受修正价格的，其报价作无效报价处理。</w:t>
      </w:r>
    </w:p>
    <w:p w14:paraId="0521DE7F">
      <w:pPr>
        <w:adjustRightInd w:val="0"/>
        <w:snapToGrid w:val="0"/>
        <w:spacing w:before="156" w:beforeLines="50"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（1）大写金额与小写金额不一致的，以大写金额为准。</w:t>
      </w:r>
    </w:p>
    <w:p w14:paraId="5B2F8E3D">
      <w:pPr>
        <w:adjustRightInd w:val="0"/>
        <w:snapToGrid w:val="0"/>
        <w:spacing w:before="156" w:beforeLines="5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（2）总价金额与按单价汇总金额不一致的，以单价金额计算结果为准。</w:t>
      </w:r>
    </w:p>
    <w:p w14:paraId="3626540A">
      <w:pPr>
        <w:adjustRightInd w:val="0"/>
        <w:snapToGrid w:val="0"/>
        <w:spacing w:before="156" w:beforeLines="5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修正后的报价由供应商代表签字或者加盖单位公章确认后产生约束力，不确认的，其报价无效。</w:t>
      </w:r>
    </w:p>
    <w:p w14:paraId="1DF9D68F">
      <w:pPr>
        <w:adjustRightInd w:val="0"/>
        <w:snapToGrid w:val="0"/>
        <w:spacing w:before="156" w:beforeLines="5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30.3最后报价的评审</w:t>
      </w:r>
    </w:p>
    <w:p w14:paraId="75B49E00">
      <w:pPr>
        <w:adjustRightInd w:val="0"/>
        <w:snapToGrid w:val="0"/>
        <w:spacing w:before="156" w:beforeLines="5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（1）如果有算术错误，最后报价将按上款规定进行算术修正。</w:t>
      </w:r>
    </w:p>
    <w:p w14:paraId="60590E49">
      <w:pPr>
        <w:adjustRightInd w:val="0"/>
        <w:snapToGrid w:val="0"/>
        <w:spacing w:before="156" w:beforeLines="5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（2）需落实政府采购政策（优先采购、价格评审优惠）的，按本章本节第39、41条等相关规定进行价格扣除。</w:t>
      </w:r>
    </w:p>
    <w:p w14:paraId="334C13D4">
      <w:pPr>
        <w:pStyle w:val="22"/>
        <w:spacing w:line="400" w:lineRule="exact"/>
        <w:rPr>
          <w:color w:val="auto"/>
          <w:highlight w:val="none"/>
        </w:rPr>
      </w:pPr>
    </w:p>
    <w:p w14:paraId="4FAD01E5">
      <w:pPr>
        <w:tabs>
          <w:tab w:val="left" w:pos="0"/>
        </w:tabs>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31.确定成交供应商</w:t>
      </w:r>
    </w:p>
    <w:p w14:paraId="14912148">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31.1采购代理机构应当在评审结束后2个工作日内将评审报告送采购人确认。</w:t>
      </w:r>
    </w:p>
    <w:p w14:paraId="728141EF">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31.2采购人应当在收到评审报告后5个工作日内，从评审报告提出的成交候选供应商中，按照排序由高到低的原则确定成交供应商，也可以书面授权磋商小组直接确定成交供应商。</w:t>
      </w:r>
    </w:p>
    <w:p w14:paraId="153EBEF1">
      <w:pPr>
        <w:snapToGrid w:val="0"/>
        <w:spacing w:line="400" w:lineRule="exact"/>
        <w:ind w:left="632" w:hanging="632"/>
        <w:rPr>
          <w:rFonts w:ascii="新宋体" w:hAnsi="新宋体" w:eastAsia="新宋体" w:cs="新宋体"/>
          <w:b/>
          <w:color w:val="auto"/>
          <w:highlight w:val="none"/>
        </w:rPr>
      </w:pPr>
      <w:r>
        <w:rPr>
          <w:rFonts w:hint="eastAsia" w:ascii="新宋体" w:hAnsi="新宋体" w:eastAsia="新宋体" w:cs="新宋体"/>
          <w:b/>
          <w:color w:val="auto"/>
          <w:highlight w:val="none"/>
        </w:rPr>
        <w:t>32.磋商终止</w:t>
      </w:r>
    </w:p>
    <w:p w14:paraId="1127FC67">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 xml:space="preserve">32.1出现下列情形之一的，采购人或者采购代理机构应当终止竞争性磋商采购活动，在本章第35.1款指定的媒体上发布项目终止公告并说明原因，重新开展采购活动： </w:t>
      </w:r>
    </w:p>
    <w:p w14:paraId="78E6A469">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（1）因情况变化，不再符合规定的竞争性磋商采购方式适用情形的；</w:t>
      </w:r>
    </w:p>
    <w:p w14:paraId="6565C7F9">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（2）出现影响采购公正的违法、违规行为的；</w:t>
      </w:r>
    </w:p>
    <w:p w14:paraId="480BFC3B">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（3）在采购过程中符合磋商要求的供应商或者报价未超过采购预算的供应商不足3家的，或者提交最后报价的供应商少于3家的。</w:t>
      </w:r>
    </w:p>
    <w:p w14:paraId="754C9C12">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（4）因重大变故，采购任务取消的。</w:t>
      </w:r>
    </w:p>
    <w:p w14:paraId="5A9E6044">
      <w:pPr>
        <w:widowControl/>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33．重新评审</w:t>
      </w:r>
    </w:p>
    <w:p w14:paraId="6DEB656C">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33.1除资格性审查认定错误和价格计算错误外，采购人、采购代理机构不以任何理由组织重新评审。</w:t>
      </w:r>
    </w:p>
    <w:p w14:paraId="459E9388">
      <w:pPr>
        <w:pStyle w:val="22"/>
        <w:spacing w:line="400" w:lineRule="exact"/>
        <w:rPr>
          <w:rFonts w:hint="eastAsia" w:ascii="新宋体" w:hAnsi="新宋体" w:eastAsia="新宋体" w:cs="新宋体"/>
          <w:color w:val="auto"/>
          <w:kern w:val="2"/>
          <w:sz w:val="21"/>
          <w:szCs w:val="24"/>
          <w:highlight w:val="none"/>
          <w:lang w:val="en-US" w:eastAsia="zh-CN" w:bidi="ar-SA"/>
        </w:rPr>
      </w:pPr>
      <w:r>
        <w:rPr>
          <w:rFonts w:hint="eastAsia" w:ascii="新宋体" w:hAnsi="新宋体" w:eastAsia="新宋体" w:cs="新宋体"/>
          <w:color w:val="auto"/>
          <w:kern w:val="2"/>
          <w:sz w:val="21"/>
          <w:szCs w:val="24"/>
          <w:highlight w:val="none"/>
          <w:lang w:val="en-US" w:eastAsia="zh-CN" w:bidi="ar-SA"/>
        </w:rPr>
        <w:t>采购人、采购代理机构发现磋商小组未按照磋商文件规定的评定成交的标准进行评审的，应当重新开展采购活动，并同时书面报告本及财政部门。</w:t>
      </w:r>
    </w:p>
    <w:p w14:paraId="53B55B08">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34.保密及串通行为</w:t>
      </w:r>
    </w:p>
    <w:p w14:paraId="572620CB">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34.1磋商小组成员以及与评审工作有关的人员不得泄露评审情况以及评审过程中获悉的国家秘密、商业秘密。</w:t>
      </w:r>
    </w:p>
    <w:p w14:paraId="175DAE49">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34.2供应商不得与采购人、采购代理机构、其他供应商恶意串通；不得向采购人、采购代理机构或者磋商小组成员行贿或者提供其他不正当利益；不得提供虚假资料谋取成交；不得以任何方式干扰、影响采购工作。</w:t>
      </w:r>
    </w:p>
    <w:p w14:paraId="5E09D95E">
      <w:pPr>
        <w:widowControl/>
        <w:snapToGrid w:val="0"/>
        <w:spacing w:line="400" w:lineRule="exact"/>
        <w:ind w:firstLine="420"/>
        <w:jc w:val="left"/>
        <w:rPr>
          <w:rFonts w:ascii="新宋体" w:hAnsi="新宋体" w:eastAsia="新宋体" w:cs="新宋体"/>
          <w:color w:val="auto"/>
          <w:highlight w:val="none"/>
        </w:rPr>
      </w:pPr>
      <w:r>
        <w:rPr>
          <w:rFonts w:hint="eastAsia" w:ascii="新宋体" w:hAnsi="新宋体" w:eastAsia="新宋体" w:cs="新宋体"/>
          <w:color w:val="auto"/>
          <w:highlight w:val="none"/>
        </w:rPr>
        <w:t>34.3有下列情形之一的，属于恶意串通，对供应商依照政府采购法第七十七条第一款的规定追究法律责任：</w:t>
      </w:r>
    </w:p>
    <w:p w14:paraId="36A75189">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（1）供应商直接或者间接从采购人、采购代理机构获得其他供应商的响应情况，并修改其响应文件的；</w:t>
      </w:r>
    </w:p>
    <w:p w14:paraId="1669E52A">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（2）采购人、采购代理机构授意供应商撤换、修改响应文件的；</w:t>
      </w:r>
    </w:p>
    <w:p w14:paraId="7A4DE532">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（3）供应商之间协商技术方案、合同条款以及报价等响应文件实质性内容的；</w:t>
      </w:r>
    </w:p>
    <w:p w14:paraId="38483FB4">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（4）属于同一集团、协会、商会等组织成员的供应商按照该组织要求协同参加竞争性磋商政府采购活动的；</w:t>
      </w:r>
    </w:p>
    <w:p w14:paraId="2838E463">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（5）供应商之间事先约定由某一特定供应商成交的；</w:t>
      </w:r>
    </w:p>
    <w:p w14:paraId="0A24D7DC">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（6）供应商之间商定部分供应商放弃提交响应文件或者退出磋商或者放弃成交的；</w:t>
      </w:r>
    </w:p>
    <w:p w14:paraId="66B510D9">
      <w:pPr>
        <w:snapToGrid w:val="0"/>
        <w:spacing w:line="400" w:lineRule="exact"/>
        <w:ind w:firstLine="420"/>
        <w:rPr>
          <w:rFonts w:ascii="新宋体" w:hAnsi="新宋体" w:eastAsia="新宋体" w:cs="新宋体"/>
          <w:b/>
          <w:color w:val="auto"/>
          <w:highlight w:val="none"/>
        </w:rPr>
      </w:pPr>
      <w:r>
        <w:rPr>
          <w:rFonts w:hint="eastAsia" w:ascii="新宋体" w:hAnsi="新宋体" w:eastAsia="新宋体" w:cs="新宋体"/>
          <w:color w:val="auto"/>
          <w:highlight w:val="none"/>
        </w:rPr>
        <w:t>（7）供应商与采购人、采购代理机构以及磋商小组成员之间、供应商相互之间，为谋求特定供应商成交或者排斥其他供应商的其他串通行为的。</w:t>
      </w:r>
    </w:p>
    <w:p w14:paraId="026F2F9F">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（8）法律、行政法规或规章规定的其他串通行为。</w:t>
      </w:r>
    </w:p>
    <w:p w14:paraId="057E1B28">
      <w:pPr>
        <w:snapToGrid w:val="0"/>
        <w:spacing w:line="400" w:lineRule="exact"/>
        <w:ind w:firstLine="2409" w:firstLineChars="1000"/>
        <w:rPr>
          <w:rFonts w:ascii="新宋体" w:hAnsi="新宋体" w:eastAsia="新宋体" w:cs="新宋体"/>
          <w:b/>
          <w:bCs/>
          <w:color w:val="auto"/>
          <w:sz w:val="24"/>
          <w:highlight w:val="none"/>
        </w:rPr>
      </w:pPr>
    </w:p>
    <w:p w14:paraId="181B09A9">
      <w:pPr>
        <w:pStyle w:val="7"/>
        <w:spacing w:before="0" w:after="0" w:line="400" w:lineRule="exact"/>
        <w:jc w:val="center"/>
        <w:rPr>
          <w:rFonts w:ascii="黑体" w:hAnsi="黑体" w:eastAsia="黑体" w:cs="新宋体"/>
          <w:b w:val="0"/>
          <w:bCs w:val="0"/>
          <w:color w:val="auto"/>
          <w:sz w:val="28"/>
          <w:szCs w:val="28"/>
          <w:highlight w:val="none"/>
        </w:rPr>
      </w:pPr>
      <w:bookmarkStart w:id="43" w:name="_Toc13643"/>
      <w:r>
        <w:rPr>
          <w:rFonts w:hint="eastAsia" w:ascii="黑体" w:hAnsi="黑体" w:eastAsia="黑体" w:cs="新宋体"/>
          <w:b w:val="0"/>
          <w:bCs w:val="0"/>
          <w:color w:val="auto"/>
          <w:sz w:val="28"/>
          <w:szCs w:val="28"/>
          <w:highlight w:val="none"/>
        </w:rPr>
        <w:t>六、成交结果信息公布与授予合同</w:t>
      </w:r>
      <w:bookmarkEnd w:id="43"/>
    </w:p>
    <w:p w14:paraId="0FB90326">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35.成交信息的公布</w:t>
      </w:r>
    </w:p>
    <w:p w14:paraId="561A4E9F">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35.1成交供应商确定后2个工作日内，成交结果信息将在</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指定的媒体上公布。</w:t>
      </w:r>
    </w:p>
    <w:p w14:paraId="1528F16C">
      <w:pPr>
        <w:numPr>
          <w:ilvl w:val="0"/>
          <w:numId w:val="3"/>
        </w:num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询问及质疑</w:t>
      </w:r>
    </w:p>
    <w:p w14:paraId="14FA736B">
      <w:pPr>
        <w:adjustRightInd w:val="0"/>
        <w:snapToGrid w:val="0"/>
        <w:spacing w:before="156" w:beforeLines="5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36.1供应商对政府采购活动事项有疑问的，可以向采购人、采购代理机构提出询问。</w:t>
      </w:r>
    </w:p>
    <w:p w14:paraId="62E39102">
      <w:pPr>
        <w:adjustRightInd w:val="0"/>
        <w:snapToGrid w:val="0"/>
        <w:spacing w:before="156" w:beforeLines="50" w:line="400" w:lineRule="exact"/>
        <w:ind w:firstLine="420" w:firstLineChars="200"/>
        <w:jc w:val="left"/>
        <w:rPr>
          <w:rFonts w:hAnsi="宋体"/>
          <w:color w:val="auto"/>
          <w:highlight w:val="none"/>
        </w:rPr>
      </w:pPr>
      <w:r>
        <w:rPr>
          <w:rFonts w:hint="eastAsia" w:ascii="宋体" w:hAnsi="宋体"/>
          <w:color w:val="auto"/>
          <w:szCs w:val="21"/>
          <w:highlight w:val="none"/>
        </w:rPr>
        <w:t>36.2供应商若认为磋商文件、采购过程和成交结果使自己的权益受到损害，可以按法律、规章及《湖南省财政厅关于印发＜政府采购质疑答复和投诉处理操作规程＞的通知》</w:t>
      </w:r>
      <w:r>
        <w:rPr>
          <w:rFonts w:hint="eastAsia" w:ascii="宋体" w:hAnsi="宋体"/>
          <w:color w:val="auto"/>
          <w:szCs w:val="21"/>
          <w:highlight w:val="none"/>
          <w:lang w:eastAsia="zh-CN"/>
        </w:rPr>
        <w:t>（</w:t>
      </w:r>
      <w:r>
        <w:rPr>
          <w:rFonts w:hint="eastAsia" w:ascii="宋体" w:hAnsi="宋体"/>
          <w:color w:val="auto"/>
          <w:szCs w:val="21"/>
          <w:highlight w:val="none"/>
        </w:rPr>
        <w:t>湘财购〔2019〕20号</w:t>
      </w:r>
      <w:r>
        <w:rPr>
          <w:rFonts w:hint="eastAsia" w:ascii="宋体" w:hAnsi="宋体"/>
          <w:color w:val="auto"/>
          <w:szCs w:val="21"/>
          <w:highlight w:val="none"/>
          <w:lang w:eastAsia="zh-CN"/>
        </w:rPr>
        <w:t>）</w:t>
      </w:r>
      <w:r>
        <w:rPr>
          <w:rFonts w:hint="eastAsia" w:ascii="宋体" w:hAnsi="宋体"/>
          <w:color w:val="auto"/>
          <w:szCs w:val="21"/>
          <w:highlight w:val="none"/>
        </w:rPr>
        <w:t>文件规定向采购人、采购代理机构提出质疑。</w:t>
      </w:r>
    </w:p>
    <w:p w14:paraId="5B44CF36">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37.成交通知</w:t>
      </w:r>
    </w:p>
    <w:p w14:paraId="27C63A8D">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37.1成交供应商确定后，采购人或采购代理机构将以书面形式向成交供应商发出成交通知书。成交通知书对采购人和成交供应商具有同等法律效力。</w:t>
      </w:r>
    </w:p>
    <w:p w14:paraId="13CDE8E3">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37.2 成交通知书是合同文件的组成部分。</w:t>
      </w:r>
    </w:p>
    <w:p w14:paraId="7C28EEA9">
      <w:pPr>
        <w:tabs>
          <w:tab w:val="left" w:pos="7560"/>
          <w:tab w:val="left" w:pos="7740"/>
          <w:tab w:val="left" w:pos="7920"/>
        </w:tabs>
        <w:autoSpaceDN w:val="0"/>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37.3 成交供应商在收到采购代理机构的成交通知书后10日内，应按照</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的规定，向采购人提交履约担保。联合体成交的，履约担保由联合体各方或联合体中牵头人的名义提交。</w:t>
      </w:r>
    </w:p>
    <w:p w14:paraId="29CE7056">
      <w:pPr>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37.4 成交供应商没有按照本章第37.3款规定提交履约担保的，视为放弃成交资格，其保证金不予退还。</w:t>
      </w:r>
    </w:p>
    <w:p w14:paraId="5028CC30">
      <w:pPr>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38.签订合同</w:t>
      </w:r>
    </w:p>
    <w:p w14:paraId="10DCEE83">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38.1磋商文件、成交供应商的响应文件及其补充的响应文件等均为签订政府采购合同的依据。</w:t>
      </w:r>
    </w:p>
    <w:p w14:paraId="72BBD7C3">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38.2成交供应商应当在成交通知书发出之日起30日内与采购人签订政府采购合同。</w:t>
      </w:r>
    </w:p>
    <w:p w14:paraId="237FB5B2">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38.3成交供应商应当按照合同约定履行义务。成交供应商不得向他人转让成交项目，也不得将成交项目分包后分别向他人转让。</w:t>
      </w:r>
    </w:p>
    <w:p w14:paraId="53B1ED9B">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38.4成交供应商有下列情形之一的，责令限期改正，情节严重的，列入不良行为记录名单，在1至3年内禁止参加政府采购活动，并予以通报：</w:t>
      </w:r>
    </w:p>
    <w:p w14:paraId="74FE8052">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（一）成交后无正当理由不与采购人签订合同的；</w:t>
      </w:r>
    </w:p>
    <w:p w14:paraId="63EF88AA">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（二）未按照采购文件确定的事项签订政府采购合同，或者与采购人另行订立背离合同实质性内容的协议的；</w:t>
      </w:r>
    </w:p>
    <w:p w14:paraId="7CB706C7">
      <w:pPr>
        <w:pStyle w:val="11"/>
        <w:adjustRightInd w:val="0"/>
        <w:snapToGrid w:val="0"/>
        <w:spacing w:before="156" w:beforeLines="50" w:line="400" w:lineRule="exact"/>
        <w:ind w:firstLine="420" w:firstLineChars="200"/>
        <w:rPr>
          <w:rFonts w:hAnsi="宋体"/>
          <w:color w:val="auto"/>
          <w:highlight w:val="none"/>
        </w:rPr>
      </w:pPr>
      <w:r>
        <w:rPr>
          <w:rFonts w:hint="eastAsia" w:hAnsi="宋体"/>
          <w:color w:val="auto"/>
          <w:highlight w:val="none"/>
        </w:rPr>
        <w:t>（三）拒绝履行合同义务的；</w:t>
      </w:r>
    </w:p>
    <w:p w14:paraId="09000361">
      <w:pPr>
        <w:pStyle w:val="11"/>
        <w:adjustRightInd w:val="0"/>
        <w:snapToGrid w:val="0"/>
        <w:spacing w:before="156" w:beforeLines="50" w:line="400" w:lineRule="exact"/>
        <w:ind w:firstLine="420" w:firstLineChars="200"/>
        <w:rPr>
          <w:rFonts w:hAnsi="宋体" w:cs="宋体"/>
          <w:color w:val="auto"/>
          <w:kern w:val="0"/>
          <w:highlight w:val="none"/>
        </w:rPr>
      </w:pPr>
      <w:r>
        <w:rPr>
          <w:rFonts w:hint="eastAsia" w:hAnsi="宋体"/>
          <w:color w:val="auto"/>
          <w:highlight w:val="none"/>
        </w:rPr>
        <w:t>（四）</w:t>
      </w:r>
      <w:r>
        <w:rPr>
          <w:rFonts w:hint="eastAsia" w:hAnsi="宋体" w:cs="宋体"/>
          <w:color w:val="auto"/>
          <w:kern w:val="0"/>
          <w:highlight w:val="none"/>
        </w:rPr>
        <w:t>违反法律、规章、规范性文件规定的。</w:t>
      </w:r>
    </w:p>
    <w:p w14:paraId="0C39A01B">
      <w:pPr>
        <w:snapToGrid w:val="0"/>
        <w:spacing w:line="400" w:lineRule="exact"/>
        <w:ind w:firstLine="2650" w:firstLineChars="1100"/>
        <w:jc w:val="left"/>
        <w:rPr>
          <w:rFonts w:ascii="新宋体" w:hAnsi="新宋体" w:eastAsia="新宋体" w:cs="新宋体"/>
          <w:b/>
          <w:color w:val="auto"/>
          <w:sz w:val="24"/>
          <w:szCs w:val="32"/>
          <w:highlight w:val="none"/>
        </w:rPr>
      </w:pPr>
    </w:p>
    <w:p w14:paraId="4F63E720">
      <w:pPr>
        <w:pStyle w:val="7"/>
        <w:spacing w:before="0" w:after="0" w:line="400" w:lineRule="exact"/>
        <w:jc w:val="center"/>
        <w:rPr>
          <w:rFonts w:ascii="黑体" w:hAnsi="黑体" w:eastAsia="黑体" w:cs="新宋体"/>
          <w:b w:val="0"/>
          <w:bCs w:val="0"/>
          <w:color w:val="auto"/>
          <w:sz w:val="28"/>
          <w:szCs w:val="28"/>
          <w:highlight w:val="none"/>
        </w:rPr>
      </w:pPr>
      <w:bookmarkStart w:id="44" w:name="_Toc26497"/>
      <w:r>
        <w:rPr>
          <w:rFonts w:hint="eastAsia" w:ascii="黑体" w:hAnsi="黑体" w:eastAsia="黑体" w:cs="新宋体"/>
          <w:b w:val="0"/>
          <w:bCs w:val="0"/>
          <w:color w:val="auto"/>
          <w:sz w:val="28"/>
          <w:szCs w:val="28"/>
          <w:highlight w:val="none"/>
        </w:rPr>
        <w:t>七、 政府采购政策支持</w:t>
      </w:r>
      <w:bookmarkEnd w:id="44"/>
    </w:p>
    <w:p w14:paraId="05D7BB7A">
      <w:pPr>
        <w:adjustRightInd w:val="0"/>
        <w:snapToGrid w:val="0"/>
        <w:spacing w:before="156" w:beforeLines="50" w:line="400" w:lineRule="exact"/>
        <w:ind w:firstLine="420" w:firstLineChars="200"/>
        <w:jc w:val="left"/>
        <w:rPr>
          <w:rFonts w:ascii="新宋体" w:hAnsi="新宋体" w:eastAsia="新宋体" w:cs="新宋体"/>
          <w:color w:val="auto"/>
          <w:kern w:val="0"/>
          <w:highlight w:val="none"/>
        </w:rPr>
      </w:pPr>
      <w:r>
        <w:rPr>
          <w:rFonts w:hint="eastAsia" w:ascii="新宋体" w:hAnsi="新宋体" w:eastAsia="新宋体" w:cs="新宋体"/>
          <w:color w:val="auto"/>
          <w:kern w:val="0"/>
          <w:highlight w:val="none"/>
        </w:rPr>
        <w:t>39.1优先采购：</w:t>
      </w:r>
    </w:p>
    <w:p w14:paraId="70147F60">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（1）</w:t>
      </w:r>
      <w:r>
        <w:rPr>
          <w:rFonts w:hint="eastAsia" w:ascii="新宋体" w:hAnsi="新宋体" w:eastAsia="新宋体" w:cs="新宋体"/>
          <w:color w:val="auto"/>
          <w:szCs w:val="21"/>
          <w:highlight w:val="none"/>
        </w:rPr>
        <w:t>纳入财政部会同国务院有关部门发布的节能产品、环境标志产品政府采购品目清单，实施政府优先采购的，评审时按磋商文件有关规定给予一定比例的价格折扣或者加分；</w:t>
      </w:r>
      <w:r>
        <w:rPr>
          <w:rFonts w:hint="eastAsia" w:ascii="新宋体" w:hAnsi="新宋体" w:eastAsia="新宋体" w:cs="新宋体"/>
          <w:color w:val="auto"/>
          <w:highlight w:val="none"/>
        </w:rPr>
        <w:t xml:space="preserve"> </w:t>
      </w:r>
    </w:p>
    <w:p w14:paraId="6B0D2B02">
      <w:pPr>
        <w:adjustRightInd w:val="0"/>
        <w:snapToGrid w:val="0"/>
        <w:spacing w:before="156" w:beforeLines="50" w:line="400" w:lineRule="exact"/>
        <w:ind w:firstLine="420" w:firstLineChars="200"/>
        <w:jc w:val="left"/>
        <w:rPr>
          <w:rFonts w:ascii="新宋体" w:hAnsi="新宋体" w:eastAsia="新宋体" w:cs="新宋体"/>
          <w:color w:val="auto"/>
          <w:kern w:val="0"/>
          <w:highlight w:val="none"/>
        </w:rPr>
      </w:pPr>
      <w:r>
        <w:rPr>
          <w:rFonts w:hint="eastAsia" w:ascii="新宋体" w:hAnsi="新宋体" w:eastAsia="新宋体" w:cs="新宋体"/>
          <w:color w:val="auto"/>
          <w:kern w:val="0"/>
          <w:highlight w:val="none"/>
        </w:rPr>
        <w:t>39.2强制采购：</w:t>
      </w:r>
    </w:p>
    <w:p w14:paraId="0EF867C7">
      <w:pPr>
        <w:adjustRightInd w:val="0"/>
        <w:snapToGrid w:val="0"/>
        <w:spacing w:before="156" w:beforeLines="50" w:line="400" w:lineRule="exact"/>
        <w:ind w:firstLine="420" w:firstLineChars="200"/>
        <w:jc w:val="left"/>
        <w:rPr>
          <w:rFonts w:ascii="新宋体" w:hAnsi="新宋体" w:eastAsia="新宋体" w:cs="新宋体"/>
          <w:color w:val="auto"/>
          <w:kern w:val="0"/>
          <w:highlight w:val="none"/>
        </w:rPr>
      </w:pPr>
      <w:r>
        <w:rPr>
          <w:rFonts w:hint="eastAsia" w:ascii="新宋体" w:hAnsi="新宋体" w:eastAsia="新宋体" w:cs="新宋体"/>
          <w:color w:val="auto"/>
          <w:kern w:val="0"/>
          <w:highlight w:val="none"/>
        </w:rPr>
        <w:t>（1）纳入财政部会同国务院有关部门发布的节能产品政府采购品目清单，实施政府强制采购的（品目清单标注</w:t>
      </w:r>
      <w:r>
        <w:rPr>
          <w:rFonts w:hint="eastAsia" w:ascii="新宋体" w:hAnsi="新宋体" w:eastAsia="新宋体" w:cs="新宋体"/>
          <w:color w:val="auto"/>
          <w:kern w:val="0"/>
          <w:highlight w:val="none"/>
        </w:rPr>
        <w:sym w:font="Wingdings" w:char="F0AB"/>
      </w:r>
      <w:r>
        <w:rPr>
          <w:rFonts w:hint="eastAsia" w:ascii="新宋体" w:hAnsi="新宋体" w:eastAsia="新宋体" w:cs="新宋体"/>
          <w:color w:val="auto"/>
          <w:kern w:val="0"/>
          <w:highlight w:val="none"/>
        </w:rPr>
        <w:t>符号产品），供应商投标产品应当取得国家确定的认证机构出具的、处于有效期之内的节能产品认证证书，否则其</w:t>
      </w:r>
      <w:r>
        <w:rPr>
          <w:rFonts w:hint="eastAsia" w:ascii="新宋体" w:hAnsi="新宋体" w:eastAsia="新宋体" w:cs="新宋体"/>
          <w:b/>
          <w:color w:val="auto"/>
          <w:kern w:val="0"/>
          <w:szCs w:val="21"/>
          <w:highlight w:val="none"/>
        </w:rPr>
        <w:t>投标无效</w:t>
      </w:r>
      <w:r>
        <w:rPr>
          <w:rFonts w:hint="eastAsia" w:ascii="新宋体" w:hAnsi="新宋体" w:eastAsia="新宋体" w:cs="新宋体"/>
          <w:color w:val="auto"/>
          <w:kern w:val="0"/>
          <w:highlight w:val="none"/>
        </w:rPr>
        <w:t>。</w:t>
      </w:r>
    </w:p>
    <w:p w14:paraId="7CE31397">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39.3价格评审优惠：</w:t>
      </w:r>
    </w:p>
    <w:p w14:paraId="673E3A25">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（1）供应商为小型、微型企业，且提供本企业生产的货物或者提供其他小型、微型企业生产的货物，投标价格按磋商</w:t>
      </w:r>
      <w:r>
        <w:rPr>
          <w:rFonts w:hint="eastAsia" w:ascii="新宋体" w:hAnsi="新宋体" w:eastAsia="新宋体" w:cs="新宋体"/>
          <w:color w:val="auto"/>
          <w:szCs w:val="21"/>
          <w:highlight w:val="none"/>
        </w:rPr>
        <w:t>文件有关规定</w:t>
      </w:r>
      <w:r>
        <w:rPr>
          <w:rFonts w:hint="eastAsia" w:ascii="新宋体" w:hAnsi="新宋体" w:eastAsia="新宋体" w:cs="新宋体"/>
          <w:color w:val="auto"/>
          <w:highlight w:val="none"/>
        </w:rPr>
        <w:t>给予一定比例的价格折扣，用扣除后的价格参与评审。本项所称货物不包括使用大型企业注册商标的货物；</w:t>
      </w:r>
    </w:p>
    <w:p w14:paraId="69FDE25C">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（2）小型、微型企业参加联合体投标并在联合体协议中明确其在合同金额占联合体合同总金额 30%以上的，该联合体投标价格按磋商</w:t>
      </w:r>
      <w:r>
        <w:rPr>
          <w:rFonts w:hint="eastAsia" w:ascii="新宋体" w:hAnsi="新宋体" w:eastAsia="新宋体" w:cs="新宋体"/>
          <w:color w:val="auto"/>
          <w:szCs w:val="21"/>
          <w:highlight w:val="none"/>
        </w:rPr>
        <w:t>文件有关规定</w:t>
      </w:r>
      <w:r>
        <w:rPr>
          <w:rFonts w:hint="eastAsia" w:ascii="新宋体" w:hAnsi="新宋体" w:eastAsia="新宋体" w:cs="新宋体"/>
          <w:color w:val="auto"/>
          <w:highlight w:val="none"/>
        </w:rPr>
        <w:t>给予一定比例的价格折扣，用扣除后的价格参与评审。联合体各方均为小型、微型企业的，联合体视同为小型、微型企业；</w:t>
      </w:r>
    </w:p>
    <w:p w14:paraId="5E92194B">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（3）监狱企业、残</w:t>
      </w:r>
      <w:r>
        <w:rPr>
          <w:rFonts w:hint="eastAsia" w:ascii="新宋体" w:hAnsi="新宋体" w:eastAsia="新宋体" w:cs="新宋体"/>
          <w:color w:val="auto"/>
          <w:szCs w:val="21"/>
          <w:highlight w:val="none"/>
        </w:rPr>
        <w:t>疾人福利性单位视同小型、微型企业，享受评审中价格扣除等促进中小企业发展的政府采购政策。</w:t>
      </w:r>
    </w:p>
    <w:p w14:paraId="33E0EFD3">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39.4政府采购政策交叉与叠加</w:t>
      </w:r>
    </w:p>
    <w:p w14:paraId="6D37FA65">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（1）投标产品取得两个及以上优先采购产品认证的，评审时只有其中一项产品能享受优先采购优惠（供应商自行选择，并在响应文件中并填报相关信息及数据）</w:t>
      </w:r>
    </w:p>
    <w:p w14:paraId="319FBAB2">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（2）供应商同时符合小型、微型企业及监狱企业、残疾人福利性单位要求的，评审时只有一种类型享受价格评审优惠政策；</w:t>
      </w:r>
    </w:p>
    <w:p w14:paraId="2F97DE4E">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（3）小型和微型企业的价格评审优惠可以与同时属于“节能产品”、“环境标志产品”中的一项优先采购优惠累加计算。</w:t>
      </w:r>
    </w:p>
    <w:p w14:paraId="0294B144">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39.5小型、微型企业的供应商提供部分小型、微型企业制造的产品，以及部分投标产品属于优先采购的，评审时只对该部分产品的报价实行价格扣除及加分。供应商应按本章第39.6款规定提供相关证明资料（包括提供相关报价）。</w:t>
      </w:r>
    </w:p>
    <w:p w14:paraId="29C28D07">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39.6供应商符合本章第39.1款、第39.2款、第39.3款规定的，应提供相关证明资料。</w:t>
      </w:r>
    </w:p>
    <w:p w14:paraId="5680B130">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（1）节能产品、环境标志产品：提供国家确定的认证机构出具的、处于有效期之内的节能产品、环境标志产品认证证书（复印件）。</w:t>
      </w:r>
    </w:p>
    <w:p w14:paraId="1700EC46">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（2）中小企业：按《关于印发＜政府采购促进中小企业发展暂行办法＞的通知》</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财库[2011]181号</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规定，供应商提供《小型、微型企业声明函》（格式）。</w:t>
      </w:r>
    </w:p>
    <w:p w14:paraId="3CCA454D">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（3）监狱企业：按《关于政府采购支持监狱企业发展有关问题的通知》</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财库〔2014〕68号</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文件规定提供证明文件（复印件）。</w:t>
      </w:r>
    </w:p>
    <w:p w14:paraId="22F931D3">
      <w:pPr>
        <w:adjustRightInd w:val="0"/>
        <w:snapToGrid w:val="0"/>
        <w:spacing w:before="156" w:beforeLines="50" w:line="400" w:lineRule="exact"/>
        <w:ind w:firstLine="420" w:firstLineChars="200"/>
        <w:jc w:val="left"/>
        <w:rPr>
          <w:rFonts w:ascii="新宋体" w:hAnsi="新宋体" w:eastAsia="新宋体" w:cs="新宋体"/>
          <w:color w:val="auto"/>
          <w:highlight w:val="none"/>
        </w:rPr>
      </w:pPr>
      <w:r>
        <w:rPr>
          <w:rFonts w:hint="eastAsia" w:ascii="新宋体" w:hAnsi="新宋体" w:eastAsia="新宋体" w:cs="新宋体"/>
          <w:color w:val="auto"/>
          <w:highlight w:val="none"/>
        </w:rPr>
        <w:t>（4）残疾人福利性单位：按《关于促进残疾人就业政府采购政策的通知》</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财库〔2017〕141号</w:t>
      </w:r>
      <w:r>
        <w:rPr>
          <w:rFonts w:hint="eastAsia" w:ascii="新宋体" w:hAnsi="新宋体" w:eastAsia="新宋体" w:cs="新宋体"/>
          <w:color w:val="auto"/>
          <w:highlight w:val="none"/>
          <w:lang w:eastAsia="zh-CN"/>
        </w:rPr>
        <w:t>）</w:t>
      </w:r>
      <w:r>
        <w:rPr>
          <w:rFonts w:hint="eastAsia" w:ascii="新宋体" w:hAnsi="新宋体" w:eastAsia="新宋体" w:cs="新宋体"/>
          <w:color w:val="auto"/>
          <w:highlight w:val="none"/>
        </w:rPr>
        <w:t>文件规定提供《残疾人福利性单位声明函》（格式）。</w:t>
      </w:r>
    </w:p>
    <w:p w14:paraId="23936332">
      <w:pPr>
        <w:adjustRightInd w:val="0"/>
        <w:snapToGrid w:val="0"/>
        <w:spacing w:before="156" w:beforeLines="50" w:line="400" w:lineRule="exact"/>
        <w:ind w:firstLine="420" w:firstLineChars="200"/>
        <w:jc w:val="left"/>
        <w:rPr>
          <w:rFonts w:ascii="新宋体" w:hAnsi="新宋体" w:eastAsia="新宋体" w:cs="新宋体"/>
          <w:color w:val="auto"/>
          <w:sz w:val="28"/>
          <w:szCs w:val="28"/>
          <w:highlight w:val="none"/>
        </w:rPr>
      </w:pPr>
      <w:r>
        <w:rPr>
          <w:rFonts w:hint="eastAsia" w:ascii="新宋体" w:hAnsi="新宋体" w:eastAsia="新宋体" w:cs="新宋体"/>
          <w:color w:val="auto"/>
          <w:highlight w:val="none"/>
        </w:rPr>
        <w:t>39.7供应商有融资、担保需求的，可登陆中国湖南政府采购网查询相关银行、担保机构业务。</w:t>
      </w:r>
    </w:p>
    <w:p w14:paraId="5C4514BB">
      <w:pPr>
        <w:snapToGrid w:val="0"/>
        <w:spacing w:line="400" w:lineRule="exact"/>
        <w:rPr>
          <w:rFonts w:ascii="新宋体" w:hAnsi="新宋体" w:eastAsia="新宋体" w:cs="新宋体"/>
          <w:color w:val="auto"/>
          <w:sz w:val="24"/>
          <w:highlight w:val="none"/>
        </w:rPr>
      </w:pPr>
    </w:p>
    <w:p w14:paraId="48C1D889">
      <w:pPr>
        <w:pStyle w:val="7"/>
        <w:spacing w:before="0" w:after="0" w:line="400" w:lineRule="exact"/>
        <w:jc w:val="center"/>
        <w:rPr>
          <w:rFonts w:ascii="黑体" w:hAnsi="黑体" w:eastAsia="黑体" w:cs="新宋体"/>
          <w:b w:val="0"/>
          <w:bCs w:val="0"/>
          <w:color w:val="auto"/>
          <w:sz w:val="28"/>
          <w:szCs w:val="28"/>
          <w:highlight w:val="none"/>
        </w:rPr>
      </w:pPr>
      <w:bookmarkStart w:id="45" w:name="_Toc23725"/>
      <w:r>
        <w:rPr>
          <w:rFonts w:hint="eastAsia" w:ascii="黑体" w:hAnsi="黑体" w:eastAsia="黑体" w:cs="新宋体"/>
          <w:b w:val="0"/>
          <w:bCs w:val="0"/>
          <w:color w:val="auto"/>
          <w:sz w:val="28"/>
          <w:szCs w:val="28"/>
          <w:highlight w:val="none"/>
        </w:rPr>
        <w:t>八、其他规定</w:t>
      </w:r>
      <w:bookmarkEnd w:id="45"/>
    </w:p>
    <w:p w14:paraId="7718EEC8">
      <w:pPr>
        <w:snapToGrid w:val="0"/>
        <w:spacing w:line="400" w:lineRule="exact"/>
        <w:jc w:val="left"/>
        <w:rPr>
          <w:rFonts w:ascii="新宋体" w:hAnsi="新宋体" w:eastAsia="新宋体" w:cs="新宋体"/>
          <w:b/>
          <w:color w:val="auto"/>
          <w:highlight w:val="none"/>
        </w:rPr>
      </w:pPr>
      <w:r>
        <w:rPr>
          <w:rFonts w:hint="eastAsia" w:ascii="新宋体" w:hAnsi="新宋体" w:eastAsia="新宋体" w:cs="新宋体"/>
          <w:b/>
          <w:color w:val="auto"/>
          <w:highlight w:val="none"/>
        </w:rPr>
        <w:t>40.采购代理服务费</w:t>
      </w:r>
    </w:p>
    <w:p w14:paraId="3C8F686E">
      <w:pPr>
        <w:tabs>
          <w:tab w:val="left" w:pos="420"/>
          <w:tab w:val="left" w:pos="7560"/>
          <w:tab w:val="left" w:pos="7740"/>
          <w:tab w:val="left" w:pos="7920"/>
        </w:tabs>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40.1采购代理机构应按</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规定收取采购代理服务费。</w:t>
      </w:r>
    </w:p>
    <w:p w14:paraId="77550B8C">
      <w:pPr>
        <w:tabs>
          <w:tab w:val="left" w:pos="420"/>
          <w:tab w:val="left" w:pos="7560"/>
          <w:tab w:val="left" w:pos="7740"/>
          <w:tab w:val="left" w:pos="7920"/>
        </w:tabs>
        <w:snapToGrid w:val="0"/>
        <w:spacing w:line="400" w:lineRule="exact"/>
        <w:rPr>
          <w:rFonts w:ascii="新宋体" w:hAnsi="新宋体" w:eastAsia="新宋体" w:cs="新宋体"/>
          <w:b/>
          <w:color w:val="auto"/>
          <w:highlight w:val="none"/>
        </w:rPr>
      </w:pPr>
      <w:r>
        <w:rPr>
          <w:rFonts w:hint="eastAsia" w:ascii="新宋体" w:hAnsi="新宋体" w:eastAsia="新宋体" w:cs="新宋体"/>
          <w:b/>
          <w:color w:val="auto"/>
          <w:highlight w:val="none"/>
        </w:rPr>
        <w:t>41.其他规定</w:t>
      </w:r>
    </w:p>
    <w:p w14:paraId="68DA3023">
      <w:pPr>
        <w:tabs>
          <w:tab w:val="left" w:pos="420"/>
          <w:tab w:val="left" w:pos="7560"/>
          <w:tab w:val="left" w:pos="7740"/>
          <w:tab w:val="left" w:pos="7920"/>
        </w:tabs>
        <w:snapToGrid w:val="0"/>
        <w:spacing w:line="400" w:lineRule="exact"/>
        <w:ind w:firstLine="420"/>
        <w:rPr>
          <w:rFonts w:ascii="新宋体" w:hAnsi="新宋体" w:eastAsia="新宋体" w:cs="新宋体"/>
          <w:color w:val="auto"/>
          <w:highlight w:val="none"/>
        </w:rPr>
      </w:pPr>
      <w:r>
        <w:rPr>
          <w:rFonts w:hint="eastAsia" w:ascii="新宋体" w:hAnsi="新宋体" w:eastAsia="新宋体" w:cs="新宋体"/>
          <w:color w:val="auto"/>
          <w:highlight w:val="none"/>
        </w:rPr>
        <w:t>41.1磋商文件的其他规定见</w:t>
      </w:r>
      <w:r>
        <w:rPr>
          <w:rFonts w:hint="eastAsia" w:ascii="新宋体" w:hAnsi="新宋体" w:eastAsia="新宋体" w:cs="新宋体"/>
          <w:b/>
          <w:color w:val="auto"/>
          <w:highlight w:val="none"/>
        </w:rPr>
        <w:t>【磋商须知前附表】</w:t>
      </w:r>
      <w:r>
        <w:rPr>
          <w:rFonts w:hint="eastAsia" w:ascii="新宋体" w:hAnsi="新宋体" w:eastAsia="新宋体" w:cs="新宋体"/>
          <w:color w:val="auto"/>
          <w:highlight w:val="none"/>
        </w:rPr>
        <w:t>。</w:t>
      </w:r>
      <w:r>
        <w:rPr>
          <w:color w:val="auto"/>
          <w:highlight w:val="none"/>
        </w:rPr>
        <w:br w:type="page"/>
      </w:r>
    </w:p>
    <w:p w14:paraId="254C0657">
      <w:pPr>
        <w:pStyle w:val="4"/>
        <w:rPr>
          <w:rFonts w:ascii="黑体" w:hAnsi="黑体" w:eastAsia="黑体"/>
          <w:color w:val="auto"/>
          <w:sz w:val="32"/>
          <w:szCs w:val="28"/>
          <w:highlight w:val="none"/>
        </w:rPr>
      </w:pPr>
      <w:bookmarkStart w:id="46" w:name="_Toc23222"/>
      <w:bookmarkStart w:id="47" w:name="_Toc34637777"/>
      <w:r>
        <w:rPr>
          <w:rFonts w:hint="eastAsia" w:ascii="黑体" w:hAnsi="黑体" w:eastAsia="黑体"/>
          <w:color w:val="auto"/>
          <w:sz w:val="32"/>
          <w:szCs w:val="28"/>
          <w:highlight w:val="none"/>
        </w:rPr>
        <w:t>第三章 采购需求</w:t>
      </w:r>
      <w:bookmarkEnd w:id="46"/>
    </w:p>
    <w:bookmarkEnd w:id="47"/>
    <w:p w14:paraId="14152BD5">
      <w:pPr>
        <w:keepNext w:val="0"/>
        <w:keepLines w:val="0"/>
        <w:pageBreakBefore w:val="0"/>
        <w:widowControl/>
        <w:kinsoku w:val="0"/>
        <w:wordWrap/>
        <w:overflowPunct/>
        <w:topLinePunct w:val="0"/>
        <w:autoSpaceDE w:val="0"/>
        <w:autoSpaceDN w:val="0"/>
        <w:bidi w:val="0"/>
        <w:adjustRightInd w:val="0"/>
        <w:snapToGrid w:val="0"/>
        <w:spacing w:line="480" w:lineRule="exact"/>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一、项目概况</w:t>
      </w:r>
    </w:p>
    <w:p w14:paraId="07053765">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480" w:firstLineChars="200"/>
        <w:jc w:val="left"/>
        <w:textAlignment w:val="baseline"/>
        <w:rPr>
          <w:rFonts w:hint="default" w:ascii="宋体" w:hAnsi="宋体" w:eastAsia="宋体" w:cs="宋体"/>
          <w:snapToGrid w:val="0"/>
          <w:color w:val="auto"/>
          <w:spacing w:val="0"/>
          <w:kern w:val="0"/>
          <w:position w:val="0"/>
          <w:sz w:val="24"/>
          <w:szCs w:val="24"/>
          <w:lang w:val="en-US" w:eastAsia="zh-CN" w:bidi="ar-SA"/>
        </w:rPr>
      </w:pPr>
      <w:r>
        <w:rPr>
          <w:rFonts w:hint="eastAsia" w:ascii="宋体" w:hAnsi="宋体" w:eastAsia="宋体" w:cs="宋体"/>
          <w:snapToGrid w:val="0"/>
          <w:color w:val="auto"/>
          <w:spacing w:val="0"/>
          <w:kern w:val="0"/>
          <w:position w:val="0"/>
          <w:sz w:val="24"/>
          <w:szCs w:val="24"/>
          <w:lang w:val="en-US" w:eastAsia="zh-CN" w:bidi="ar-SA"/>
        </w:rPr>
        <w:t>张家界市原警卫处综合楼维修改造项目装修改造面积约933.4平方米，主要对室内功能布局、室内装饰装修、外墙、给排水系统、采暖系统、强弱电系统、天然气管道等进行维修改造，加装电梯，同时对原有建筑进行加固等。</w:t>
      </w:r>
    </w:p>
    <w:p w14:paraId="7EB6BAE3">
      <w:pPr>
        <w:keepNext w:val="0"/>
        <w:keepLines w:val="0"/>
        <w:pageBreakBefore w:val="0"/>
        <w:widowControl/>
        <w:kinsoku w:val="0"/>
        <w:wordWrap/>
        <w:overflowPunct/>
        <w:topLinePunct w:val="0"/>
        <w:autoSpaceDE w:val="0"/>
        <w:autoSpaceDN w:val="0"/>
        <w:bidi w:val="0"/>
        <w:adjustRightInd w:val="0"/>
        <w:snapToGrid w:val="0"/>
        <w:spacing w:line="480" w:lineRule="exact"/>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二</w:t>
      </w:r>
      <w:r>
        <w:rPr>
          <w:rFonts w:hint="eastAsia" w:ascii="宋体" w:hAnsi="宋体" w:eastAsia="宋体" w:cs="宋体"/>
          <w:b/>
          <w:bCs/>
          <w:snapToGrid w:val="0"/>
          <w:color w:val="auto"/>
          <w:spacing w:val="0"/>
          <w:kern w:val="0"/>
          <w:position w:val="0"/>
          <w:sz w:val="24"/>
          <w:szCs w:val="24"/>
          <w:lang w:val="en-US" w:eastAsia="en-US" w:bidi="ar-SA"/>
        </w:rPr>
        <w:t>、具体工作内容及要求</w:t>
      </w:r>
    </w:p>
    <w:p w14:paraId="7F960D59">
      <w:pPr>
        <w:keepNext w:val="0"/>
        <w:keepLines w:val="0"/>
        <w:pageBreakBefore w:val="0"/>
        <w:widowControl/>
        <w:kinsoku w:val="0"/>
        <w:wordWrap/>
        <w:overflowPunct/>
        <w:topLinePunct w:val="0"/>
        <w:autoSpaceDE w:val="0"/>
        <w:autoSpaceDN w:val="0"/>
        <w:bidi w:val="0"/>
        <w:adjustRightInd w:val="0"/>
        <w:snapToGrid w:val="0"/>
        <w:spacing w:line="480" w:lineRule="exact"/>
        <w:ind w:left="483"/>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工程为</w:t>
      </w:r>
      <w:r>
        <w:rPr>
          <w:rFonts w:hint="eastAsia" w:ascii="宋体" w:hAnsi="宋体" w:eastAsia="宋体" w:cs="宋体"/>
          <w:snapToGrid w:val="0"/>
          <w:color w:val="auto"/>
          <w:spacing w:val="0"/>
          <w:kern w:val="0"/>
          <w:position w:val="0"/>
          <w:sz w:val="24"/>
          <w:szCs w:val="24"/>
          <w:lang w:val="en-US" w:eastAsia="zh-CN" w:bidi="ar-SA"/>
        </w:rPr>
        <w:t>张家界市原警卫处综合楼维修改造项目</w:t>
      </w:r>
      <w:r>
        <w:rPr>
          <w:rFonts w:hint="eastAsia" w:ascii="宋体" w:hAnsi="宋体" w:eastAsia="宋体" w:cs="宋体"/>
          <w:snapToGrid w:val="0"/>
          <w:color w:val="auto"/>
          <w:spacing w:val="0"/>
          <w:kern w:val="0"/>
          <w:position w:val="0"/>
          <w:sz w:val="24"/>
          <w:szCs w:val="24"/>
          <w:lang w:val="en-US" w:eastAsia="en-US" w:bidi="ar-SA"/>
        </w:rPr>
        <w:t>，详见工程量清单。</w:t>
      </w:r>
    </w:p>
    <w:p w14:paraId="2A5A37BC">
      <w:pPr>
        <w:keepNext w:val="0"/>
        <w:keepLines w:val="0"/>
        <w:pageBreakBefore w:val="0"/>
        <w:widowControl/>
        <w:kinsoku w:val="0"/>
        <w:wordWrap/>
        <w:overflowPunct/>
        <w:topLinePunct w:val="0"/>
        <w:autoSpaceDE w:val="0"/>
        <w:autoSpaceDN w:val="0"/>
        <w:bidi w:val="0"/>
        <w:adjustRightInd w:val="0"/>
        <w:snapToGrid w:val="0"/>
        <w:spacing w:line="480" w:lineRule="exact"/>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三</w:t>
      </w:r>
      <w:r>
        <w:rPr>
          <w:rFonts w:hint="eastAsia" w:ascii="宋体" w:hAnsi="宋体" w:eastAsia="宋体" w:cs="宋体"/>
          <w:b/>
          <w:bCs/>
          <w:snapToGrid w:val="0"/>
          <w:color w:val="auto"/>
          <w:spacing w:val="0"/>
          <w:kern w:val="0"/>
          <w:position w:val="0"/>
          <w:sz w:val="24"/>
          <w:szCs w:val="24"/>
          <w:lang w:val="en-US" w:eastAsia="en-US" w:bidi="ar-SA"/>
        </w:rPr>
        <w:t>、工期、质量要求、付款及验收要求</w:t>
      </w:r>
    </w:p>
    <w:p w14:paraId="3EBB66AE">
      <w:pPr>
        <w:keepNext w:val="0"/>
        <w:keepLines w:val="0"/>
        <w:pageBreakBefore w:val="0"/>
        <w:widowControl/>
        <w:kinsoku w:val="0"/>
        <w:wordWrap/>
        <w:overflowPunct/>
        <w:topLinePunct w:val="0"/>
        <w:autoSpaceDE w:val="0"/>
        <w:autoSpaceDN w:val="0"/>
        <w:bidi w:val="0"/>
        <w:adjustRightInd w:val="0"/>
        <w:snapToGrid w:val="0"/>
        <w:spacing w:line="480" w:lineRule="exact"/>
        <w:ind w:left="498"/>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1、工期：90 日历天（以签订合同为准）</w:t>
      </w:r>
    </w:p>
    <w:p w14:paraId="19E8C482">
      <w:pPr>
        <w:keepNext w:val="0"/>
        <w:keepLines w:val="0"/>
        <w:pageBreakBefore w:val="0"/>
        <w:widowControl/>
        <w:kinsoku w:val="0"/>
        <w:wordWrap/>
        <w:overflowPunct/>
        <w:topLinePunct w:val="0"/>
        <w:autoSpaceDE w:val="0"/>
        <w:autoSpaceDN w:val="0"/>
        <w:bidi w:val="0"/>
        <w:adjustRightInd w:val="0"/>
        <w:snapToGrid w:val="0"/>
        <w:spacing w:line="480" w:lineRule="exact"/>
        <w:ind w:left="1" w:right="61" w:firstLine="481"/>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2、质量要求：符合国家现行相关工程施工质量验收规范、设计图纸及合同约定要求，</w:t>
      </w:r>
      <w:r>
        <w:rPr>
          <w:rFonts w:hint="eastAsia" w:ascii="宋体" w:hAnsi="宋体" w:eastAsia="宋体" w:cs="宋体"/>
          <w:b/>
          <w:bCs/>
          <w:snapToGrid w:val="0"/>
          <w:color w:val="auto"/>
          <w:spacing w:val="0"/>
          <w:kern w:val="0"/>
          <w:position w:val="0"/>
          <w:sz w:val="24"/>
          <w:szCs w:val="24"/>
          <w:lang w:val="en-US" w:eastAsia="en-US" w:bidi="ar-SA"/>
        </w:rPr>
        <w:t>工程质量等级为合格</w:t>
      </w:r>
      <w:r>
        <w:rPr>
          <w:rFonts w:hint="eastAsia" w:ascii="宋体" w:hAnsi="宋体" w:eastAsia="宋体" w:cs="宋体"/>
          <w:snapToGrid w:val="0"/>
          <w:color w:val="auto"/>
          <w:spacing w:val="0"/>
          <w:kern w:val="0"/>
          <w:position w:val="0"/>
          <w:sz w:val="24"/>
          <w:szCs w:val="24"/>
          <w:lang w:val="en-US" w:eastAsia="en-US" w:bidi="ar-SA"/>
        </w:rPr>
        <w:t>。</w:t>
      </w:r>
    </w:p>
    <w:p w14:paraId="7BF10AD3">
      <w:pPr>
        <w:keepNext w:val="0"/>
        <w:keepLines w:val="0"/>
        <w:pageBreakBefore w:val="0"/>
        <w:widowControl/>
        <w:kinsoku w:val="0"/>
        <w:wordWrap/>
        <w:overflowPunct/>
        <w:topLinePunct w:val="0"/>
        <w:autoSpaceDE w:val="0"/>
        <w:autoSpaceDN w:val="0"/>
        <w:bidi w:val="0"/>
        <w:adjustRightInd w:val="0"/>
        <w:snapToGrid w:val="0"/>
        <w:spacing w:line="480" w:lineRule="exact"/>
        <w:ind w:left="485"/>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3、质量标准</w:t>
      </w:r>
    </w:p>
    <w:p w14:paraId="3F015A07">
      <w:pPr>
        <w:keepNext w:val="0"/>
        <w:keepLines w:val="0"/>
        <w:pageBreakBefore w:val="0"/>
        <w:widowControl/>
        <w:kinsoku w:val="0"/>
        <w:wordWrap/>
        <w:overflowPunct/>
        <w:topLinePunct w:val="0"/>
        <w:autoSpaceDE w:val="0"/>
        <w:autoSpaceDN w:val="0"/>
        <w:bidi w:val="0"/>
        <w:adjustRightInd w:val="0"/>
        <w:snapToGrid w:val="0"/>
        <w:spacing w:line="480" w:lineRule="exact"/>
        <w:ind w:right="61" w:firstLine="49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工程质量及工程验收标准，按建设部现行的有关施工规范和工程质量检验评定标准执行，务必达到合格工程标准。成交供应商如有违反操作规程及粗制滥造现象，采购人有权加以制止，直至下令停止施工，其经济损失全部由承包人负责，工期不得顺延。</w:t>
      </w:r>
    </w:p>
    <w:p w14:paraId="6F43E483">
      <w:pPr>
        <w:keepNext w:val="0"/>
        <w:keepLines w:val="0"/>
        <w:pageBreakBefore w:val="0"/>
        <w:widowControl/>
        <w:kinsoku w:val="0"/>
        <w:wordWrap/>
        <w:overflowPunct/>
        <w:topLinePunct w:val="0"/>
        <w:autoSpaceDE w:val="0"/>
        <w:autoSpaceDN w:val="0"/>
        <w:bidi w:val="0"/>
        <w:adjustRightInd w:val="0"/>
        <w:snapToGrid w:val="0"/>
        <w:spacing w:line="480" w:lineRule="exact"/>
        <w:ind w:left="2" w:right="63" w:firstLine="489"/>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（2）当现场情况与设计不相符时，须先报告采购方,再由采购方和设计方根据现场进行调整。</w:t>
      </w:r>
    </w:p>
    <w:p w14:paraId="642CEAB3">
      <w:pPr>
        <w:keepNext w:val="0"/>
        <w:keepLines w:val="0"/>
        <w:pageBreakBefore w:val="0"/>
        <w:widowControl/>
        <w:kinsoku w:val="0"/>
        <w:wordWrap/>
        <w:overflowPunct/>
        <w:topLinePunct w:val="0"/>
        <w:autoSpaceDE w:val="0"/>
        <w:autoSpaceDN w:val="0"/>
        <w:bidi w:val="0"/>
        <w:adjustRightInd w:val="0"/>
        <w:snapToGrid w:val="0"/>
        <w:spacing w:line="480" w:lineRule="exact"/>
        <w:ind w:left="49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（3）保修按国务院 279 号令及国家现行相关规定执行。</w:t>
      </w:r>
    </w:p>
    <w:p w14:paraId="2BE389D1">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4、施工及验收标准</w:t>
      </w:r>
    </w:p>
    <w:p w14:paraId="4195BFF8">
      <w:pPr>
        <w:keepNext w:val="0"/>
        <w:keepLines w:val="0"/>
        <w:pageBreakBefore w:val="0"/>
        <w:widowControl/>
        <w:kinsoku w:val="0"/>
        <w:wordWrap/>
        <w:overflowPunct/>
        <w:topLinePunct w:val="0"/>
        <w:autoSpaceDE w:val="0"/>
        <w:autoSpaceDN w:val="0"/>
        <w:bidi w:val="0"/>
        <w:adjustRightInd w:val="0"/>
        <w:snapToGrid w:val="0"/>
        <w:spacing w:line="480" w:lineRule="exact"/>
        <w:ind w:left="1" w:right="64" w:firstLine="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本工程项目的材料、设备、施工须执行中华人民共和国所有现行工程建设国家规范、技术要求及强制性条文，具体以本项目设计文件相关技术标准和要求为准。</w:t>
      </w:r>
    </w:p>
    <w:p w14:paraId="1A21BB22">
      <w:pPr>
        <w:keepNext w:val="0"/>
        <w:keepLines w:val="0"/>
        <w:pageBreakBefore w:val="0"/>
        <w:widowControl/>
        <w:kinsoku w:val="0"/>
        <w:wordWrap/>
        <w:overflowPunct/>
        <w:topLinePunct w:val="0"/>
        <w:autoSpaceDE w:val="0"/>
        <w:autoSpaceDN w:val="0"/>
        <w:bidi w:val="0"/>
        <w:adjustRightInd w:val="0"/>
        <w:snapToGrid w:val="0"/>
        <w:spacing w:line="480" w:lineRule="exact"/>
        <w:ind w:left="485"/>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5、工程款支付:按合同约定。</w:t>
      </w:r>
    </w:p>
    <w:p w14:paraId="5C1430E1">
      <w:pPr>
        <w:keepNext w:val="0"/>
        <w:keepLines w:val="0"/>
        <w:pageBreakBefore w:val="0"/>
        <w:widowControl/>
        <w:kinsoku w:val="0"/>
        <w:wordWrap/>
        <w:overflowPunct/>
        <w:topLinePunct w:val="0"/>
        <w:autoSpaceDE w:val="0"/>
        <w:autoSpaceDN w:val="0"/>
        <w:bidi w:val="0"/>
        <w:adjustRightInd w:val="0"/>
        <w:snapToGrid w:val="0"/>
        <w:spacing w:line="480" w:lineRule="exact"/>
        <w:ind w:left="48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6、验收要求:按合同约定。</w:t>
      </w:r>
    </w:p>
    <w:p w14:paraId="752986F2">
      <w:pPr>
        <w:keepNext w:val="0"/>
        <w:keepLines w:val="0"/>
        <w:pageBreakBefore w:val="0"/>
        <w:widowControl/>
        <w:kinsoku w:val="0"/>
        <w:wordWrap/>
        <w:overflowPunct/>
        <w:topLinePunct w:val="0"/>
        <w:autoSpaceDE w:val="0"/>
        <w:autoSpaceDN w:val="0"/>
        <w:bidi w:val="0"/>
        <w:adjustRightInd w:val="0"/>
        <w:snapToGrid w:val="0"/>
        <w:spacing w:line="480" w:lineRule="exact"/>
        <w:ind w:left="2" w:right="2" w:firstLine="479"/>
        <w:jc w:val="left"/>
        <w:textAlignment w:val="baseline"/>
        <w:rPr>
          <w:rFonts w:hint="eastAsia" w:ascii="宋体" w:hAnsi="宋体" w:eastAsia="宋体" w:cs="宋体"/>
          <w:b/>
          <w:bCs/>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四</w:t>
      </w:r>
      <w:r>
        <w:rPr>
          <w:rFonts w:hint="eastAsia" w:ascii="宋体" w:hAnsi="宋体" w:eastAsia="宋体" w:cs="宋体"/>
          <w:b/>
          <w:bCs/>
          <w:snapToGrid w:val="0"/>
          <w:color w:val="auto"/>
          <w:spacing w:val="0"/>
          <w:kern w:val="0"/>
          <w:position w:val="0"/>
          <w:sz w:val="24"/>
          <w:szCs w:val="24"/>
          <w:lang w:val="en-US" w:eastAsia="en-US" w:bidi="ar-SA"/>
        </w:rPr>
        <w:t>、转包和分包</w:t>
      </w:r>
    </w:p>
    <w:p w14:paraId="1C9D62EE">
      <w:pPr>
        <w:keepNext w:val="0"/>
        <w:keepLines w:val="0"/>
        <w:pageBreakBefore w:val="0"/>
        <w:widowControl/>
        <w:kinsoku w:val="0"/>
        <w:wordWrap/>
        <w:overflowPunct/>
        <w:topLinePunct w:val="0"/>
        <w:autoSpaceDE w:val="0"/>
        <w:autoSpaceDN w:val="0"/>
        <w:bidi w:val="0"/>
        <w:adjustRightInd w:val="0"/>
        <w:snapToGrid w:val="0"/>
        <w:spacing w:line="480" w:lineRule="exact"/>
        <w:ind w:left="2" w:right="2" w:firstLine="479"/>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本工程供应商中标后，不得以任何形式将本工程转包或分包给其他单位，如发现转包或分包，采购人有权终止合同，所造成的一切损失由中标供应商负责。</w:t>
      </w:r>
    </w:p>
    <w:p w14:paraId="568A1560">
      <w:pPr>
        <w:keepNext w:val="0"/>
        <w:keepLines w:val="0"/>
        <w:pageBreakBefore w:val="0"/>
        <w:widowControl/>
        <w:kinsoku w:val="0"/>
        <w:wordWrap/>
        <w:overflowPunct/>
        <w:topLinePunct w:val="0"/>
        <w:autoSpaceDE w:val="0"/>
        <w:autoSpaceDN w:val="0"/>
        <w:bidi w:val="0"/>
        <w:adjustRightInd w:val="0"/>
        <w:snapToGrid w:val="0"/>
        <w:spacing w:line="480" w:lineRule="exact"/>
        <w:ind w:left="48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五</w:t>
      </w:r>
      <w:r>
        <w:rPr>
          <w:rFonts w:hint="eastAsia" w:ascii="宋体" w:hAnsi="宋体" w:eastAsia="宋体" w:cs="宋体"/>
          <w:b/>
          <w:bCs/>
          <w:snapToGrid w:val="0"/>
          <w:color w:val="auto"/>
          <w:spacing w:val="0"/>
          <w:kern w:val="0"/>
          <w:position w:val="0"/>
          <w:sz w:val="24"/>
          <w:szCs w:val="24"/>
          <w:lang w:val="en-US" w:eastAsia="en-US" w:bidi="ar-SA"/>
        </w:rPr>
        <w:t>、中标供应商竣工后应提供的技术资料</w:t>
      </w:r>
    </w:p>
    <w:p w14:paraId="7263F909">
      <w:pPr>
        <w:keepNext w:val="0"/>
        <w:keepLines w:val="0"/>
        <w:pageBreakBefore w:val="0"/>
        <w:widowControl/>
        <w:kinsoku w:val="0"/>
        <w:wordWrap/>
        <w:overflowPunct/>
        <w:topLinePunct w:val="0"/>
        <w:autoSpaceDE w:val="0"/>
        <w:autoSpaceDN w:val="0"/>
        <w:bidi w:val="0"/>
        <w:adjustRightInd w:val="0"/>
        <w:snapToGrid w:val="0"/>
        <w:spacing w:line="480" w:lineRule="exact"/>
        <w:ind w:left="48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按合同约定</w:t>
      </w:r>
    </w:p>
    <w:p w14:paraId="1A89E3C7">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六</w:t>
      </w:r>
      <w:r>
        <w:rPr>
          <w:rFonts w:hint="eastAsia" w:ascii="宋体" w:hAnsi="宋体" w:eastAsia="宋体" w:cs="宋体"/>
          <w:b/>
          <w:bCs/>
          <w:snapToGrid w:val="0"/>
          <w:color w:val="auto"/>
          <w:spacing w:val="0"/>
          <w:kern w:val="0"/>
          <w:position w:val="0"/>
          <w:sz w:val="24"/>
          <w:szCs w:val="24"/>
          <w:lang w:val="en-US" w:eastAsia="en-US" w:bidi="ar-SA"/>
        </w:rPr>
        <w:t>、投标报价文件</w:t>
      </w:r>
    </w:p>
    <w:p w14:paraId="1BC59E06">
      <w:pPr>
        <w:keepNext w:val="0"/>
        <w:keepLines w:val="0"/>
        <w:pageBreakBefore w:val="0"/>
        <w:widowControl/>
        <w:kinsoku w:val="0"/>
        <w:wordWrap/>
        <w:overflowPunct/>
        <w:topLinePunct w:val="0"/>
        <w:autoSpaceDE w:val="0"/>
        <w:autoSpaceDN w:val="0"/>
        <w:bidi w:val="0"/>
        <w:adjustRightInd w:val="0"/>
        <w:snapToGrid w:val="0"/>
        <w:spacing w:line="480" w:lineRule="exact"/>
        <w:ind w:left="3" w:right="2" w:firstLine="494"/>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1、工程报价文件中的单价和总价均以人民币表示。</w:t>
      </w:r>
      <w:r>
        <w:rPr>
          <w:rFonts w:hint="eastAsia" w:ascii="宋体" w:hAnsi="宋体" w:eastAsia="宋体" w:cs="宋体"/>
          <w:b/>
          <w:bCs/>
          <w:snapToGrid w:val="0"/>
          <w:color w:val="auto"/>
          <w:spacing w:val="0"/>
          <w:kern w:val="0"/>
          <w:position w:val="0"/>
          <w:sz w:val="24"/>
          <w:szCs w:val="24"/>
          <w:lang w:val="en-US" w:eastAsia="en-US" w:bidi="ar-SA"/>
        </w:rPr>
        <w:t>响应报价文件应由下列内容组成，具体格式以本项目提供的工程量清单为准。</w:t>
      </w:r>
    </w:p>
    <w:p w14:paraId="3115BFF8">
      <w:pPr>
        <w:keepNext w:val="0"/>
        <w:keepLines w:val="0"/>
        <w:pageBreakBefore w:val="0"/>
        <w:widowControl/>
        <w:kinsoku w:val="0"/>
        <w:wordWrap/>
        <w:overflowPunct/>
        <w:topLinePunct w:val="0"/>
        <w:autoSpaceDE w:val="0"/>
        <w:autoSpaceDN w:val="0"/>
        <w:bidi w:val="0"/>
        <w:adjustRightInd w:val="0"/>
        <w:snapToGrid w:val="0"/>
        <w:spacing w:line="480" w:lineRule="exact"/>
        <w:ind w:left="483"/>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2、本工程采用一般计税法相关规定进行。</w:t>
      </w:r>
    </w:p>
    <w:p w14:paraId="194196DE">
      <w:pPr>
        <w:keepNext w:val="0"/>
        <w:keepLines w:val="0"/>
        <w:pageBreakBefore w:val="0"/>
        <w:widowControl/>
        <w:kinsoku w:val="0"/>
        <w:wordWrap/>
        <w:overflowPunct/>
        <w:topLinePunct w:val="0"/>
        <w:autoSpaceDE w:val="0"/>
        <w:autoSpaceDN w:val="0"/>
        <w:bidi w:val="0"/>
        <w:adjustRightInd w:val="0"/>
        <w:snapToGrid w:val="0"/>
        <w:spacing w:line="480" w:lineRule="exact"/>
        <w:ind w:left="485"/>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3、本工程为设最高限价。</w:t>
      </w:r>
    </w:p>
    <w:p w14:paraId="1CE798A7">
      <w:pPr>
        <w:keepNext w:val="0"/>
        <w:keepLines w:val="0"/>
        <w:pageBreakBefore w:val="0"/>
        <w:widowControl/>
        <w:kinsoku w:val="0"/>
        <w:wordWrap/>
        <w:overflowPunct/>
        <w:topLinePunct w:val="0"/>
        <w:autoSpaceDE w:val="0"/>
        <w:autoSpaceDN w:val="0"/>
        <w:bidi w:val="0"/>
        <w:adjustRightInd w:val="0"/>
        <w:snapToGrid w:val="0"/>
        <w:spacing w:line="480" w:lineRule="exact"/>
        <w:ind w:left="3" w:firstLine="488"/>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（1）最高限价为 </w:t>
      </w:r>
      <w:r>
        <w:rPr>
          <w:rFonts w:hint="eastAsia" w:ascii="宋体" w:hAnsi="宋体" w:eastAsia="宋体" w:cs="宋体"/>
          <w:snapToGrid w:val="0"/>
          <w:color w:val="auto"/>
          <w:spacing w:val="0"/>
          <w:kern w:val="0"/>
          <w:position w:val="0"/>
          <w:sz w:val="24"/>
          <w:szCs w:val="24"/>
          <w:u w:val="single" w:color="auto"/>
          <w:lang w:val="en-US" w:eastAsia="zh-CN" w:bidi="ar-SA"/>
        </w:rPr>
        <w:t>2636534.69</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万元，投标报价不得突破最高限价。投标报价突破最高限价的，对该投标人作不合格投标人处理。</w:t>
      </w:r>
    </w:p>
    <w:p w14:paraId="518C6689">
      <w:pPr>
        <w:keepNext w:val="0"/>
        <w:keepLines w:val="0"/>
        <w:pageBreakBefore w:val="0"/>
        <w:widowControl/>
        <w:kinsoku w:val="0"/>
        <w:wordWrap/>
        <w:overflowPunct/>
        <w:topLinePunct w:val="0"/>
        <w:autoSpaceDE w:val="0"/>
        <w:autoSpaceDN w:val="0"/>
        <w:bidi w:val="0"/>
        <w:adjustRightInd w:val="0"/>
        <w:snapToGrid w:val="0"/>
        <w:spacing w:line="480" w:lineRule="exact"/>
        <w:ind w:left="1" w:right="2" w:firstLine="49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（2）供应商投标期间应对施工现场进行仔细查勘，采购人将给与支持和配合。若供应商认为采购人提供的工程量清单、最高限价等有关技术资料还不能充分反映工程情况，可采取措施自行查勘，费用自理。</w:t>
      </w:r>
    </w:p>
    <w:p w14:paraId="14FF5555">
      <w:pPr>
        <w:keepNext w:val="0"/>
        <w:keepLines w:val="0"/>
        <w:pageBreakBefore w:val="0"/>
        <w:widowControl/>
        <w:kinsoku w:val="0"/>
        <w:wordWrap/>
        <w:overflowPunct/>
        <w:topLinePunct w:val="0"/>
        <w:autoSpaceDE w:val="0"/>
        <w:autoSpaceDN w:val="0"/>
        <w:bidi w:val="0"/>
        <w:adjustRightInd w:val="0"/>
        <w:snapToGrid w:val="0"/>
        <w:spacing w:line="480" w:lineRule="exact"/>
        <w:ind w:right="2" w:firstLine="480"/>
        <w:jc w:val="both"/>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供应商应根据采购人提供的工程量清单、最高限价、综合单价等有关技术资料及现场踏勘测量情况，在保证竣工后各分部分项工程和所有构配件均处于正常工作状态的前提下， 自行报价，投标报价不得突破最高限价。</w:t>
      </w:r>
    </w:p>
    <w:p w14:paraId="2424C80F">
      <w:pPr>
        <w:keepNext w:val="0"/>
        <w:keepLines w:val="0"/>
        <w:pageBreakBefore w:val="0"/>
        <w:widowControl/>
        <w:kinsoku w:val="0"/>
        <w:wordWrap/>
        <w:overflowPunct/>
        <w:topLinePunct w:val="0"/>
        <w:autoSpaceDE w:val="0"/>
        <w:autoSpaceDN w:val="0"/>
        <w:bidi w:val="0"/>
        <w:adjustRightInd w:val="0"/>
        <w:snapToGrid w:val="0"/>
        <w:spacing w:line="480" w:lineRule="exact"/>
        <w:ind w:firstLine="483"/>
        <w:jc w:val="both"/>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为保证竣工后各分部分项工程和所有构配件均处于正常工作状态，供应商应根据施工现场的实际情况进行合理的施工组织设计，若供应商遗漏磋商文件所列工程量清单内容，均由成交人自负，采购人不再支付任何费用。若发现和工程量清单有漏项的情况，必须充分考虑采取必要措施和预案严格控制预算。</w:t>
      </w:r>
    </w:p>
    <w:p w14:paraId="673BFF37">
      <w:pPr>
        <w:keepNext w:val="0"/>
        <w:keepLines w:val="0"/>
        <w:pageBreakBefore w:val="0"/>
        <w:widowControl/>
        <w:kinsoku w:val="0"/>
        <w:wordWrap/>
        <w:overflowPunct/>
        <w:topLinePunct w:val="0"/>
        <w:autoSpaceDE w:val="0"/>
        <w:autoSpaceDN w:val="0"/>
        <w:bidi w:val="0"/>
        <w:adjustRightInd w:val="0"/>
        <w:snapToGrid w:val="0"/>
        <w:spacing w:line="480" w:lineRule="exact"/>
        <w:ind w:left="49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（3）投标报价和最终投标报价必须按工程量清单形式提供。</w:t>
      </w:r>
    </w:p>
    <w:p w14:paraId="72D93880">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4、采购人不接受有任何选择的报价。</w:t>
      </w:r>
    </w:p>
    <w:p w14:paraId="57399B0A">
      <w:pPr>
        <w:keepNext w:val="0"/>
        <w:keepLines w:val="0"/>
        <w:pageBreakBefore w:val="0"/>
        <w:widowControl/>
        <w:kinsoku w:val="0"/>
        <w:wordWrap/>
        <w:overflowPunct/>
        <w:topLinePunct w:val="0"/>
        <w:autoSpaceDE w:val="0"/>
        <w:autoSpaceDN w:val="0"/>
        <w:bidi w:val="0"/>
        <w:adjustRightInd w:val="0"/>
        <w:snapToGrid w:val="0"/>
        <w:spacing w:line="480" w:lineRule="exact"/>
        <w:ind w:left="484"/>
        <w:jc w:val="left"/>
        <w:textAlignment w:val="baseline"/>
        <w:outlineLvl w:val="9"/>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八、工程量清单（另册）</w:t>
      </w:r>
    </w:p>
    <w:p w14:paraId="5E030634">
      <w:pPr>
        <w:spacing w:line="440" w:lineRule="exact"/>
        <w:ind w:firstLine="420" w:firstLineChars="200"/>
        <w:rPr>
          <w:rFonts w:hint="eastAsia" w:ascii="宋体" w:hAnsi="宋体"/>
          <w:bCs/>
          <w:color w:val="auto"/>
          <w:szCs w:val="21"/>
          <w:highlight w:val="none"/>
        </w:rPr>
      </w:pPr>
    </w:p>
    <w:p w14:paraId="0A103D17">
      <w:pPr>
        <w:rPr>
          <w:rFonts w:hint="eastAsia" w:ascii="宋体" w:hAnsi="宋体"/>
          <w:bCs/>
          <w:color w:val="auto"/>
          <w:szCs w:val="21"/>
          <w:highlight w:val="none"/>
        </w:rPr>
      </w:pPr>
      <w:r>
        <w:rPr>
          <w:rFonts w:hint="eastAsia" w:ascii="宋体" w:hAnsi="宋体"/>
          <w:bCs/>
          <w:color w:val="auto"/>
          <w:szCs w:val="21"/>
          <w:highlight w:val="none"/>
        </w:rPr>
        <w:br w:type="page"/>
      </w:r>
    </w:p>
    <w:p w14:paraId="0DEDA5B5">
      <w:pPr>
        <w:pStyle w:val="4"/>
        <w:rPr>
          <w:rFonts w:ascii="黑体" w:hAnsi="黑体" w:eastAsia="黑体"/>
          <w:color w:val="auto"/>
          <w:sz w:val="32"/>
          <w:szCs w:val="32"/>
          <w:highlight w:val="none"/>
        </w:rPr>
      </w:pPr>
      <w:bookmarkStart w:id="48" w:name="_Toc1313"/>
      <w:r>
        <w:rPr>
          <w:rFonts w:hint="eastAsia" w:ascii="黑体" w:hAnsi="黑体" w:eastAsia="黑体"/>
          <w:color w:val="auto"/>
          <w:sz w:val="32"/>
          <w:szCs w:val="32"/>
          <w:highlight w:val="none"/>
        </w:rPr>
        <w:t>第四章 合同草案条款</w:t>
      </w:r>
      <w:bookmarkEnd w:id="48"/>
    </w:p>
    <w:p w14:paraId="008C1754">
      <w:pPr>
        <w:adjustRightInd w:val="0"/>
        <w:snapToGrid w:val="0"/>
        <w:jc w:val="center"/>
        <w:outlineLvl w:val="9"/>
        <w:rPr>
          <w:rFonts w:ascii="黑体" w:hAnsi="华文中宋" w:eastAsia="黑体"/>
          <w:color w:val="auto"/>
          <w:sz w:val="28"/>
          <w:szCs w:val="28"/>
          <w:highlight w:val="none"/>
        </w:rPr>
      </w:pPr>
      <w:bookmarkStart w:id="49" w:name="_Toc115423758"/>
    </w:p>
    <w:bookmarkEnd w:id="49"/>
    <w:p w14:paraId="5C1BC4DA">
      <w:pPr>
        <w:widowControl/>
        <w:kinsoku w:val="0"/>
        <w:autoSpaceDE w:val="0"/>
        <w:autoSpaceDN w:val="0"/>
        <w:adjustRightInd w:val="0"/>
        <w:snapToGrid w:val="0"/>
        <w:spacing w:before="97" w:line="222" w:lineRule="auto"/>
        <w:ind w:left="2724"/>
        <w:jc w:val="left"/>
        <w:textAlignment w:val="baseline"/>
        <w:outlineLvl w:val="1"/>
        <w:rPr>
          <w:rFonts w:ascii="黑体" w:hAnsi="黑体" w:eastAsia="黑体" w:cs="黑体"/>
          <w:snapToGrid w:val="0"/>
          <w:color w:val="auto"/>
          <w:spacing w:val="0"/>
          <w:kern w:val="0"/>
          <w:position w:val="0"/>
          <w:sz w:val="30"/>
          <w:szCs w:val="30"/>
          <w:lang w:eastAsia="en-US"/>
        </w:rPr>
      </w:pPr>
      <w:bookmarkStart w:id="50" w:name="_Toc8378"/>
      <w:bookmarkStart w:id="51" w:name="_Toc16462"/>
      <w:r>
        <w:rPr>
          <w:rFonts w:ascii="黑体" w:hAnsi="黑体" w:eastAsia="黑体" w:cs="黑体"/>
          <w:snapToGrid w:val="0"/>
          <w:color w:val="auto"/>
          <w:spacing w:val="0"/>
          <w:kern w:val="0"/>
          <w:position w:val="0"/>
          <w:sz w:val="30"/>
          <w:szCs w:val="30"/>
          <w:lang w:eastAsia="en-US"/>
        </w:rPr>
        <w:t>一、政府采购合同协议书</w:t>
      </w:r>
      <w:bookmarkEnd w:id="50"/>
      <w:bookmarkEnd w:id="51"/>
    </w:p>
    <w:p w14:paraId="7CB77964">
      <w:pPr>
        <w:keepNext w:val="0"/>
        <w:keepLines w:val="0"/>
        <w:pageBreakBefore w:val="0"/>
        <w:widowControl/>
        <w:kinsoku w:val="0"/>
        <w:wordWrap/>
        <w:overflowPunct/>
        <w:topLinePunct w:val="0"/>
        <w:autoSpaceDE w:val="0"/>
        <w:autoSpaceDN w:val="0"/>
        <w:bidi w:val="0"/>
        <w:adjustRightInd w:val="0"/>
        <w:snapToGrid w:val="0"/>
        <w:spacing w:before="0" w:beforeLines="100"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采购合同编号：</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1DA1A678">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采购人（全称）：</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（甲方）</w:t>
      </w:r>
    </w:p>
    <w:p w14:paraId="46ACD474">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供应商（全称）：</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（乙方）</w:t>
      </w:r>
    </w:p>
    <w:p w14:paraId="44BE738C">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3"/>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为了保护甲、乙双方合法权益，根据《中华人民共和国民法典》、《中华人民共和国政府采购法》及其他有关法律、法规、规章，双方签订本合同协议书。</w:t>
      </w:r>
    </w:p>
    <w:p w14:paraId="2046D7F4">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1.项目信息</w:t>
      </w:r>
    </w:p>
    <w:p w14:paraId="1081C4CB">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（1）采购项目名称：</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79FB5F3E">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（2）采购计划编号：</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2E2005EB">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（3）项目内容：</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27C3D69A">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（工程项目）承包范围：</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项目经理：</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w:t>
      </w:r>
    </w:p>
    <w:p w14:paraId="76F19D20">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2.合同金额</w:t>
      </w:r>
    </w:p>
    <w:p w14:paraId="083CB047">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（1）合同金额小写：</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1B88187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大写：</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43A1D478">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（2）具体标的见附件。</w:t>
      </w:r>
    </w:p>
    <w:p w14:paraId="683786AD">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（3）合同价格形式：</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w:t>
      </w:r>
    </w:p>
    <w:p w14:paraId="78351AE8">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3.履行合同的时间、地点及方式</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797163A7">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起始日期：</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u w:val="single" w:color="auto"/>
          <w:lang w:val="en-US" w:eastAsia="zh-CN" w:bidi="ar-SA"/>
        </w:rPr>
        <w:t xml:space="preserve">  </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年</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u w:val="single" w:color="auto"/>
          <w:lang w:val="en-US" w:eastAsia="zh-CN" w:bidi="ar-SA"/>
        </w:rPr>
        <w:t xml:space="preserve"> </w:t>
      </w:r>
      <w:r>
        <w:rPr>
          <w:rFonts w:ascii="宋体" w:hAnsi="宋体" w:eastAsia="宋体" w:cs="宋体"/>
          <w:snapToGrid w:val="0"/>
          <w:color w:val="auto"/>
          <w:spacing w:val="0"/>
          <w:kern w:val="0"/>
          <w:position w:val="0"/>
          <w:sz w:val="24"/>
          <w:szCs w:val="24"/>
          <w:lang w:val="en-US" w:eastAsia="en-US" w:bidi="ar-SA"/>
        </w:rPr>
        <w:t>月</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u w:val="single" w:color="auto"/>
          <w:lang w:val="en-US" w:eastAsia="zh-CN" w:bidi="ar-SA"/>
        </w:rPr>
        <w:t xml:space="preserve">  </w:t>
      </w:r>
      <w:r>
        <w:rPr>
          <w:rFonts w:ascii="宋体" w:hAnsi="宋体" w:eastAsia="宋体" w:cs="宋体"/>
          <w:snapToGrid w:val="0"/>
          <w:color w:val="auto"/>
          <w:spacing w:val="0"/>
          <w:kern w:val="0"/>
          <w:position w:val="0"/>
          <w:sz w:val="24"/>
          <w:szCs w:val="24"/>
          <w:lang w:val="en-US" w:eastAsia="en-US" w:bidi="ar-SA"/>
        </w:rPr>
        <w:t>日，完成日期：</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u w:val="single"/>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年</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u w:val="single" w:color="auto"/>
          <w:lang w:val="en-US" w:eastAsia="zh-CN" w:bidi="ar-SA"/>
        </w:rPr>
        <w:t xml:space="preserve"> </w:t>
      </w:r>
      <w:r>
        <w:rPr>
          <w:rFonts w:ascii="宋体" w:hAnsi="宋体" w:eastAsia="宋体" w:cs="宋体"/>
          <w:snapToGrid w:val="0"/>
          <w:color w:val="auto"/>
          <w:spacing w:val="0"/>
          <w:kern w:val="0"/>
          <w:position w:val="0"/>
          <w:sz w:val="24"/>
          <w:szCs w:val="24"/>
          <w:u w:val="single"/>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月</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u w:val="single" w:color="auto"/>
          <w:lang w:val="en-US" w:eastAsia="zh-CN" w:bidi="ar-SA"/>
        </w:rPr>
        <w:t xml:space="preserve"> </w:t>
      </w:r>
      <w:r>
        <w:rPr>
          <w:rFonts w:ascii="宋体" w:hAnsi="宋体" w:eastAsia="宋体" w:cs="宋体"/>
          <w:snapToGrid w:val="0"/>
          <w:color w:val="auto"/>
          <w:spacing w:val="0"/>
          <w:kern w:val="0"/>
          <w:position w:val="0"/>
          <w:sz w:val="24"/>
          <w:szCs w:val="24"/>
          <w:u w:val="single"/>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日。总日历天数：</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u w:val="single" w:color="auto"/>
          <w:lang w:val="en-US" w:eastAsia="zh-CN" w:bidi="ar-SA"/>
        </w:rPr>
        <w:t xml:space="preserve">   </w:t>
      </w:r>
      <w:r>
        <w:rPr>
          <w:rFonts w:ascii="宋体" w:hAnsi="宋体" w:eastAsia="宋体" w:cs="宋体"/>
          <w:snapToGrid w:val="0"/>
          <w:color w:val="auto"/>
          <w:spacing w:val="0"/>
          <w:kern w:val="0"/>
          <w:position w:val="0"/>
          <w:sz w:val="24"/>
          <w:szCs w:val="24"/>
          <w:lang w:val="en-US" w:eastAsia="en-US" w:bidi="ar-SA"/>
        </w:rPr>
        <w:t>天。</w:t>
      </w:r>
    </w:p>
    <w:p w14:paraId="54903BF4">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地点</w:t>
      </w:r>
      <w:r>
        <w:rPr>
          <w:rFonts w:ascii="宋体" w:hAnsi="宋体" w:eastAsia="宋体" w:cs="宋体"/>
          <w:b/>
          <w:bCs/>
          <w:snapToGrid w:val="0"/>
          <w:color w:val="auto"/>
          <w:spacing w:val="0"/>
          <w:kern w:val="0"/>
          <w:position w:val="0"/>
          <w:sz w:val="24"/>
          <w:szCs w:val="24"/>
          <w:lang w:val="en-US" w:eastAsia="en-US" w:bidi="ar-SA"/>
        </w:rPr>
        <w:t>：</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582BE201">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方式：</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15F7AD30">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4.付款：</w:t>
      </w:r>
    </w:p>
    <w:p w14:paraId="3382EB5D">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1、</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w:t>
      </w:r>
    </w:p>
    <w:p w14:paraId="4ADE7BFB">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2、预付款根据采购文件的约定，在合同签订前提交不超过合同金额 10%的履约担保。</w:t>
      </w:r>
    </w:p>
    <w:p w14:paraId="3A224B06">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Arial" w:hAnsi="Arial" w:eastAsia="Arial" w:cs="Arial"/>
          <w:b/>
          <w:bCs/>
          <w:snapToGrid w:val="0"/>
          <w:color w:val="auto"/>
          <w:spacing w:val="0"/>
          <w:kern w:val="0"/>
          <w:position w:val="0"/>
          <w:sz w:val="24"/>
          <w:szCs w:val="24"/>
          <w:lang w:eastAsia="en-US"/>
        </w:rPr>
      </w:pPr>
      <w:r>
        <w:rPr>
          <w:rFonts w:ascii="Arial" w:hAnsi="Arial" w:eastAsia="Arial" w:cs="Arial"/>
          <w:b/>
          <w:bCs/>
          <w:snapToGrid w:val="0"/>
          <w:color w:val="auto"/>
          <w:spacing w:val="0"/>
          <w:kern w:val="0"/>
          <w:position w:val="0"/>
          <w:sz w:val="24"/>
          <w:szCs w:val="24"/>
          <w:lang w:eastAsia="en-US"/>
        </w:rPr>
        <w:t>5.解决合同纠纷方式</w:t>
      </w:r>
    </w:p>
    <w:p w14:paraId="22D906E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首先通过双方协商解决，协商解决不成，则通过以下途径之一解决纠纷：</w:t>
      </w:r>
    </w:p>
    <w:p w14:paraId="0AE7DE72">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 xml:space="preserve">□ 提请仲裁       </w:t>
      </w:r>
      <w:r>
        <w:rPr>
          <w:rFonts w:ascii="MS Gothic" w:hAnsi="MS Gothic" w:eastAsia="MS Gothic" w:cs="MS Gothic"/>
          <w:snapToGrid w:val="0"/>
          <w:color w:val="auto"/>
          <w:spacing w:val="0"/>
          <w:kern w:val="0"/>
          <w:position w:val="0"/>
          <w:sz w:val="24"/>
          <w:szCs w:val="24"/>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向人民法院提起诉讼</w:t>
      </w:r>
    </w:p>
    <w:p w14:paraId="69DE7538">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6.组成合同的文件</w:t>
      </w:r>
    </w:p>
    <w:p w14:paraId="3A426D35">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本协议书与下列文件一起构成合同文件，如下述文件之间有任何抵触、矛盾或歧义，应按以下顺序解释：</w:t>
      </w:r>
    </w:p>
    <w:p w14:paraId="269966DB">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（1）在采购或合同履行过程中乙方作出的承诺以及双方协商达成的变更或补充协议</w:t>
      </w:r>
    </w:p>
    <w:p w14:paraId="72580346">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（2）成交通知书</w:t>
      </w:r>
    </w:p>
    <w:p w14:paraId="65A85C8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（3）响应文件</w:t>
      </w:r>
    </w:p>
    <w:p w14:paraId="4B46C9B2">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（4）政府采购合同格式条款及其附件</w:t>
      </w:r>
    </w:p>
    <w:p w14:paraId="4B3E5D6F">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（5）专用合同条款</w:t>
      </w:r>
    </w:p>
    <w:p w14:paraId="3605C7C0">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（6）通用合同条款（如果有）</w:t>
      </w:r>
    </w:p>
    <w:p w14:paraId="7C47B464">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（7）标准、规范及有关技术文件，图纸，已标价工程量清单或预算书（如果有）</w:t>
      </w:r>
    </w:p>
    <w:p w14:paraId="71233686">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（8）其他合同文件。</w:t>
      </w:r>
    </w:p>
    <w:p w14:paraId="178B99FD">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7.合同生效</w:t>
      </w:r>
    </w:p>
    <w:p w14:paraId="6984E26A">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本合同自</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生效。</w:t>
      </w:r>
    </w:p>
    <w:p w14:paraId="7C2D8150">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8.合同份数</w:t>
      </w:r>
    </w:p>
    <w:p w14:paraId="7C7780C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firstLine="480" w:firstLineChars="20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本合同一式</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份，采购人执</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份，供应商执</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份，均具有同等法律效力。</w:t>
      </w:r>
    </w:p>
    <w:p w14:paraId="77883449">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Arial" w:hAnsi="Arial" w:eastAsia="Arial" w:cs="Arial"/>
          <w:snapToGrid w:val="0"/>
          <w:color w:val="auto"/>
          <w:spacing w:val="0"/>
          <w:kern w:val="0"/>
          <w:position w:val="0"/>
          <w:sz w:val="21"/>
          <w:szCs w:val="21"/>
          <w:lang w:eastAsia="en-US"/>
        </w:rPr>
      </w:pPr>
    </w:p>
    <w:p w14:paraId="5B1182B5">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Arial" w:hAnsi="Arial" w:eastAsia="Arial" w:cs="Arial"/>
          <w:snapToGrid w:val="0"/>
          <w:color w:val="auto"/>
          <w:spacing w:val="0"/>
          <w:kern w:val="0"/>
          <w:position w:val="0"/>
          <w:sz w:val="21"/>
          <w:szCs w:val="21"/>
          <w:lang w:eastAsia="en-US"/>
        </w:rPr>
      </w:pPr>
    </w:p>
    <w:p w14:paraId="228D600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合同订立时间：</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年</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月</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日   </w:t>
      </w:r>
      <w:r>
        <w:rPr>
          <w:rFonts w:hint="eastAsia" w:ascii="宋体" w:hAnsi="宋体" w:eastAsia="宋体" w:cs="宋体"/>
          <w:snapToGrid w:val="0"/>
          <w:color w:val="auto"/>
          <w:spacing w:val="0"/>
          <w:kern w:val="0"/>
          <w:position w:val="0"/>
          <w:sz w:val="24"/>
          <w:szCs w:val="24"/>
          <w:lang w:val="en-US" w:eastAsia="zh-CN" w:bidi="ar-SA"/>
        </w:rPr>
        <w:t xml:space="preserve"> </w:t>
      </w:r>
      <w:r>
        <w:rPr>
          <w:rFonts w:ascii="宋体" w:hAnsi="宋体" w:eastAsia="宋体" w:cs="宋体"/>
          <w:snapToGrid w:val="0"/>
          <w:color w:val="auto"/>
          <w:spacing w:val="0"/>
          <w:kern w:val="0"/>
          <w:position w:val="0"/>
          <w:sz w:val="24"/>
          <w:szCs w:val="24"/>
          <w:lang w:val="en-US" w:eastAsia="en-US" w:bidi="ar-SA"/>
        </w:rPr>
        <w:t xml:space="preserve">   合同订立地点：</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25D182D5">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Arial" w:hAnsi="Arial" w:eastAsia="Arial" w:cs="Arial"/>
          <w:snapToGrid w:val="0"/>
          <w:color w:val="auto"/>
          <w:spacing w:val="0"/>
          <w:kern w:val="0"/>
          <w:position w:val="0"/>
          <w:sz w:val="21"/>
          <w:szCs w:val="21"/>
          <w:lang w:eastAsia="en-US"/>
        </w:rPr>
      </w:pPr>
    </w:p>
    <w:p w14:paraId="70FC6108">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甲      方：（公章）                    乙      方：（公章）</w:t>
      </w:r>
    </w:p>
    <w:p w14:paraId="11E3530E">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法定代表人：</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法定代表人：</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761DA265">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委托代理人：</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委托代理人：</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064C24B2">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电      话 ：</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snapToGrid w:val="0"/>
          <w:color w:val="auto"/>
          <w:spacing w:val="0"/>
          <w:kern w:val="0"/>
          <w:position w:val="0"/>
          <w:sz w:val="24"/>
          <w:szCs w:val="24"/>
          <w:lang w:val="en-US" w:eastAsia="zh-CN" w:bidi="ar-SA"/>
        </w:rPr>
        <w:t xml:space="preserve">  </w:t>
      </w:r>
      <w:r>
        <w:rPr>
          <w:rFonts w:ascii="宋体" w:hAnsi="宋体" w:eastAsia="宋体" w:cs="宋体"/>
          <w:snapToGrid w:val="0"/>
          <w:color w:val="auto"/>
          <w:spacing w:val="0"/>
          <w:kern w:val="0"/>
          <w:position w:val="0"/>
          <w:sz w:val="24"/>
          <w:szCs w:val="24"/>
          <w:lang w:val="en-US" w:eastAsia="en-US" w:bidi="ar-SA"/>
        </w:rPr>
        <w:t xml:space="preserve"> 电       话 ：</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50B32753">
      <w:pPr>
        <w:keepNext w:val="0"/>
        <w:keepLines w:val="0"/>
        <w:pageBreakBefore w:val="0"/>
        <w:widowControl/>
        <w:kinsoku w:val="0"/>
        <w:wordWrap/>
        <w:overflowPunct/>
        <w:topLinePunct w:val="0"/>
        <w:autoSpaceDE w:val="0"/>
        <w:autoSpaceDN w:val="0"/>
        <w:bidi w:val="0"/>
        <w:adjustRightInd w:val="0"/>
        <w:snapToGrid w:val="0"/>
        <w:spacing w:line="420" w:lineRule="exact"/>
        <w:ind w:left="0" w:right="0"/>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snapToGrid w:val="0"/>
          <w:color w:val="auto"/>
          <w:spacing w:val="0"/>
          <w:kern w:val="0"/>
          <w:position w:val="0"/>
          <w:sz w:val="24"/>
          <w:szCs w:val="24"/>
          <w:lang w:val="en-US" w:eastAsia="en-US" w:bidi="ar-SA"/>
        </w:rPr>
        <w:t>传      真 ：</w:t>
      </w:r>
      <w:r>
        <w:rPr>
          <w:rFonts w:ascii="宋体" w:hAnsi="宋体" w:eastAsia="宋体" w:cs="宋体"/>
          <w:snapToGrid w:val="0"/>
          <w:color w:val="auto"/>
          <w:spacing w:val="0"/>
          <w:kern w:val="0"/>
          <w:position w:val="0"/>
          <w:sz w:val="24"/>
          <w:szCs w:val="24"/>
          <w:u w:val="single" w:color="auto"/>
          <w:lang w:val="en-US" w:eastAsia="en-US" w:bidi="ar-SA"/>
        </w:rPr>
        <w:t xml:space="preserve">                  </w:t>
      </w:r>
      <w:r>
        <w:rPr>
          <w:rFonts w:ascii="宋体" w:hAnsi="宋体" w:eastAsia="宋体" w:cs="宋体"/>
          <w:snapToGrid w:val="0"/>
          <w:color w:val="auto"/>
          <w:spacing w:val="0"/>
          <w:kern w:val="0"/>
          <w:position w:val="0"/>
          <w:sz w:val="24"/>
          <w:szCs w:val="24"/>
          <w:lang w:val="en-US" w:eastAsia="en-US" w:bidi="ar-SA"/>
        </w:rPr>
        <w:t xml:space="preserve">         传      真 ：</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2E72F2E8">
      <w:pPr>
        <w:keepNext w:val="0"/>
        <w:keepLines w:val="0"/>
        <w:pageBreakBefore w:val="0"/>
        <w:widowControl/>
        <w:kinsoku w:val="0"/>
        <w:wordWrap/>
        <w:overflowPunct/>
        <w:topLinePunct w:val="0"/>
        <w:autoSpaceDE w:val="0"/>
        <w:autoSpaceDN w:val="0"/>
        <w:bidi w:val="0"/>
        <w:adjustRightInd w:val="0"/>
        <w:snapToGrid w:val="0"/>
        <w:spacing w:line="420" w:lineRule="exact"/>
        <w:ind w:left="239" w:leftChars="114" w:right="0" w:firstLine="4548" w:firstLineChars="1895"/>
        <w:jc w:val="left"/>
        <w:textAlignment w:val="baseline"/>
        <w:rPr>
          <w:rFonts w:ascii="宋体" w:hAnsi="宋体" w:eastAsia="宋体" w:cs="宋体"/>
          <w:snapToGrid w:val="0"/>
          <w:color w:val="auto"/>
          <w:spacing w:val="0"/>
          <w:kern w:val="0"/>
          <w:position w:val="0"/>
          <w:sz w:val="24"/>
          <w:szCs w:val="24"/>
          <w:u w:val="single" w:color="auto"/>
          <w:lang w:val="en-US" w:eastAsia="en-US" w:bidi="ar-SA"/>
        </w:rPr>
      </w:pPr>
      <w:r>
        <w:rPr>
          <w:rFonts w:ascii="宋体" w:hAnsi="宋体" w:eastAsia="宋体" w:cs="宋体"/>
          <w:snapToGrid w:val="0"/>
          <w:color w:val="auto"/>
          <w:spacing w:val="0"/>
          <w:kern w:val="0"/>
          <w:position w:val="0"/>
          <w:sz w:val="24"/>
          <w:szCs w:val="24"/>
          <w:lang w:val="en-US" w:eastAsia="en-US" w:bidi="ar-SA"/>
        </w:rPr>
        <w:t>开 户 银 行 ：</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3070B8B8">
      <w:pPr>
        <w:keepNext w:val="0"/>
        <w:keepLines w:val="0"/>
        <w:pageBreakBefore w:val="0"/>
        <w:widowControl/>
        <w:kinsoku w:val="0"/>
        <w:wordWrap/>
        <w:overflowPunct/>
        <w:topLinePunct w:val="0"/>
        <w:autoSpaceDE w:val="0"/>
        <w:autoSpaceDN w:val="0"/>
        <w:bidi w:val="0"/>
        <w:adjustRightInd w:val="0"/>
        <w:snapToGrid w:val="0"/>
        <w:spacing w:line="420" w:lineRule="exact"/>
        <w:ind w:left="239" w:leftChars="114" w:right="0" w:firstLine="4548" w:firstLineChars="1895"/>
        <w:jc w:val="left"/>
        <w:textAlignment w:val="baseline"/>
        <w:rPr>
          <w:color w:val="auto"/>
          <w:spacing w:val="0"/>
          <w:position w:val="0"/>
          <w:sz w:val="24"/>
          <w:szCs w:val="24"/>
        </w:rPr>
        <w:sectPr>
          <w:footerReference r:id="rId3" w:type="default"/>
          <w:pgSz w:w="11906" w:h="16839"/>
          <w:pgMar w:top="1440" w:right="1800" w:bottom="1440" w:left="1800" w:header="0" w:footer="1112" w:gutter="0"/>
          <w:pgNumType w:fmt="numberInDash"/>
          <w:cols w:space="0" w:num="1"/>
          <w:rtlGutter w:val="0"/>
          <w:docGrid w:linePitch="0" w:charSpace="0"/>
        </w:sectPr>
      </w:pPr>
      <w:r>
        <w:rPr>
          <w:rFonts w:ascii="宋体" w:hAnsi="宋体" w:eastAsia="宋体" w:cs="宋体"/>
          <w:snapToGrid w:val="0"/>
          <w:color w:val="auto"/>
          <w:spacing w:val="0"/>
          <w:kern w:val="0"/>
          <w:position w:val="0"/>
          <w:sz w:val="24"/>
          <w:szCs w:val="24"/>
          <w:lang w:val="en-US" w:eastAsia="en-US" w:bidi="ar-SA"/>
        </w:rPr>
        <w:t>帐       号 ：</w:t>
      </w:r>
      <w:r>
        <w:rPr>
          <w:rFonts w:ascii="宋体" w:hAnsi="宋体" w:eastAsia="宋体" w:cs="宋体"/>
          <w:snapToGrid w:val="0"/>
          <w:color w:val="auto"/>
          <w:spacing w:val="0"/>
          <w:kern w:val="0"/>
          <w:position w:val="0"/>
          <w:sz w:val="24"/>
          <w:szCs w:val="24"/>
          <w:u w:val="single" w:color="auto"/>
          <w:lang w:val="en-US" w:eastAsia="en-US" w:bidi="ar-SA"/>
        </w:rPr>
        <w:t xml:space="preserve">                </w:t>
      </w:r>
    </w:p>
    <w:p w14:paraId="2CB6608A">
      <w:pPr>
        <w:widowControl/>
        <w:kinsoku w:val="0"/>
        <w:autoSpaceDE w:val="0"/>
        <w:autoSpaceDN w:val="0"/>
        <w:adjustRightInd w:val="0"/>
        <w:snapToGrid w:val="0"/>
        <w:spacing w:before="98" w:line="222" w:lineRule="auto"/>
        <w:ind w:left="2568"/>
        <w:jc w:val="left"/>
        <w:textAlignment w:val="baseline"/>
        <w:outlineLvl w:val="1"/>
        <w:rPr>
          <w:rFonts w:ascii="黑体" w:hAnsi="黑体" w:eastAsia="黑体" w:cs="黑体"/>
          <w:snapToGrid w:val="0"/>
          <w:color w:val="auto"/>
          <w:spacing w:val="0"/>
          <w:kern w:val="0"/>
          <w:position w:val="0"/>
          <w:sz w:val="30"/>
          <w:szCs w:val="30"/>
          <w:lang w:eastAsia="en-US"/>
        </w:rPr>
      </w:pPr>
      <w:bookmarkStart w:id="52" w:name="bookmark31"/>
      <w:bookmarkEnd w:id="52"/>
      <w:bookmarkStart w:id="53" w:name="_Toc9235"/>
      <w:bookmarkStart w:id="54" w:name="_Toc8133"/>
      <w:r>
        <w:rPr>
          <w:rFonts w:ascii="黑体" w:hAnsi="黑体" w:eastAsia="黑体" w:cs="黑体"/>
          <w:snapToGrid w:val="0"/>
          <w:color w:val="auto"/>
          <w:spacing w:val="0"/>
          <w:kern w:val="0"/>
          <w:position w:val="0"/>
          <w:sz w:val="30"/>
          <w:szCs w:val="30"/>
          <w:lang w:eastAsia="en-US"/>
        </w:rPr>
        <w:t>二、政府采购合同通用条款</w:t>
      </w:r>
      <w:bookmarkEnd w:id="53"/>
      <w:bookmarkEnd w:id="54"/>
    </w:p>
    <w:p w14:paraId="23FF0312">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spacing w:val="0"/>
          <w:kern w:val="0"/>
          <w:position w:val="0"/>
          <w:sz w:val="21"/>
          <w:szCs w:val="21"/>
          <w:lang w:eastAsia="en-US"/>
        </w:rPr>
      </w:pPr>
    </w:p>
    <w:p w14:paraId="4CCE9831">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spacing w:val="0"/>
          <w:kern w:val="0"/>
          <w:position w:val="0"/>
          <w:sz w:val="21"/>
          <w:szCs w:val="21"/>
          <w:lang w:eastAsia="en-US"/>
        </w:rPr>
      </w:pPr>
    </w:p>
    <w:p w14:paraId="5B4AD5D1">
      <w:pPr>
        <w:widowControl/>
        <w:kinsoku w:val="0"/>
        <w:autoSpaceDE w:val="0"/>
        <w:autoSpaceDN w:val="0"/>
        <w:adjustRightInd w:val="0"/>
        <w:snapToGrid w:val="0"/>
        <w:spacing w:line="279" w:lineRule="auto"/>
        <w:jc w:val="left"/>
        <w:textAlignment w:val="baseline"/>
        <w:rPr>
          <w:rFonts w:ascii="Arial" w:hAnsi="Arial" w:eastAsia="Arial" w:cs="Arial"/>
          <w:snapToGrid w:val="0"/>
          <w:color w:val="auto"/>
          <w:spacing w:val="0"/>
          <w:kern w:val="0"/>
          <w:position w:val="0"/>
          <w:sz w:val="21"/>
          <w:szCs w:val="21"/>
          <w:lang w:eastAsia="en-US"/>
        </w:rPr>
      </w:pPr>
    </w:p>
    <w:p w14:paraId="74E2FEB9">
      <w:pPr>
        <w:kinsoku w:val="0"/>
        <w:autoSpaceDE w:val="0"/>
        <w:autoSpaceDN w:val="0"/>
        <w:adjustRightInd w:val="0"/>
        <w:snapToGrid w:val="0"/>
        <w:spacing w:before="65" w:line="375" w:lineRule="auto"/>
        <w:ind w:firstLine="416"/>
        <w:jc w:val="left"/>
        <w:textAlignment w:val="baseline"/>
        <w:rPr>
          <w:rFonts w:ascii="宋体" w:hAnsi="宋体" w:eastAsia="宋体" w:cs="宋体"/>
          <w:snapToGrid w:val="0"/>
          <w:color w:val="auto"/>
          <w:spacing w:val="0"/>
          <w:kern w:val="0"/>
          <w:position w:val="0"/>
          <w:sz w:val="20"/>
          <w:szCs w:val="20"/>
          <w:lang w:val="en-US" w:eastAsia="en-US" w:bidi="ar-SA"/>
        </w:rPr>
      </w:pPr>
      <w:r>
        <w:rPr>
          <w:rFonts w:ascii="宋体" w:hAnsi="宋体" w:eastAsia="宋体" w:cs="宋体"/>
          <w:snapToGrid w:val="0"/>
          <w:color w:val="auto"/>
          <w:spacing w:val="0"/>
          <w:kern w:val="0"/>
          <w:position w:val="0"/>
          <w:sz w:val="20"/>
          <w:szCs w:val="20"/>
          <w:lang w:val="en-US" w:eastAsia="en-US" w:bidi="ar-SA"/>
        </w:rPr>
        <w:t>按《关于印发建设工程施工合同（示范文本）（HNJS-2014）的通知》 (湘建价〔2014〕114号)《建设工程施工合同》第二部分执行。详见湖南住房和建设网(</w:t>
      </w:r>
      <w:r>
        <w:rPr>
          <w:rFonts w:ascii="宋体" w:hAnsi="宋体" w:eastAsia="宋体" w:cs="宋体"/>
          <w:snapToGrid w:val="0"/>
          <w:color w:val="auto"/>
          <w:spacing w:val="0"/>
          <w:kern w:val="0"/>
          <w:position w:val="0"/>
          <w:sz w:val="31"/>
          <w:szCs w:val="31"/>
          <w:lang w:val="en-US" w:eastAsia="en-US" w:bidi="ar-SA"/>
        </w:rPr>
        <w:fldChar w:fldCharType="begin"/>
      </w:r>
      <w:r>
        <w:rPr>
          <w:rFonts w:ascii="宋体" w:hAnsi="宋体" w:eastAsia="宋体" w:cs="宋体"/>
          <w:snapToGrid w:val="0"/>
          <w:color w:val="auto"/>
          <w:spacing w:val="0"/>
          <w:kern w:val="0"/>
          <w:position w:val="0"/>
          <w:sz w:val="31"/>
          <w:szCs w:val="31"/>
          <w:lang w:val="en-US" w:eastAsia="en-US" w:bidi="ar-SA"/>
        </w:rPr>
        <w:instrText xml:space="preserve"> HYPERLINK "www：hunanjs.gov.cn" </w:instrText>
      </w:r>
      <w:r>
        <w:rPr>
          <w:rFonts w:ascii="宋体" w:hAnsi="宋体" w:eastAsia="宋体" w:cs="宋体"/>
          <w:snapToGrid w:val="0"/>
          <w:color w:val="auto"/>
          <w:spacing w:val="0"/>
          <w:kern w:val="0"/>
          <w:position w:val="0"/>
          <w:sz w:val="31"/>
          <w:szCs w:val="31"/>
          <w:lang w:val="en-US" w:eastAsia="en-US" w:bidi="ar-SA"/>
        </w:rPr>
        <w:fldChar w:fldCharType="separate"/>
      </w:r>
      <w:r>
        <w:rPr>
          <w:rFonts w:ascii="宋体" w:hAnsi="宋体" w:eastAsia="宋体" w:cs="宋体"/>
          <w:snapToGrid w:val="0"/>
          <w:color w:val="auto"/>
          <w:spacing w:val="0"/>
          <w:kern w:val="0"/>
          <w:position w:val="0"/>
          <w:sz w:val="20"/>
          <w:szCs w:val="20"/>
          <w:lang w:val="en-US" w:eastAsia="en-US" w:bidi="ar-SA"/>
        </w:rPr>
        <w:t>www：hunanjs.gov.cn</w:t>
      </w:r>
      <w:r>
        <w:rPr>
          <w:rFonts w:ascii="宋体" w:hAnsi="宋体" w:eastAsia="宋体" w:cs="宋体"/>
          <w:snapToGrid w:val="0"/>
          <w:color w:val="auto"/>
          <w:spacing w:val="0"/>
          <w:kern w:val="0"/>
          <w:position w:val="0"/>
          <w:sz w:val="20"/>
          <w:szCs w:val="20"/>
          <w:lang w:val="en-US" w:eastAsia="en-US" w:bidi="ar-SA"/>
        </w:rPr>
        <w:fldChar w:fldCharType="end"/>
      </w:r>
      <w:r>
        <w:rPr>
          <w:rFonts w:ascii="宋体" w:hAnsi="宋体" w:eastAsia="宋体" w:cs="宋体"/>
          <w:snapToGrid w:val="0"/>
          <w:color w:val="auto"/>
          <w:spacing w:val="0"/>
          <w:kern w:val="0"/>
          <w:position w:val="0"/>
          <w:sz w:val="20"/>
          <w:szCs w:val="20"/>
          <w:lang w:val="en-US" w:eastAsia="en-US" w:bidi="ar-SA"/>
        </w:rPr>
        <w:t>)。</w:t>
      </w:r>
    </w:p>
    <w:p w14:paraId="406D80B5">
      <w:pPr>
        <w:spacing w:line="375" w:lineRule="auto"/>
        <w:rPr>
          <w:color w:val="auto"/>
          <w:spacing w:val="0"/>
          <w:position w:val="0"/>
          <w:sz w:val="20"/>
          <w:szCs w:val="20"/>
        </w:rPr>
        <w:sectPr>
          <w:footerReference r:id="rId4" w:type="default"/>
          <w:pgSz w:w="11906" w:h="16839"/>
          <w:pgMar w:top="1440" w:right="1800" w:bottom="1440" w:left="1800" w:header="0" w:footer="1112" w:gutter="0"/>
          <w:pgNumType w:fmt="numberInDash"/>
          <w:cols w:space="0" w:num="1"/>
          <w:rtlGutter w:val="0"/>
          <w:docGrid w:linePitch="0" w:charSpace="0"/>
        </w:sectPr>
      </w:pPr>
    </w:p>
    <w:p w14:paraId="44B4A164">
      <w:pPr>
        <w:widowControl/>
        <w:kinsoku w:val="0"/>
        <w:autoSpaceDE w:val="0"/>
        <w:autoSpaceDN w:val="0"/>
        <w:adjustRightInd w:val="0"/>
        <w:snapToGrid w:val="0"/>
        <w:spacing w:before="97" w:line="223" w:lineRule="auto"/>
        <w:ind w:left="2583"/>
        <w:jc w:val="left"/>
        <w:textAlignment w:val="baseline"/>
        <w:outlineLvl w:val="1"/>
        <w:rPr>
          <w:rFonts w:ascii="黑体" w:hAnsi="黑体" w:eastAsia="黑体" w:cs="黑体"/>
          <w:snapToGrid w:val="0"/>
          <w:color w:val="auto"/>
          <w:spacing w:val="0"/>
          <w:kern w:val="0"/>
          <w:position w:val="0"/>
          <w:sz w:val="30"/>
          <w:szCs w:val="30"/>
          <w:lang w:eastAsia="en-US"/>
        </w:rPr>
      </w:pPr>
      <w:bookmarkStart w:id="55" w:name="bookmark32"/>
      <w:bookmarkEnd w:id="55"/>
      <w:bookmarkStart w:id="56" w:name="_Toc3804"/>
      <w:bookmarkStart w:id="57" w:name="_Toc25488"/>
      <w:r>
        <w:rPr>
          <w:rFonts w:ascii="黑体" w:hAnsi="黑体" w:eastAsia="黑体" w:cs="黑体"/>
          <w:snapToGrid w:val="0"/>
          <w:color w:val="auto"/>
          <w:spacing w:val="0"/>
          <w:kern w:val="0"/>
          <w:position w:val="0"/>
          <w:sz w:val="30"/>
          <w:szCs w:val="30"/>
          <w:lang w:eastAsia="en-US"/>
        </w:rPr>
        <w:t>三、政府采购合同专用条款</w:t>
      </w:r>
      <w:bookmarkEnd w:id="56"/>
      <w:bookmarkEnd w:id="57"/>
    </w:p>
    <w:p w14:paraId="5E4AB6C3">
      <w:pPr>
        <w:widowControl/>
        <w:kinsoku w:val="0"/>
        <w:autoSpaceDE w:val="0"/>
        <w:autoSpaceDN w:val="0"/>
        <w:adjustRightInd w:val="0"/>
        <w:snapToGrid w:val="0"/>
        <w:spacing w:line="334" w:lineRule="auto"/>
        <w:jc w:val="left"/>
        <w:textAlignment w:val="baseline"/>
        <w:rPr>
          <w:rFonts w:ascii="Arial" w:hAnsi="Arial" w:eastAsia="Arial" w:cs="Arial"/>
          <w:snapToGrid w:val="0"/>
          <w:color w:val="auto"/>
          <w:spacing w:val="0"/>
          <w:kern w:val="0"/>
          <w:position w:val="0"/>
          <w:sz w:val="21"/>
          <w:szCs w:val="21"/>
          <w:lang w:eastAsia="en-US"/>
        </w:rPr>
      </w:pPr>
    </w:p>
    <w:p w14:paraId="4FFFDA63">
      <w:pPr>
        <w:widowControl/>
        <w:kinsoku w:val="0"/>
        <w:autoSpaceDE w:val="0"/>
        <w:autoSpaceDN w:val="0"/>
        <w:adjustRightInd w:val="0"/>
        <w:snapToGrid w:val="0"/>
        <w:spacing w:line="334" w:lineRule="auto"/>
        <w:jc w:val="left"/>
        <w:textAlignment w:val="baseline"/>
        <w:rPr>
          <w:rFonts w:ascii="Arial" w:hAnsi="Arial" w:eastAsia="Arial" w:cs="Arial"/>
          <w:snapToGrid w:val="0"/>
          <w:color w:val="auto"/>
          <w:spacing w:val="0"/>
          <w:kern w:val="0"/>
          <w:position w:val="0"/>
          <w:sz w:val="21"/>
          <w:szCs w:val="21"/>
          <w:lang w:eastAsia="en-US"/>
        </w:rPr>
      </w:pPr>
    </w:p>
    <w:p w14:paraId="3E5B4B3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按采购建设工程的特殊要求，对第二部分通用合同条款的原则性约定进行细化、完善、补充、修改或另行约定。</w:t>
      </w:r>
    </w:p>
    <w:p w14:paraId="1453596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一般约定</w:t>
      </w:r>
    </w:p>
    <w:p w14:paraId="2CB1E7E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 词语定义</w:t>
      </w:r>
    </w:p>
    <w:p w14:paraId="5FF80E4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 合同</w:t>
      </w:r>
    </w:p>
    <w:p w14:paraId="244FE4A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1.1.1.10 其他合同文件包括：</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0CA3B70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1.1.2 合同当事人及其他相关方</w:t>
      </w:r>
    </w:p>
    <w:p w14:paraId="6CFCD64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1.1.2.4 监理人：</w:t>
      </w:r>
    </w:p>
    <w:p w14:paraId="12410C1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名    称 ：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406EEA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资质类别和等级：</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56B1F3E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联系电话：</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37591B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电子信箱：</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1C3D698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通信地址：</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259C9DD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1.1.2.5 设计人：</w:t>
      </w:r>
    </w:p>
    <w:p w14:paraId="68E7EB8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名    称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19961CC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资质类别和等级：</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505AD4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联系电话：</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1A5B5F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电子信箱：</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6E25993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通信地址：</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1F7F982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1.1.3 工程和设备</w:t>
      </w:r>
    </w:p>
    <w:p w14:paraId="135CF5A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1.1.3.7 作为施工现场组成部分的其他场所包括：</w:t>
      </w:r>
      <w:r>
        <w:rPr>
          <w:rFonts w:hint="eastAsia" w:ascii="宋体" w:hAnsi="宋体" w:eastAsia="宋体" w:cs="宋体"/>
          <w:snapToGrid w:val="0"/>
          <w:color w:val="auto"/>
          <w:spacing w:val="0"/>
          <w:kern w:val="0"/>
          <w:position w:val="0"/>
          <w:sz w:val="24"/>
          <w:szCs w:val="24"/>
          <w:u w:val="single" w:color="auto"/>
          <w:lang w:val="en-US" w:eastAsia="en-US" w:bidi="ar-SA"/>
        </w:rPr>
        <w:t>永久占地和临时占地</w:t>
      </w:r>
      <w:r>
        <w:rPr>
          <w:rFonts w:hint="eastAsia" w:ascii="宋体" w:hAnsi="宋体" w:eastAsia="宋体" w:cs="宋体"/>
          <w:snapToGrid w:val="0"/>
          <w:color w:val="auto"/>
          <w:spacing w:val="0"/>
          <w:kern w:val="0"/>
          <w:position w:val="0"/>
          <w:sz w:val="24"/>
          <w:szCs w:val="24"/>
          <w:lang w:val="en-US" w:eastAsia="en-US" w:bidi="ar-SA"/>
        </w:rPr>
        <w:t>。</w:t>
      </w:r>
    </w:p>
    <w:p w14:paraId="19944C7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1.1.3.9 永久占地包括：</w:t>
      </w:r>
      <w:r>
        <w:rPr>
          <w:rFonts w:hint="eastAsia" w:ascii="宋体" w:hAnsi="宋体" w:eastAsia="宋体" w:cs="宋体"/>
          <w:snapToGrid w:val="0"/>
          <w:color w:val="auto"/>
          <w:spacing w:val="0"/>
          <w:kern w:val="0"/>
          <w:position w:val="0"/>
          <w:sz w:val="24"/>
          <w:szCs w:val="24"/>
          <w:u w:val="single" w:color="auto"/>
          <w:lang w:val="en-US" w:eastAsia="en-US" w:bidi="ar-SA"/>
        </w:rPr>
        <w:t>详见征地红线和设计图纸。</w:t>
      </w:r>
    </w:p>
    <w:p w14:paraId="4FC2B16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1.1.3.10 临时占地包括：根据施工实际需要报监理，发包人批准后的实际面积。</w:t>
      </w:r>
    </w:p>
    <w:p w14:paraId="2FEB4E7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 法律</w:t>
      </w:r>
    </w:p>
    <w:p w14:paraId="588D888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2"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适用于合同的其他规范性文件：</w:t>
      </w:r>
      <w:r>
        <w:rPr>
          <w:rFonts w:hint="eastAsia" w:ascii="宋体" w:hAnsi="宋体" w:eastAsia="宋体" w:cs="宋体"/>
          <w:b/>
          <w:bCs/>
          <w:snapToGrid w:val="0"/>
          <w:color w:val="auto"/>
          <w:spacing w:val="0"/>
          <w:kern w:val="0"/>
          <w:position w:val="0"/>
          <w:sz w:val="24"/>
          <w:szCs w:val="24"/>
          <w:u w:val="single" w:color="auto"/>
          <w:lang w:val="en-US" w:eastAsia="en-US" w:bidi="ar-SA"/>
        </w:rPr>
        <w:t>《建设工程工程量清单计价标准</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GB/T50500-2024</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《湖南省住房和城乡建设厅关于执行《建设工程工程量清单计价标准》及配套工程量计算标准的通知》（湘建科函[2025]150号)</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湖南省住房城乡建设厅关于发布2025《湖南省建设工程消耗量标准》的通知》</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湘建科函[2025]151号</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default" w:ascii="宋体" w:hAnsi="宋体" w:eastAsia="宋体" w:cs="宋体"/>
          <w:b/>
          <w:bCs/>
          <w:snapToGrid w:val="0"/>
          <w:color w:val="auto"/>
          <w:spacing w:val="0"/>
          <w:kern w:val="0"/>
          <w:position w:val="0"/>
          <w:sz w:val="24"/>
          <w:szCs w:val="24"/>
          <w:u w:val="single" w:color="auto"/>
          <w:lang w:val="en-US" w:eastAsia="en-US" w:bidi="ar-SA"/>
        </w:rPr>
        <w:t>湖南省住房和城乡建设厅关于进一步加强全省房屋市政工程安全防护、文明施工措施费用使用管理的通知</w:t>
      </w:r>
      <w:r>
        <w:rPr>
          <w:rFonts w:hint="eastAsia" w:ascii="宋体" w:hAnsi="宋体" w:eastAsia="宋体" w:cs="宋体"/>
          <w:b/>
          <w:bCs/>
          <w:snapToGrid w:val="0"/>
          <w:color w:val="auto"/>
          <w:spacing w:val="0"/>
          <w:kern w:val="0"/>
          <w:position w:val="0"/>
          <w:sz w:val="24"/>
          <w:szCs w:val="24"/>
          <w:u w:val="single" w:color="auto"/>
          <w:lang w:val="en-US" w:eastAsia="zh-CN" w:bidi="ar-SA"/>
        </w:rPr>
        <w:t>》（湘建质</w:t>
      </w:r>
      <w:r>
        <w:rPr>
          <w:rFonts w:hint="default" w:ascii="宋体" w:hAnsi="宋体" w:eastAsia="宋体" w:cs="宋体"/>
          <w:b/>
          <w:bCs/>
          <w:snapToGrid w:val="0"/>
          <w:color w:val="auto"/>
          <w:spacing w:val="0"/>
          <w:kern w:val="0"/>
          <w:position w:val="0"/>
          <w:sz w:val="24"/>
          <w:szCs w:val="24"/>
          <w:u w:val="single" w:color="auto"/>
          <w:lang w:val="en-US" w:eastAsia="zh-CN" w:bidi="ar-SA"/>
        </w:rPr>
        <w:t>[2026]80</w:t>
      </w:r>
      <w:r>
        <w:rPr>
          <w:rFonts w:hint="eastAsia" w:ascii="宋体" w:hAnsi="宋体" w:eastAsia="宋体" w:cs="宋体"/>
          <w:b/>
          <w:bCs/>
          <w:snapToGrid w:val="0"/>
          <w:color w:val="auto"/>
          <w:spacing w:val="0"/>
          <w:kern w:val="0"/>
          <w:position w:val="0"/>
          <w:sz w:val="24"/>
          <w:szCs w:val="24"/>
          <w:u w:val="single" w:color="auto"/>
          <w:lang w:val="en-US" w:eastAsia="zh-CN" w:bidi="ar-SA"/>
        </w:rPr>
        <w:t>号）</w:t>
      </w:r>
      <w:r>
        <w:rPr>
          <w:rFonts w:hint="eastAsia" w:ascii="宋体" w:hAnsi="宋体" w:eastAsia="宋体" w:cs="宋体"/>
          <w:b/>
          <w:bCs/>
          <w:snapToGrid w:val="0"/>
          <w:color w:val="auto"/>
          <w:spacing w:val="0"/>
          <w:kern w:val="0"/>
          <w:position w:val="0"/>
          <w:sz w:val="24"/>
          <w:szCs w:val="24"/>
          <w:u w:val="single" w:color="auto"/>
          <w:lang w:val="en-US" w:eastAsia="en-US" w:bidi="ar-SA"/>
        </w:rPr>
        <w:t>等。</w:t>
      </w:r>
    </w:p>
    <w:p w14:paraId="07931DF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 标准和规范</w:t>
      </w:r>
    </w:p>
    <w:p w14:paraId="687E668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1.4.1 适用于工程的标准规范包括：</w:t>
      </w:r>
      <w:r>
        <w:rPr>
          <w:rFonts w:hint="eastAsia" w:ascii="宋体" w:hAnsi="宋体" w:eastAsia="宋体" w:cs="宋体"/>
          <w:snapToGrid w:val="0"/>
          <w:color w:val="auto"/>
          <w:spacing w:val="0"/>
          <w:kern w:val="0"/>
          <w:position w:val="0"/>
          <w:sz w:val="24"/>
          <w:szCs w:val="24"/>
          <w:u w:val="single" w:color="auto"/>
          <w:lang w:val="en-US" w:eastAsia="en-US" w:bidi="ar-SA"/>
        </w:rPr>
        <w:t xml:space="preserve">  国家建筑工程现行施工验收规范</w:t>
      </w:r>
      <w:r>
        <w:rPr>
          <w:rFonts w:hint="eastAsia" w:ascii="宋体" w:hAnsi="宋体" w:eastAsia="宋体" w:cs="宋体"/>
          <w:snapToGrid w:val="0"/>
          <w:color w:val="auto"/>
          <w:spacing w:val="0"/>
          <w:kern w:val="0"/>
          <w:position w:val="0"/>
          <w:sz w:val="24"/>
          <w:szCs w:val="24"/>
          <w:lang w:val="en-US" w:eastAsia="en-US" w:bidi="ar-SA"/>
        </w:rPr>
        <w:t xml:space="preserve"> 。</w:t>
      </w:r>
    </w:p>
    <w:p w14:paraId="0878604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1.4.2 发包人提供国外标准、规范的名称：</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36A5651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发包人提供国外标准、规范的份数：</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73D6C97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发包人提供国外标准、规范的名称：</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034D8EE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1.4.3 发包人对工程的技术标准和功能要求的特殊要求：</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1E1935E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 合同文件的优先顺序</w:t>
      </w:r>
    </w:p>
    <w:p w14:paraId="588A125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合同文件组成及优先顺序为：</w:t>
      </w:r>
    </w:p>
    <w:p w14:paraId="13319F5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（1）在采购或合同履行过程中乙方作出的承诺以及双方协商达成的变更或补充协议</w:t>
      </w:r>
    </w:p>
    <w:p w14:paraId="43F4605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（2）成交通知书</w:t>
      </w:r>
    </w:p>
    <w:p w14:paraId="3184064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（3）响应文件</w:t>
      </w:r>
    </w:p>
    <w:p w14:paraId="649624B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（4）采购合同格式条款及其附件</w:t>
      </w:r>
    </w:p>
    <w:p w14:paraId="37CB8C6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（5）专用合同条款</w:t>
      </w:r>
    </w:p>
    <w:p w14:paraId="6298050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（6）通用合同条款（如果有）</w:t>
      </w:r>
    </w:p>
    <w:p w14:paraId="5B5C91C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（7）标准、规范及有关技术文件，图纸，已标价工程量清单或预算书（如果有）</w:t>
      </w:r>
    </w:p>
    <w:p w14:paraId="7428BF8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（8）其他合同文件。</w:t>
      </w:r>
    </w:p>
    <w:p w14:paraId="319E85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 图纸和承包人文件</w:t>
      </w:r>
    </w:p>
    <w:p w14:paraId="34C59A1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1.6.1 图纸的提供</w:t>
      </w:r>
    </w:p>
    <w:p w14:paraId="252C449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发包人向承包人提供图纸的期限：</w:t>
      </w:r>
      <w:r>
        <w:rPr>
          <w:rFonts w:hint="eastAsia" w:ascii="宋体" w:hAnsi="宋体" w:eastAsia="宋体" w:cs="宋体"/>
          <w:snapToGrid w:val="0"/>
          <w:color w:val="auto"/>
          <w:spacing w:val="0"/>
          <w:kern w:val="0"/>
          <w:position w:val="0"/>
          <w:sz w:val="24"/>
          <w:szCs w:val="24"/>
          <w:u w:val="single" w:color="auto"/>
          <w:lang w:val="en-US" w:eastAsia="en-US" w:bidi="ar-SA"/>
        </w:rPr>
        <w:t>开工前 14 天内；</w:t>
      </w:r>
    </w:p>
    <w:p w14:paraId="052C9B0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发包人向承包人提供图纸的数量：</w:t>
      </w:r>
      <w:r>
        <w:rPr>
          <w:rFonts w:hint="eastAsia" w:ascii="宋体" w:hAnsi="宋体" w:eastAsia="宋体" w:cs="宋体"/>
          <w:snapToGrid w:val="0"/>
          <w:color w:val="auto"/>
          <w:spacing w:val="0"/>
          <w:kern w:val="0"/>
          <w:position w:val="0"/>
          <w:sz w:val="24"/>
          <w:szCs w:val="24"/>
          <w:u w:val="single" w:color="auto"/>
          <w:lang w:val="en-US" w:eastAsia="en-US" w:bidi="ar-SA"/>
        </w:rPr>
        <w:t>免费提供两套施工图纸</w:t>
      </w:r>
      <w:r>
        <w:rPr>
          <w:rFonts w:hint="eastAsia" w:ascii="宋体" w:hAnsi="宋体" w:eastAsia="宋体" w:cs="宋体"/>
          <w:snapToGrid w:val="0"/>
          <w:color w:val="auto"/>
          <w:spacing w:val="0"/>
          <w:kern w:val="0"/>
          <w:position w:val="0"/>
          <w:sz w:val="24"/>
          <w:szCs w:val="24"/>
          <w:lang w:val="en-US" w:eastAsia="en-US" w:bidi="ar-SA"/>
        </w:rPr>
        <w:t>；</w:t>
      </w:r>
    </w:p>
    <w:p w14:paraId="78F405B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发包人向承包人提供图纸的内容：</w:t>
      </w:r>
      <w:r>
        <w:rPr>
          <w:rFonts w:hint="eastAsia" w:ascii="宋体" w:hAnsi="宋体" w:eastAsia="宋体" w:cs="宋体"/>
          <w:snapToGrid w:val="0"/>
          <w:color w:val="auto"/>
          <w:spacing w:val="0"/>
          <w:kern w:val="0"/>
          <w:position w:val="0"/>
          <w:sz w:val="24"/>
          <w:szCs w:val="24"/>
          <w:u w:val="single" w:color="auto"/>
          <w:lang w:val="en-US" w:eastAsia="en-US" w:bidi="ar-SA"/>
        </w:rPr>
        <w:t>完整的施工图纸</w:t>
      </w:r>
      <w:r>
        <w:rPr>
          <w:rFonts w:hint="eastAsia" w:ascii="宋体" w:hAnsi="宋体" w:eastAsia="宋体" w:cs="宋体"/>
          <w:snapToGrid w:val="0"/>
          <w:color w:val="auto"/>
          <w:spacing w:val="0"/>
          <w:kern w:val="0"/>
          <w:position w:val="0"/>
          <w:sz w:val="24"/>
          <w:szCs w:val="24"/>
          <w:lang w:val="en-US" w:eastAsia="en-US" w:bidi="ar-SA"/>
        </w:rPr>
        <w:t>。</w:t>
      </w:r>
    </w:p>
    <w:p w14:paraId="73C55A4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eastAsia="en-US"/>
        </w:rPr>
      </w:pPr>
      <w:r>
        <w:rPr>
          <w:rFonts w:hint="eastAsia" w:ascii="宋体" w:hAnsi="宋体" w:eastAsia="宋体" w:cs="宋体"/>
          <w:snapToGrid w:val="0"/>
          <w:color w:val="auto"/>
          <w:spacing w:val="0"/>
          <w:kern w:val="0"/>
          <w:position w:val="0"/>
          <w:sz w:val="24"/>
          <w:szCs w:val="24"/>
          <w:lang w:eastAsia="en-US"/>
        </w:rPr>
        <w:t>1.6.4 承包人文件</w:t>
      </w:r>
    </w:p>
    <w:p w14:paraId="58A9806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eastAsia="en-US"/>
        </w:rPr>
      </w:pPr>
      <w:r>
        <w:rPr>
          <w:rFonts w:hint="eastAsia" w:ascii="宋体" w:hAnsi="宋体" w:eastAsia="宋体" w:cs="宋体"/>
          <w:snapToGrid w:val="0"/>
          <w:color w:val="auto"/>
          <w:spacing w:val="0"/>
          <w:kern w:val="0"/>
          <w:position w:val="0"/>
          <w:sz w:val="24"/>
          <w:szCs w:val="24"/>
          <w:lang w:eastAsia="en-US"/>
        </w:rPr>
        <w:t>需要由承包人提供的文件，包括：</w:t>
      </w:r>
      <w:r>
        <w:rPr>
          <w:rFonts w:hint="eastAsia" w:ascii="宋体" w:hAnsi="宋体" w:eastAsia="宋体" w:cs="宋体"/>
          <w:snapToGrid w:val="0"/>
          <w:color w:val="auto"/>
          <w:spacing w:val="0"/>
          <w:kern w:val="0"/>
          <w:position w:val="0"/>
          <w:sz w:val="24"/>
          <w:szCs w:val="24"/>
          <w:u w:val="single" w:color="auto"/>
          <w:lang w:eastAsia="en-US"/>
        </w:rPr>
        <w:t>按建筑工程相关规范要求及相关法律法规和监理工程师要求</w:t>
      </w:r>
      <w:r>
        <w:rPr>
          <w:rFonts w:hint="eastAsia" w:ascii="宋体" w:hAnsi="宋体" w:eastAsia="宋体" w:cs="宋体"/>
          <w:snapToGrid w:val="0"/>
          <w:color w:val="auto"/>
          <w:spacing w:val="0"/>
          <w:kern w:val="0"/>
          <w:position w:val="0"/>
          <w:sz w:val="24"/>
          <w:szCs w:val="24"/>
          <w:lang w:eastAsia="en-US"/>
        </w:rPr>
        <w:t>；</w:t>
      </w:r>
    </w:p>
    <w:p w14:paraId="384E460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承包人提供的文件的期限为：</w:t>
      </w:r>
      <w:r>
        <w:rPr>
          <w:rFonts w:hint="eastAsia" w:ascii="宋体" w:hAnsi="宋体" w:eastAsia="宋体" w:cs="宋体"/>
          <w:snapToGrid w:val="0"/>
          <w:color w:val="auto"/>
          <w:spacing w:val="0"/>
          <w:kern w:val="0"/>
          <w:position w:val="0"/>
          <w:sz w:val="24"/>
          <w:szCs w:val="24"/>
          <w:u w:val="single" w:color="auto"/>
          <w:lang w:val="en-US" w:eastAsia="en-US" w:bidi="ar-SA"/>
        </w:rPr>
        <w:t>每月 25 日提供进度报表，其它按工程师要求，同时根据施工进度情况申报材料及工序验收资料</w:t>
      </w:r>
      <w:r>
        <w:rPr>
          <w:rFonts w:hint="eastAsia" w:ascii="宋体" w:hAnsi="宋体" w:eastAsia="宋体" w:cs="宋体"/>
          <w:snapToGrid w:val="0"/>
          <w:color w:val="auto"/>
          <w:spacing w:val="0"/>
          <w:kern w:val="0"/>
          <w:position w:val="0"/>
          <w:sz w:val="24"/>
          <w:szCs w:val="24"/>
          <w:lang w:val="en-US" w:eastAsia="en-US" w:bidi="ar-SA"/>
        </w:rPr>
        <w:t>；</w:t>
      </w:r>
    </w:p>
    <w:p w14:paraId="34A58AA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承包人提供的文件的数量为：</w:t>
      </w:r>
      <w:r>
        <w:rPr>
          <w:rFonts w:hint="eastAsia" w:ascii="宋体" w:hAnsi="宋体" w:eastAsia="宋体" w:cs="宋体"/>
          <w:snapToGrid w:val="0"/>
          <w:color w:val="auto"/>
          <w:spacing w:val="0"/>
          <w:kern w:val="0"/>
          <w:position w:val="0"/>
          <w:sz w:val="24"/>
          <w:szCs w:val="24"/>
          <w:u w:val="single" w:color="auto"/>
          <w:lang w:val="en-US" w:eastAsia="en-US" w:bidi="ar-SA"/>
        </w:rPr>
        <w:t>三份</w:t>
      </w:r>
      <w:r>
        <w:rPr>
          <w:rFonts w:hint="eastAsia" w:ascii="宋体" w:hAnsi="宋体" w:eastAsia="宋体" w:cs="宋体"/>
          <w:snapToGrid w:val="0"/>
          <w:color w:val="auto"/>
          <w:spacing w:val="0"/>
          <w:kern w:val="0"/>
          <w:position w:val="0"/>
          <w:sz w:val="24"/>
          <w:szCs w:val="24"/>
          <w:lang w:val="en-US" w:eastAsia="en-US" w:bidi="ar-SA"/>
        </w:rPr>
        <w:t>；</w:t>
      </w:r>
    </w:p>
    <w:p w14:paraId="2DE0D08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承包人提供的文件的形式为：</w:t>
      </w:r>
      <w:r>
        <w:rPr>
          <w:rFonts w:hint="eastAsia" w:ascii="宋体" w:hAnsi="宋体" w:eastAsia="宋体" w:cs="宋体"/>
          <w:snapToGrid w:val="0"/>
          <w:color w:val="auto"/>
          <w:spacing w:val="0"/>
          <w:kern w:val="0"/>
          <w:position w:val="0"/>
          <w:sz w:val="24"/>
          <w:szCs w:val="24"/>
          <w:u w:val="single" w:color="auto"/>
          <w:lang w:val="en-US" w:eastAsia="en-US" w:bidi="ar-SA"/>
        </w:rPr>
        <w:t>纸质及电子形式</w:t>
      </w:r>
      <w:r>
        <w:rPr>
          <w:rFonts w:hint="eastAsia" w:ascii="宋体" w:hAnsi="宋体" w:eastAsia="宋体" w:cs="宋体"/>
          <w:snapToGrid w:val="0"/>
          <w:color w:val="auto"/>
          <w:spacing w:val="0"/>
          <w:kern w:val="0"/>
          <w:position w:val="0"/>
          <w:sz w:val="24"/>
          <w:szCs w:val="24"/>
          <w:lang w:val="en-US" w:eastAsia="en-US" w:bidi="ar-SA"/>
        </w:rPr>
        <w:t>；</w:t>
      </w:r>
    </w:p>
    <w:p w14:paraId="1807121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发包人审批承包人文件的期限：</w:t>
      </w:r>
      <w:r>
        <w:rPr>
          <w:rFonts w:hint="eastAsia" w:ascii="宋体" w:hAnsi="宋体" w:eastAsia="宋体" w:cs="宋体"/>
          <w:snapToGrid w:val="0"/>
          <w:color w:val="auto"/>
          <w:spacing w:val="0"/>
          <w:kern w:val="0"/>
          <w:position w:val="0"/>
          <w:sz w:val="24"/>
          <w:szCs w:val="24"/>
          <w:u w:val="single" w:color="auto"/>
          <w:lang w:val="en-US" w:eastAsia="en-US" w:bidi="ar-SA"/>
        </w:rPr>
        <w:t>收到后 7 日内</w:t>
      </w:r>
      <w:r>
        <w:rPr>
          <w:rFonts w:hint="eastAsia" w:ascii="宋体" w:hAnsi="宋体" w:eastAsia="宋体" w:cs="宋体"/>
          <w:snapToGrid w:val="0"/>
          <w:color w:val="auto"/>
          <w:spacing w:val="0"/>
          <w:kern w:val="0"/>
          <w:position w:val="0"/>
          <w:sz w:val="24"/>
          <w:szCs w:val="24"/>
          <w:lang w:val="en-US" w:eastAsia="en-US" w:bidi="ar-SA"/>
        </w:rPr>
        <w:t>。</w:t>
      </w:r>
    </w:p>
    <w:p w14:paraId="65F1A1B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1.6.5 现场图纸准备</w:t>
      </w:r>
    </w:p>
    <w:p w14:paraId="683C9A6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关于现场图纸准备的约定：</w:t>
      </w:r>
      <w:r>
        <w:rPr>
          <w:rFonts w:hint="eastAsia" w:ascii="宋体" w:hAnsi="宋体" w:eastAsia="宋体" w:cs="宋体"/>
          <w:snapToGrid w:val="0"/>
          <w:color w:val="auto"/>
          <w:spacing w:val="0"/>
          <w:kern w:val="0"/>
          <w:position w:val="0"/>
          <w:sz w:val="24"/>
          <w:szCs w:val="24"/>
          <w:u w:val="single" w:color="auto"/>
          <w:lang w:val="en-US" w:eastAsia="en-US" w:bidi="ar-SA"/>
        </w:rPr>
        <w:t>承包人自行准备</w:t>
      </w:r>
      <w:r>
        <w:rPr>
          <w:rFonts w:hint="eastAsia" w:ascii="宋体" w:hAnsi="宋体" w:eastAsia="宋体" w:cs="宋体"/>
          <w:snapToGrid w:val="0"/>
          <w:color w:val="auto"/>
          <w:spacing w:val="0"/>
          <w:kern w:val="0"/>
          <w:position w:val="0"/>
          <w:sz w:val="24"/>
          <w:szCs w:val="24"/>
          <w:lang w:val="en-US" w:eastAsia="en-US" w:bidi="ar-SA"/>
        </w:rPr>
        <w:t>。</w:t>
      </w:r>
    </w:p>
    <w:p w14:paraId="6AB797D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1.7 联络</w:t>
      </w:r>
    </w:p>
    <w:p w14:paraId="0D4E382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1.7.1 发包人和承包人应当在</w:t>
      </w:r>
      <w:r>
        <w:rPr>
          <w:rFonts w:hint="eastAsia" w:ascii="宋体" w:hAnsi="宋体" w:eastAsia="宋体" w:cs="宋体"/>
          <w:snapToGrid w:val="0"/>
          <w:color w:val="auto"/>
          <w:spacing w:val="0"/>
          <w:kern w:val="0"/>
          <w:position w:val="0"/>
          <w:sz w:val="24"/>
          <w:szCs w:val="24"/>
          <w:u w:val="single" w:color="auto"/>
          <w:lang w:val="en-US" w:eastAsia="en-US" w:bidi="ar-SA"/>
        </w:rPr>
        <w:t xml:space="preserve">  7  </w:t>
      </w:r>
      <w:r>
        <w:rPr>
          <w:rFonts w:hint="eastAsia" w:ascii="宋体" w:hAnsi="宋体" w:eastAsia="宋体" w:cs="宋体"/>
          <w:snapToGrid w:val="0"/>
          <w:color w:val="auto"/>
          <w:spacing w:val="0"/>
          <w:kern w:val="0"/>
          <w:position w:val="0"/>
          <w:sz w:val="24"/>
          <w:szCs w:val="24"/>
          <w:lang w:val="en-US" w:eastAsia="en-US" w:bidi="ar-SA"/>
        </w:rPr>
        <w:t xml:space="preserve"> 天内将与合同有关的通知、批准、证明、证书、指示、指令、要求、请求、同意、意见、确定和决定等书面函件送达对方当事人。</w:t>
      </w:r>
    </w:p>
    <w:p w14:paraId="4DF6F38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1.7.2 发包人接收文件的地点：</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075189C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发包人指定的接收人为：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4FEE605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承包人接收文件的地点：</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539300A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承包人指定的接收人为：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44248C1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监理人接收文件的地点：</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685FE54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监理人指定的接收人为：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D18AE3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1.10 交通运输</w:t>
      </w:r>
    </w:p>
    <w:p w14:paraId="602A6F5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1.10.1 出入现场的权利</w:t>
      </w:r>
    </w:p>
    <w:p w14:paraId="212B02F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关于出入现场的权利的约定：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办理出入施工场地专用和临时道路的通行权 </w:t>
      </w:r>
      <w:r>
        <w:rPr>
          <w:rFonts w:hint="eastAsia" w:ascii="宋体" w:hAnsi="宋体" w:eastAsia="宋体" w:cs="宋体"/>
          <w:snapToGrid w:val="0"/>
          <w:color w:val="auto"/>
          <w:spacing w:val="0"/>
          <w:kern w:val="0"/>
          <w:position w:val="0"/>
          <w:sz w:val="24"/>
          <w:szCs w:val="24"/>
          <w:lang w:val="en-US" w:eastAsia="en-US" w:bidi="ar-SA"/>
        </w:rPr>
        <w:t>。修建权和承担有关费用的约定：</w:t>
      </w:r>
      <w:r>
        <w:rPr>
          <w:rFonts w:hint="eastAsia" w:ascii="宋体" w:hAnsi="宋体" w:eastAsia="宋体" w:cs="宋体"/>
          <w:snapToGrid w:val="0"/>
          <w:color w:val="auto"/>
          <w:spacing w:val="0"/>
          <w:kern w:val="0"/>
          <w:position w:val="0"/>
          <w:sz w:val="24"/>
          <w:szCs w:val="24"/>
          <w:u w:val="single" w:color="auto"/>
          <w:lang w:val="en-US" w:eastAsia="en-US" w:bidi="ar-SA"/>
        </w:rPr>
        <w:t>纳入承包人统一管理并由承包人承担相应费用</w:t>
      </w:r>
      <w:r>
        <w:rPr>
          <w:rFonts w:hint="eastAsia" w:ascii="宋体" w:hAnsi="宋体" w:eastAsia="宋体" w:cs="宋体"/>
          <w:snapToGrid w:val="0"/>
          <w:color w:val="auto"/>
          <w:spacing w:val="0"/>
          <w:kern w:val="0"/>
          <w:position w:val="0"/>
          <w:sz w:val="24"/>
          <w:szCs w:val="24"/>
          <w:lang w:val="en-US" w:eastAsia="en-US" w:bidi="ar-SA"/>
        </w:rPr>
        <w:t>。</w:t>
      </w:r>
    </w:p>
    <w:p w14:paraId="1EC513A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1.10.2 场内交通</w:t>
      </w:r>
    </w:p>
    <w:p w14:paraId="5FE13DD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关于场外交通和场内交通的边界的约定：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以规划红线为准   </w:t>
      </w:r>
    </w:p>
    <w:p w14:paraId="2D0E58E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关于工程施工需要的场内道路和交通设施的约定：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由承包人负责，发包人和监理人无偿使用承包人修建的临时道路和交通设施 </w:t>
      </w:r>
      <w:r>
        <w:rPr>
          <w:rFonts w:hint="eastAsia" w:ascii="宋体" w:hAnsi="宋体" w:eastAsia="宋体" w:cs="宋体"/>
          <w:snapToGrid w:val="0"/>
          <w:color w:val="auto"/>
          <w:spacing w:val="0"/>
          <w:kern w:val="0"/>
          <w:position w:val="0"/>
          <w:sz w:val="24"/>
          <w:szCs w:val="24"/>
          <w:lang w:val="en-US" w:eastAsia="en-US" w:bidi="ar-SA"/>
        </w:rPr>
        <w:t>。</w:t>
      </w:r>
    </w:p>
    <w:p w14:paraId="6E5BB89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eastAsia="en-US"/>
        </w:rPr>
      </w:pPr>
      <w:r>
        <w:rPr>
          <w:rFonts w:hint="eastAsia" w:ascii="宋体" w:hAnsi="宋体" w:eastAsia="宋体" w:cs="宋体"/>
          <w:snapToGrid w:val="0"/>
          <w:color w:val="auto"/>
          <w:spacing w:val="0"/>
          <w:kern w:val="0"/>
          <w:position w:val="0"/>
          <w:sz w:val="24"/>
          <w:szCs w:val="24"/>
          <w:lang w:eastAsia="en-US"/>
        </w:rPr>
        <w:t>1.10.3 超大件和超重件的运输</w:t>
      </w:r>
    </w:p>
    <w:p w14:paraId="16C02AE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运输超大件或超重件所需的道路和桥梁临时加固改造费用和其他有关费用由</w:t>
      </w:r>
      <w:r>
        <w:rPr>
          <w:rFonts w:hint="eastAsia" w:ascii="宋体" w:hAnsi="宋体" w:eastAsia="宋体" w:cs="宋体"/>
          <w:snapToGrid w:val="0"/>
          <w:color w:val="auto"/>
          <w:spacing w:val="0"/>
          <w:kern w:val="0"/>
          <w:position w:val="0"/>
          <w:sz w:val="24"/>
          <w:szCs w:val="24"/>
          <w:u w:val="single" w:color="auto"/>
          <w:lang w:val="en-US" w:eastAsia="en-US" w:bidi="ar-SA"/>
        </w:rPr>
        <w:t xml:space="preserve"> 承包人 </w:t>
      </w:r>
      <w:r>
        <w:rPr>
          <w:rFonts w:hint="eastAsia" w:ascii="宋体" w:hAnsi="宋体" w:eastAsia="宋体" w:cs="宋体"/>
          <w:snapToGrid w:val="0"/>
          <w:color w:val="auto"/>
          <w:spacing w:val="0"/>
          <w:kern w:val="0"/>
          <w:position w:val="0"/>
          <w:sz w:val="24"/>
          <w:szCs w:val="24"/>
          <w:lang w:val="en-US" w:eastAsia="en-US" w:bidi="ar-SA"/>
        </w:rPr>
        <w:t>承担。</w:t>
      </w:r>
    </w:p>
    <w:p w14:paraId="5A463D5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 知识产权</w:t>
      </w:r>
    </w:p>
    <w:p w14:paraId="292CDD7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snapToGrid w:val="0"/>
          <w:color w:val="auto"/>
          <w:spacing w:val="0"/>
          <w:kern w:val="0"/>
          <w:position w:val="0"/>
          <w:sz w:val="24"/>
          <w:szCs w:val="24"/>
          <w:u w:val="single" w:color="auto"/>
          <w:lang w:val="en-US" w:eastAsia="en-US" w:bidi="ar-SA"/>
        </w:rPr>
        <w:t xml:space="preserve">发包人所有，未经发包人同意，承包人和监理人均不得为合同以外的目的泄露给他人或公开发表与引用 </w:t>
      </w:r>
      <w:r>
        <w:rPr>
          <w:rFonts w:hint="eastAsia" w:ascii="宋体" w:hAnsi="宋体" w:eastAsia="宋体" w:cs="宋体"/>
          <w:snapToGrid w:val="0"/>
          <w:color w:val="auto"/>
          <w:spacing w:val="0"/>
          <w:kern w:val="0"/>
          <w:position w:val="0"/>
          <w:sz w:val="24"/>
          <w:szCs w:val="24"/>
          <w:lang w:val="en-US" w:eastAsia="en-US" w:bidi="ar-SA"/>
        </w:rPr>
        <w:t>。</w:t>
      </w:r>
    </w:p>
    <w:p w14:paraId="7693E6B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关于发包人提供的上述文件的使用限制的要求：</w:t>
      </w:r>
      <w:r>
        <w:rPr>
          <w:rFonts w:hint="eastAsia" w:ascii="宋体" w:hAnsi="宋体" w:eastAsia="宋体" w:cs="宋体"/>
          <w:snapToGrid w:val="0"/>
          <w:color w:val="auto"/>
          <w:spacing w:val="0"/>
          <w:kern w:val="0"/>
          <w:position w:val="0"/>
          <w:sz w:val="24"/>
          <w:szCs w:val="24"/>
          <w:u w:val="single" w:color="auto"/>
          <w:lang w:val="en-US" w:eastAsia="en-US" w:bidi="ar-SA"/>
        </w:rPr>
        <w:t>仅限于本项目</w:t>
      </w:r>
      <w:r>
        <w:rPr>
          <w:rFonts w:hint="eastAsia" w:ascii="宋体" w:hAnsi="宋体" w:eastAsia="宋体" w:cs="宋体"/>
          <w:snapToGrid w:val="0"/>
          <w:color w:val="auto"/>
          <w:spacing w:val="0"/>
          <w:kern w:val="0"/>
          <w:position w:val="0"/>
          <w:sz w:val="24"/>
          <w:szCs w:val="24"/>
          <w:lang w:val="en-US" w:eastAsia="en-US" w:bidi="ar-SA"/>
        </w:rPr>
        <w:t>。</w:t>
      </w:r>
    </w:p>
    <w:p w14:paraId="083BDF1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1.11.2 关于承包人为实施工程所编制文件的著作权的归属：</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按通用合同条款 </w:t>
      </w:r>
      <w:r>
        <w:rPr>
          <w:rFonts w:hint="eastAsia" w:ascii="宋体" w:hAnsi="宋体" w:eastAsia="宋体" w:cs="宋体"/>
          <w:snapToGrid w:val="0"/>
          <w:color w:val="auto"/>
          <w:spacing w:val="0"/>
          <w:kern w:val="0"/>
          <w:position w:val="0"/>
          <w:sz w:val="24"/>
          <w:szCs w:val="24"/>
          <w:lang w:val="en-US" w:eastAsia="en-US" w:bidi="ar-SA"/>
        </w:rPr>
        <w:t>。关于承包人提供的上述文件的使用限制的要求：</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按通用合同条款 </w:t>
      </w:r>
      <w:r>
        <w:rPr>
          <w:rFonts w:hint="eastAsia" w:ascii="宋体" w:hAnsi="宋体" w:eastAsia="宋体" w:cs="宋体"/>
          <w:snapToGrid w:val="0"/>
          <w:color w:val="auto"/>
          <w:spacing w:val="0"/>
          <w:kern w:val="0"/>
          <w:position w:val="0"/>
          <w:sz w:val="24"/>
          <w:szCs w:val="24"/>
          <w:lang w:val="en-US" w:eastAsia="en-US" w:bidi="ar-SA"/>
        </w:rPr>
        <w:t>。</w:t>
      </w:r>
    </w:p>
    <w:p w14:paraId="758FB46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1.11.4 承包人在施工过程中所采用的专利、专有技术、技术秘密的使用费的承担方式：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由承包人承担 </w:t>
      </w:r>
      <w:r>
        <w:rPr>
          <w:rFonts w:hint="eastAsia" w:ascii="宋体" w:hAnsi="宋体" w:eastAsia="宋体" w:cs="宋体"/>
          <w:snapToGrid w:val="0"/>
          <w:color w:val="auto"/>
          <w:spacing w:val="0"/>
          <w:kern w:val="0"/>
          <w:position w:val="0"/>
          <w:sz w:val="24"/>
          <w:szCs w:val="24"/>
          <w:lang w:val="en-US" w:eastAsia="en-US" w:bidi="ar-SA"/>
        </w:rPr>
        <w:t>。</w:t>
      </w:r>
    </w:p>
    <w:p w14:paraId="4015328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1.13 工程量清单错误的修正</w:t>
      </w:r>
    </w:p>
    <w:p w14:paraId="6D71A0D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出现工程量清单错误时，是否调整合同价格：</w:t>
      </w:r>
      <w:r>
        <w:rPr>
          <w:rFonts w:hint="eastAsia" w:ascii="宋体" w:hAnsi="宋体" w:eastAsia="宋体" w:cs="宋体"/>
          <w:snapToGrid w:val="0"/>
          <w:color w:val="auto"/>
          <w:spacing w:val="0"/>
          <w:kern w:val="0"/>
          <w:position w:val="0"/>
          <w:sz w:val="24"/>
          <w:szCs w:val="24"/>
          <w:u w:val="single" w:color="auto"/>
          <w:lang w:val="en-US" w:eastAsia="en-US" w:bidi="ar-SA"/>
        </w:rPr>
        <w:t xml:space="preserve">是，按 10.2 执行  </w:t>
      </w:r>
      <w:r>
        <w:rPr>
          <w:rFonts w:hint="eastAsia" w:ascii="宋体" w:hAnsi="宋体" w:eastAsia="宋体" w:cs="宋体"/>
          <w:snapToGrid w:val="0"/>
          <w:color w:val="auto"/>
          <w:spacing w:val="0"/>
          <w:kern w:val="0"/>
          <w:position w:val="0"/>
          <w:sz w:val="24"/>
          <w:szCs w:val="24"/>
          <w:lang w:val="en-US" w:eastAsia="en-US" w:bidi="ar-SA"/>
        </w:rPr>
        <w:t>。</w:t>
      </w:r>
    </w:p>
    <w:p w14:paraId="14C31B0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允许调整合同价格的工程量偏差范围：</w:t>
      </w:r>
      <w:r>
        <w:rPr>
          <w:rFonts w:hint="eastAsia" w:ascii="宋体" w:hAnsi="宋体" w:eastAsia="宋体" w:cs="宋体"/>
          <w:b/>
          <w:bCs/>
          <w:snapToGrid w:val="0"/>
          <w:color w:val="auto"/>
          <w:spacing w:val="0"/>
          <w:kern w:val="0"/>
          <w:position w:val="0"/>
          <w:sz w:val="24"/>
          <w:szCs w:val="24"/>
          <w:u w:val="single" w:color="auto"/>
          <w:lang w:val="en-US" w:eastAsia="en-US" w:bidi="ar-SA"/>
        </w:rPr>
        <w:t>按湘建科函[2025]150号，湘建科函[2025]151号文执行</w:t>
      </w:r>
      <w:r>
        <w:rPr>
          <w:rFonts w:hint="eastAsia" w:ascii="宋体" w:hAnsi="宋体" w:eastAsia="宋体" w:cs="宋体"/>
          <w:b/>
          <w:bCs/>
          <w:snapToGrid w:val="0"/>
          <w:color w:val="auto"/>
          <w:spacing w:val="0"/>
          <w:kern w:val="0"/>
          <w:position w:val="0"/>
          <w:sz w:val="24"/>
          <w:szCs w:val="24"/>
          <w:lang w:val="en-US" w:eastAsia="en-US" w:bidi="ar-SA"/>
        </w:rPr>
        <w:t>。</w:t>
      </w:r>
    </w:p>
    <w:p w14:paraId="7C9F1F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2.</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发包人</w:t>
      </w:r>
    </w:p>
    <w:p w14:paraId="5C0A8D1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2.2 发包人代表</w:t>
      </w:r>
    </w:p>
    <w:p w14:paraId="664F862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发包人代表：</w:t>
      </w:r>
    </w:p>
    <w:p w14:paraId="376CC80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姓    名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06F1126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身份证号：</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2D1E9DD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职    务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46041D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联系电话：</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2C742F7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电子信箱：</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6801E4B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通信地址：</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2DFE4C4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发包人对发包人代表的授权范围如下：</w:t>
      </w:r>
      <w:r>
        <w:rPr>
          <w:rFonts w:hint="eastAsia" w:ascii="宋体" w:hAnsi="宋体" w:eastAsia="宋体" w:cs="宋体"/>
          <w:snapToGrid w:val="0"/>
          <w:color w:val="auto"/>
          <w:spacing w:val="0"/>
          <w:kern w:val="0"/>
          <w:position w:val="0"/>
          <w:sz w:val="24"/>
          <w:szCs w:val="24"/>
          <w:u w:val="single" w:color="auto"/>
          <w:lang w:val="en-US" w:eastAsia="en-US" w:bidi="ar-SA"/>
        </w:rPr>
        <w:t>代表发包人行使本项目建设工程管理</w:t>
      </w:r>
      <w:r>
        <w:rPr>
          <w:rFonts w:hint="eastAsia" w:ascii="宋体" w:hAnsi="宋体" w:eastAsia="宋体" w:cs="宋体"/>
          <w:snapToGrid w:val="0"/>
          <w:color w:val="auto"/>
          <w:spacing w:val="0"/>
          <w:kern w:val="0"/>
          <w:position w:val="0"/>
          <w:sz w:val="24"/>
          <w:szCs w:val="24"/>
          <w:lang w:val="en-US" w:eastAsia="en-US" w:bidi="ar-SA"/>
        </w:rPr>
        <w:t>。</w:t>
      </w:r>
    </w:p>
    <w:p w14:paraId="27388F7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2.4 施工现场、施工条件和基础资料的提供</w:t>
      </w:r>
    </w:p>
    <w:p w14:paraId="0522F1C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2.4.1 提供施工现场</w:t>
      </w:r>
    </w:p>
    <w:p w14:paraId="08B216F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关于发包人移交施工现场的期限要求：</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588A2E8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2.4.2 提供施工条件</w:t>
      </w:r>
    </w:p>
    <w:p w14:paraId="3AFA571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关于发包人应负责提供施工所需要的条件，包括：</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47BACF5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2.5 资金来源证明及支付担保</w:t>
      </w:r>
    </w:p>
    <w:p w14:paraId="13F3788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发包人提供资金来源证明的期限要求：</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4066A6D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发包人是否提供支付担保：</w:t>
      </w:r>
      <w:r>
        <w:rPr>
          <w:rFonts w:hint="eastAsia" w:ascii="宋体" w:hAnsi="宋体" w:eastAsia="宋体" w:cs="宋体"/>
          <w:snapToGrid w:val="0"/>
          <w:color w:val="auto"/>
          <w:spacing w:val="0"/>
          <w:kern w:val="0"/>
          <w:position w:val="0"/>
          <w:sz w:val="24"/>
          <w:szCs w:val="24"/>
          <w:u w:val="single" w:color="auto"/>
          <w:lang w:val="en-US" w:eastAsia="en-US" w:bidi="ar-SA"/>
        </w:rPr>
        <w:t xml:space="preserve">             否                </w:t>
      </w:r>
      <w:r>
        <w:rPr>
          <w:rFonts w:hint="eastAsia" w:ascii="宋体" w:hAnsi="宋体" w:eastAsia="宋体" w:cs="宋体"/>
          <w:snapToGrid w:val="0"/>
          <w:color w:val="auto"/>
          <w:spacing w:val="0"/>
          <w:kern w:val="0"/>
          <w:position w:val="0"/>
          <w:sz w:val="24"/>
          <w:szCs w:val="24"/>
          <w:lang w:val="en-US" w:eastAsia="en-US" w:bidi="ar-SA"/>
        </w:rPr>
        <w:t>。</w:t>
      </w:r>
    </w:p>
    <w:p w14:paraId="5A4201E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发包人提供支付担保的形式：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10BF5ED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3.</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承包人</w:t>
      </w:r>
    </w:p>
    <w:p w14:paraId="7CC9C59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3.1 承包人的一般义务</w:t>
      </w:r>
    </w:p>
    <w:p w14:paraId="1F3DA05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（9）承包人提交的竣工资料的内容：</w:t>
      </w:r>
      <w:r>
        <w:rPr>
          <w:rFonts w:hint="eastAsia" w:ascii="宋体" w:hAnsi="宋体" w:eastAsia="宋体" w:cs="宋体"/>
          <w:snapToGrid w:val="0"/>
          <w:color w:val="auto"/>
          <w:spacing w:val="0"/>
          <w:kern w:val="0"/>
          <w:position w:val="0"/>
          <w:sz w:val="24"/>
          <w:szCs w:val="24"/>
          <w:u w:val="single" w:color="auto"/>
          <w:lang w:val="en-US" w:eastAsia="en-US" w:bidi="ar-SA"/>
        </w:rPr>
        <w:t xml:space="preserve">质监部门和城建档案馆需要的全套竣工资料  </w:t>
      </w:r>
      <w:r>
        <w:rPr>
          <w:rFonts w:hint="eastAsia" w:ascii="宋体" w:hAnsi="宋体" w:eastAsia="宋体" w:cs="宋体"/>
          <w:snapToGrid w:val="0"/>
          <w:color w:val="auto"/>
          <w:spacing w:val="0"/>
          <w:kern w:val="0"/>
          <w:position w:val="0"/>
          <w:sz w:val="24"/>
          <w:szCs w:val="24"/>
          <w:lang w:val="en-US" w:eastAsia="en-US" w:bidi="ar-SA"/>
        </w:rPr>
        <w:t>。</w:t>
      </w:r>
    </w:p>
    <w:p w14:paraId="57ADE91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承包人需要提交的竣工资料套数：</w:t>
      </w:r>
      <w:r>
        <w:rPr>
          <w:rFonts w:hint="eastAsia" w:ascii="宋体" w:hAnsi="宋体" w:eastAsia="宋体" w:cs="宋体"/>
          <w:snapToGrid w:val="0"/>
          <w:color w:val="auto"/>
          <w:spacing w:val="0"/>
          <w:kern w:val="0"/>
          <w:position w:val="0"/>
          <w:sz w:val="24"/>
          <w:szCs w:val="24"/>
          <w:u w:val="single" w:color="auto"/>
          <w:lang w:val="en-US" w:eastAsia="en-US" w:bidi="ar-SA"/>
        </w:rPr>
        <w:t xml:space="preserve"> 4 套</w:t>
      </w:r>
      <w:r>
        <w:rPr>
          <w:rFonts w:hint="eastAsia" w:ascii="宋体" w:hAnsi="宋体" w:eastAsia="宋体" w:cs="宋体"/>
          <w:snapToGrid w:val="0"/>
          <w:color w:val="auto"/>
          <w:spacing w:val="0"/>
          <w:kern w:val="0"/>
          <w:position w:val="0"/>
          <w:sz w:val="24"/>
          <w:szCs w:val="24"/>
          <w:lang w:val="en-US" w:eastAsia="en-US" w:bidi="ar-SA"/>
        </w:rPr>
        <w:t>。</w:t>
      </w:r>
    </w:p>
    <w:p w14:paraId="3D55983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承包人提交的竣工资料的费用承担：</w:t>
      </w:r>
      <w:r>
        <w:rPr>
          <w:rFonts w:hint="eastAsia" w:ascii="宋体" w:hAnsi="宋体" w:eastAsia="宋体" w:cs="宋体"/>
          <w:snapToGrid w:val="0"/>
          <w:color w:val="auto"/>
          <w:spacing w:val="0"/>
          <w:kern w:val="0"/>
          <w:position w:val="0"/>
          <w:sz w:val="24"/>
          <w:szCs w:val="24"/>
          <w:u w:val="single" w:color="auto"/>
          <w:lang w:val="en-US" w:eastAsia="en-US" w:bidi="ar-SA"/>
        </w:rPr>
        <w:t xml:space="preserve">  承包人承担         </w:t>
      </w:r>
      <w:r>
        <w:rPr>
          <w:rFonts w:hint="eastAsia" w:ascii="宋体" w:hAnsi="宋体" w:eastAsia="宋体" w:cs="宋体"/>
          <w:snapToGrid w:val="0"/>
          <w:color w:val="auto"/>
          <w:spacing w:val="0"/>
          <w:kern w:val="0"/>
          <w:position w:val="0"/>
          <w:sz w:val="24"/>
          <w:szCs w:val="24"/>
          <w:lang w:val="en-US" w:eastAsia="en-US" w:bidi="ar-SA"/>
        </w:rPr>
        <w:t>。</w:t>
      </w:r>
    </w:p>
    <w:p w14:paraId="4C8171A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承包人提交的竣工资料移交时间：</w:t>
      </w:r>
      <w:r>
        <w:rPr>
          <w:rFonts w:hint="eastAsia" w:ascii="宋体" w:hAnsi="宋体" w:eastAsia="宋体" w:cs="宋体"/>
          <w:snapToGrid w:val="0"/>
          <w:color w:val="auto"/>
          <w:spacing w:val="0"/>
          <w:kern w:val="0"/>
          <w:position w:val="0"/>
          <w:sz w:val="24"/>
          <w:szCs w:val="24"/>
          <w:u w:val="single" w:color="auto"/>
          <w:lang w:val="en-US" w:eastAsia="en-US" w:bidi="ar-SA"/>
        </w:rPr>
        <w:t>工程竣工后 30 日历天内</w:t>
      </w:r>
      <w:r>
        <w:rPr>
          <w:rFonts w:hint="eastAsia" w:ascii="宋体" w:hAnsi="宋体" w:eastAsia="宋体" w:cs="宋体"/>
          <w:snapToGrid w:val="0"/>
          <w:color w:val="auto"/>
          <w:spacing w:val="0"/>
          <w:kern w:val="0"/>
          <w:position w:val="0"/>
          <w:sz w:val="24"/>
          <w:szCs w:val="24"/>
          <w:lang w:val="en-US" w:eastAsia="en-US" w:bidi="ar-SA"/>
        </w:rPr>
        <w:t>。</w:t>
      </w:r>
    </w:p>
    <w:p w14:paraId="0AF17E1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承包人提交的竣工资料形式要求：</w:t>
      </w:r>
      <w:r>
        <w:rPr>
          <w:rFonts w:hint="eastAsia" w:ascii="宋体" w:hAnsi="宋体" w:eastAsia="宋体" w:cs="宋体"/>
          <w:snapToGrid w:val="0"/>
          <w:color w:val="auto"/>
          <w:spacing w:val="0"/>
          <w:kern w:val="0"/>
          <w:position w:val="0"/>
          <w:sz w:val="24"/>
          <w:szCs w:val="24"/>
          <w:u w:val="single" w:color="auto"/>
          <w:lang w:val="en-US" w:eastAsia="en-US" w:bidi="ar-SA"/>
        </w:rPr>
        <w:t>纸质文件（并附交电子版 1 份）</w:t>
      </w:r>
      <w:r>
        <w:rPr>
          <w:rFonts w:hint="eastAsia" w:ascii="宋体" w:hAnsi="宋体" w:eastAsia="宋体" w:cs="宋体"/>
          <w:snapToGrid w:val="0"/>
          <w:color w:val="auto"/>
          <w:spacing w:val="0"/>
          <w:kern w:val="0"/>
          <w:position w:val="0"/>
          <w:sz w:val="24"/>
          <w:szCs w:val="24"/>
          <w:lang w:val="en-US" w:eastAsia="en-US" w:bidi="ar-SA"/>
        </w:rPr>
        <w:t>。</w:t>
      </w:r>
    </w:p>
    <w:p w14:paraId="1B946B1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（10）承包人应履行的其他义务：</w:t>
      </w:r>
    </w:p>
    <w:p w14:paraId="76DFD33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承包人除完成本合同规定的任务和履行合同约定的义务外，还应完成的工作和履行的义务（包括但不限于）：</w:t>
      </w:r>
    </w:p>
    <w:p w14:paraId="72EBBBD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①需由设计资质等级和业务范围允许的承包人完成的设计文件提交时间；</w:t>
      </w:r>
    </w:p>
    <w:p w14:paraId="1472251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②应提供计划、报表的名称和时间：承包人应在每月 25 日前向工程师提供下月工程进度计划及当月相应进度和质量统计报表和工程事故报告各 4 份。</w:t>
      </w:r>
    </w:p>
    <w:p w14:paraId="25DAA55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③承担施工安全保卫工作及非夜间施工照明的责任和要求：承包人负责在工程施工、竣工及保修的整个过程中施工现场全部人员的安全，并承担由此引起的一切经济赔偿和法律责任。承包人负责在需要的时间和地点，根据有关部门要求， 自费提供和维护所有灯光、护板、栅栏、警告信号和警卫，以及对工程进行保护或为公众提供安全和方便。</w:t>
      </w:r>
    </w:p>
    <w:p w14:paraId="0C353F3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④向发包人提供的办公和生活房屋及设施的要求：本工程不考虑。</w:t>
      </w:r>
    </w:p>
    <w:p w14:paraId="18815E5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⑤承包人负责办理有关施工场地交通、环卫、渣土和施工噪音管理等手续，承担并缴纳相关费用。</w:t>
      </w:r>
    </w:p>
    <w:p w14:paraId="4CFA08B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⑥已完工程成品的特殊要求及费用承担：按本合同《通用条款》。</w:t>
      </w:r>
    </w:p>
    <w:p w14:paraId="65A7BFC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⑦施工场地周围地下管线和邻近建筑物、构筑物（含文物保护建筑）、古树名木的保护要求及费用承担：按本合同《通用条款》。</w:t>
      </w:r>
    </w:p>
    <w:p w14:paraId="36DC16D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⑧隐蔽工程在隐蔽前，承包人应当通知发包人及监理检查确认，若承包人未书面通知造成的损失由承包人全部承担。</w:t>
      </w:r>
    </w:p>
    <w:p w14:paraId="2046FF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⑨施工场地清洁卫生的要求：承包人负责施工场地清洁卫生，并配备必要的设施和人员在施工期间每天对施工场地进行清洁，及时清理及运走垃圾、废品，并且在交付工程前将所有建筑废品及垃圾清除运出现场，施工场地内多有建筑废品及垃圾的清除、运出费用有承包人承担。</w:t>
      </w:r>
    </w:p>
    <w:p w14:paraId="7B12667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⑩承包方负责处理扰民和民扰工作。</w:t>
      </w:r>
    </w:p>
    <w:p w14:paraId="5E9CF00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⑩双方约定承包人应做的其他工作：</w:t>
      </w:r>
    </w:p>
    <w:p w14:paraId="66DACFA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1）承包人应将项目负责人、技术负责人、施工员、专职安全员、质量员名单及职责在收到开工通知后 3 天内以书面形式提交给发包人和监理。承包人项目部管理人员在本工程或其分项工程施工期间（包括准备和收尾阶段），均须按所报人员配置；如需变更①人员安排、②机械设备、③施工方案等，必须提前一周书面上报发包人和监理人并经同意后方可执行，否则，承包人每违约一项（或一人），需支付违约金 5000元（并按照发包人指令要求变更过来）。</w:t>
      </w:r>
    </w:p>
    <w:p w14:paraId="5A346C8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承包人以下人员，经监理提出，发包人同意，必须在 24 小时内调离本工程范围，否则每人次承包人支付违约金 2000元；同时，承包人应在 3 天内完成用合格的人员(发包人批准)代替上述调离的任何人员，否则每拖延 1 天承包人支付违约金每人次500 元。</w:t>
      </w:r>
    </w:p>
    <w:p w14:paraId="5FBF76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发包人确认无法胜任工作者，包括：对分部分项工程施工进度及施工质量达不到合同要求负有责任的施工人员、不熟悉本专业工作的施工人员、工作责任心不强的施工人员、不积极配合发包人工作或不积极执行发包人指令者；</w:t>
      </w:r>
    </w:p>
    <w:p w14:paraId="7D17CFA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b.不能积极配合监理及发包人正常工作（包括销售）者；</w:t>
      </w:r>
    </w:p>
    <w:p w14:paraId="4415BBB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c.违反发包人或承包人工地现场管理规定者；</w:t>
      </w:r>
    </w:p>
    <w:p w14:paraId="0D113F4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d.无证上岗者（适用于按规定必须有上岗证）；</w:t>
      </w:r>
    </w:p>
    <w:p w14:paraId="3A6451C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e.与本合同规定名册不符者；</w:t>
      </w:r>
    </w:p>
    <w:p w14:paraId="79FEF06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f.与本工程施工无关的人员；</w:t>
      </w:r>
    </w:p>
    <w:p w14:paraId="003FE1E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g.高空抛倒建筑垃圾者；</w:t>
      </w:r>
    </w:p>
    <w:p w14:paraId="17401DF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h.随地大小便者；</w:t>
      </w:r>
    </w:p>
    <w:p w14:paraId="11F3E4D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i.三次书面签字而工作未落实者；</w:t>
      </w:r>
    </w:p>
    <w:p w14:paraId="070EBBD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j.承包人项目负责人、技术负责人必须参加每周工程例会，因故不能参加的应提前 4 小时向发包人或监理提出申请并在获得发包人或监理批准后方可缺席，否则承包人向发包人支付违约金 500 元/人次。项目负责人或技术负责人如离开工地，应向发包人代表请假并经批准，否则承包人向发包人支付违约金 1000 元/次，若发生超过三次，承包人向发包人支付违约金 5000 元/次。</w:t>
      </w:r>
    </w:p>
    <w:p w14:paraId="4FA2736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承包人如因工程进度、质量、安全、配合等问题而导致注册建造师被发包人驱逐，承包人每发生一次支付发包人违约金人民币 5000元，项目负责人被发包人驱逐达 3 次，发包人有权与承包人解除合同，承包人赔偿发包人因此所造成的全部损失并支付发包人合同预算总价 2%的违约金。项目部其他人员因上述原因被驱逐或调职调岗者，承包人每一人次支付发包人人民币 500 元违约金。</w:t>
      </w:r>
    </w:p>
    <w:p w14:paraId="19254BA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2）承包人应及时提出用水、用电申请，经批准后在发包人提供的水、电设置点装表计量，其水、电设置点位置的维护、管理费用由承包人负责。水、电费用按表计量，费用按当地收费标准向收费单位缴纳。</w:t>
      </w:r>
    </w:p>
    <w:p w14:paraId="6F9F1B5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承包人负责完成由设置点起至施工区域内的水、电、通讯线路的架设及施工区域内的施工通道的修建，费用由承包人承担。</w:t>
      </w:r>
    </w:p>
    <w:p w14:paraId="0BF758D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3）本工程施工所需设备、临时设施进入现场后，即应被视为是专门供本工程施工使用。施工期间，承包人如需运出现场，需征得工程师和发包人的书面同意，且因此产生的费用由承包人自行负责。</w:t>
      </w:r>
    </w:p>
    <w:p w14:paraId="6216864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4）除合同另有规定外，发包人无论何时均不对上述承包人的设备、临时设施和材料的损失或损坏承担任何责任。</w:t>
      </w:r>
    </w:p>
    <w:p w14:paraId="6F59334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5）承包人应维护和爱护施工现场周围环境，包括现场周围现有的设施、花草等均不得损害，否则其一切费用由承包人负责。</w:t>
      </w:r>
    </w:p>
    <w:p w14:paraId="15F1AB1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u w:val="single" w:color="auto"/>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6）承包人应对本工程的资金设立专门帐户，并做到专款专用。</w:t>
      </w:r>
    </w:p>
    <w:p w14:paraId="7C1426E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u w:val="single" w:color="auto"/>
          <w:lang w:val="en-US" w:eastAsia="zh-CN" w:bidi="ar-SA"/>
        </w:rPr>
      </w:pPr>
      <w:r>
        <w:rPr>
          <w:rFonts w:hint="eastAsia" w:ascii="宋体" w:hAnsi="宋体" w:eastAsia="宋体" w:cs="宋体"/>
          <w:snapToGrid w:val="0"/>
          <w:color w:val="auto"/>
          <w:spacing w:val="0"/>
          <w:kern w:val="0"/>
          <w:position w:val="0"/>
          <w:sz w:val="24"/>
          <w:szCs w:val="24"/>
          <w:u w:val="single" w:color="auto"/>
          <w:lang w:val="en-US" w:eastAsia="en-US" w:bidi="ar-SA"/>
        </w:rPr>
        <w:t>7) 负责协助发包人办理开工证前(含施工许可证)、办理施工临时占用道路等合</w:t>
      </w:r>
      <w:r>
        <w:rPr>
          <w:rFonts w:hint="eastAsia" w:ascii="宋体" w:hAnsi="宋体" w:eastAsia="宋体" w:cs="宋体"/>
          <w:snapToGrid w:val="0"/>
          <w:color w:val="auto"/>
          <w:spacing w:val="0"/>
          <w:kern w:val="0"/>
          <w:position w:val="0"/>
          <w:sz w:val="24"/>
          <w:szCs w:val="24"/>
          <w:u w:val="single" w:color="auto"/>
          <w:lang w:val="en-US" w:eastAsia="zh-CN" w:bidi="ar-SA"/>
        </w:rPr>
        <w:t>法手续，并及时提供相关资料。</w:t>
      </w:r>
    </w:p>
    <w:p w14:paraId="721587B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zh-CN" w:bidi="ar-SA"/>
        </w:rPr>
        <w:t>8）实行《周报》和《月报》制度。《周报》在每周例会前一天报送发包人和监</w:t>
      </w:r>
      <w:r>
        <w:rPr>
          <w:rFonts w:hint="eastAsia" w:ascii="宋体" w:hAnsi="宋体" w:eastAsia="宋体" w:cs="宋体"/>
          <w:snapToGrid w:val="0"/>
          <w:color w:val="auto"/>
          <w:spacing w:val="0"/>
          <w:kern w:val="0"/>
          <w:position w:val="0"/>
          <w:sz w:val="24"/>
          <w:szCs w:val="24"/>
          <w:u w:val="single" w:color="auto"/>
          <w:lang w:val="en-US" w:eastAsia="en-US" w:bidi="ar-SA"/>
        </w:rPr>
        <w:t>理人，《周报》包括下周计划和本周已完成的工作、未完成情况说明（包括拟采取措施、最终完成时间）；《月报》在每月二十五日前报送发包人和监理人，《月报》包括次月施工进度计划和当月工作总结，月施工进度计划必须具体、详细，并且必须按本合同约定的进度要求编制。如不按时、按要求报送，承包人应向发包人支付违约金 1000 元/次。</w:t>
      </w:r>
    </w:p>
    <w:p w14:paraId="53D1B2E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9）承包人应充分考虑因天气影响、施工人员在场外食宿、材料设备二次搬运、土石方二次转运、成品保护等各种可能因素影响施工所需增加的费用和工期，承包人承诺在前述可能影响工期和费用的因素出现时不要求发包人增加费用和顺延工期。</w:t>
      </w:r>
    </w:p>
    <w:p w14:paraId="25CFF34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10）承包人应在开工前对场地内的地形原状标高进行测量，并将成果报发包人和监理人复测：实施至土方、石方交界处，应及时向发包人和监理人报送分界面坐标并进行复测确认。同时，承包人应向发包人和监理人提交原地面及土石分界面的全套影像资料。</w:t>
      </w:r>
    </w:p>
    <w:p w14:paraId="4C41D74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3.2 项目经理</w:t>
      </w:r>
    </w:p>
    <w:p w14:paraId="364B022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3.2.1 项目经理：</w:t>
      </w:r>
    </w:p>
    <w:p w14:paraId="5F5D2BE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姓    名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2F5E4C1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身份证号：</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2F3E5A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建造师执业资格等级：</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14FB27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建造师注册证书号：</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45C359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建造师执业印章号：</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10E7C0C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安全生产考核合格证书号：</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2CE088A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联系电话：</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63DF4BD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电子信箱：</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004D304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通信地址：</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640C8A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承包人对项目经理的授权范围如下：</w:t>
      </w:r>
      <w:r>
        <w:rPr>
          <w:rFonts w:hint="eastAsia" w:ascii="宋体" w:hAnsi="宋体" w:eastAsia="宋体" w:cs="宋体"/>
          <w:snapToGrid w:val="0"/>
          <w:color w:val="auto"/>
          <w:spacing w:val="0"/>
          <w:kern w:val="0"/>
          <w:position w:val="0"/>
          <w:sz w:val="24"/>
          <w:szCs w:val="24"/>
          <w:u w:val="single" w:color="auto"/>
          <w:lang w:val="en-US" w:eastAsia="en-US" w:bidi="ar-SA"/>
        </w:rPr>
        <w:t>全面履行项目经理的职责和权利</w:t>
      </w:r>
      <w:r>
        <w:rPr>
          <w:rFonts w:hint="eastAsia" w:ascii="宋体" w:hAnsi="宋体" w:eastAsia="宋体" w:cs="宋体"/>
          <w:snapToGrid w:val="0"/>
          <w:color w:val="auto"/>
          <w:spacing w:val="0"/>
          <w:kern w:val="0"/>
          <w:position w:val="0"/>
          <w:sz w:val="24"/>
          <w:szCs w:val="24"/>
          <w:lang w:val="en-US" w:eastAsia="en-US" w:bidi="ar-SA"/>
        </w:rPr>
        <w:t>。</w:t>
      </w:r>
    </w:p>
    <w:p w14:paraId="560EBEB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关于项目经理每月在施工现场的时间要求：</w:t>
      </w:r>
      <w:r>
        <w:rPr>
          <w:rFonts w:hint="eastAsia" w:ascii="宋体" w:hAnsi="宋体" w:eastAsia="宋体" w:cs="宋体"/>
          <w:snapToGrid w:val="0"/>
          <w:color w:val="auto"/>
          <w:spacing w:val="0"/>
          <w:kern w:val="0"/>
          <w:position w:val="0"/>
          <w:sz w:val="24"/>
          <w:szCs w:val="24"/>
          <w:u w:val="single" w:color="auto"/>
          <w:lang w:val="en-US" w:eastAsia="en-US" w:bidi="ar-SA"/>
        </w:rPr>
        <w:t xml:space="preserve">不少于 22 天   </w:t>
      </w:r>
      <w:r>
        <w:rPr>
          <w:rFonts w:hint="eastAsia" w:ascii="宋体" w:hAnsi="宋体" w:eastAsia="宋体" w:cs="宋体"/>
          <w:snapToGrid w:val="0"/>
          <w:color w:val="auto"/>
          <w:spacing w:val="0"/>
          <w:kern w:val="0"/>
          <w:position w:val="0"/>
          <w:sz w:val="24"/>
          <w:szCs w:val="24"/>
          <w:lang w:val="en-US" w:eastAsia="en-US" w:bidi="ar-SA"/>
        </w:rPr>
        <w:t>。</w:t>
      </w:r>
    </w:p>
    <w:p w14:paraId="5025ADA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u w:val="single"/>
          <w:lang w:val="en-US" w:eastAsia="zh-CN" w:bidi="ar-SA"/>
        </w:rPr>
      </w:pPr>
      <w:r>
        <w:rPr>
          <w:rFonts w:hint="eastAsia" w:ascii="宋体" w:hAnsi="宋体" w:eastAsia="宋体" w:cs="宋体"/>
          <w:snapToGrid w:val="0"/>
          <w:color w:val="auto"/>
          <w:spacing w:val="0"/>
          <w:kern w:val="0"/>
          <w:position w:val="0"/>
          <w:sz w:val="24"/>
          <w:szCs w:val="24"/>
          <w:lang w:val="en-US" w:eastAsia="en-US" w:bidi="ar-SA"/>
        </w:rPr>
        <w:t>承包人未提交劳动合同，以及没有为项目经理缴纳社会保险证明的违约责任：</w:t>
      </w:r>
      <w:r>
        <w:rPr>
          <w:rFonts w:hint="eastAsia" w:ascii="宋体" w:hAnsi="宋体" w:eastAsia="宋体" w:cs="宋体"/>
          <w:snapToGrid w:val="0"/>
          <w:color w:val="auto"/>
          <w:spacing w:val="0"/>
          <w:kern w:val="0"/>
          <w:position w:val="0"/>
          <w:sz w:val="24"/>
          <w:szCs w:val="24"/>
          <w:u w:val="single"/>
          <w:lang w:val="en-US" w:eastAsia="zh-CN" w:bidi="ar-SA"/>
        </w:rPr>
        <w:t>按国家相关文件规定。</w:t>
      </w:r>
    </w:p>
    <w:p w14:paraId="0BA118A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u w:val="single"/>
          <w:lang w:val="en-US" w:eastAsia="zh-CN" w:bidi="ar-SA"/>
        </w:rPr>
      </w:pPr>
      <w:r>
        <w:rPr>
          <w:rFonts w:hint="eastAsia" w:ascii="宋体" w:hAnsi="宋体" w:eastAsia="宋体" w:cs="宋体"/>
          <w:snapToGrid w:val="0"/>
          <w:color w:val="auto"/>
          <w:spacing w:val="0"/>
          <w:kern w:val="0"/>
          <w:position w:val="0"/>
          <w:sz w:val="24"/>
          <w:szCs w:val="24"/>
          <w:u w:val="none"/>
          <w:lang w:val="en-US" w:eastAsia="zh-CN" w:bidi="ar-SA"/>
        </w:rPr>
        <w:t>项目经理未经批准，擅自离开施工现场的违约责任：</w:t>
      </w:r>
      <w:r>
        <w:rPr>
          <w:rFonts w:hint="eastAsia" w:ascii="宋体" w:hAnsi="宋体" w:eastAsia="宋体" w:cs="宋体"/>
          <w:snapToGrid w:val="0"/>
          <w:color w:val="auto"/>
          <w:spacing w:val="0"/>
          <w:kern w:val="0"/>
          <w:position w:val="0"/>
          <w:sz w:val="24"/>
          <w:szCs w:val="24"/>
          <w:u w:val="single"/>
          <w:lang w:val="en-US" w:eastAsia="zh-CN" w:bidi="ar-SA"/>
        </w:rPr>
        <w:t>承包人向发包人支付违约金1000元/次，超过3次，承包人向发包人支付违约金5000元/次。</w:t>
      </w:r>
    </w:p>
    <w:p w14:paraId="565657E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3.2.3 承包人擅自更换项目经理的违约责任：</w:t>
      </w:r>
      <w:r>
        <w:rPr>
          <w:rFonts w:hint="eastAsia" w:ascii="宋体" w:hAnsi="宋体" w:eastAsia="宋体" w:cs="宋体"/>
          <w:snapToGrid w:val="0"/>
          <w:color w:val="auto"/>
          <w:spacing w:val="0"/>
          <w:kern w:val="0"/>
          <w:position w:val="0"/>
          <w:sz w:val="24"/>
          <w:szCs w:val="24"/>
          <w:u w:val="single" w:color="auto"/>
          <w:lang w:val="en-US" w:eastAsia="en-US" w:bidi="ar-SA"/>
        </w:rPr>
        <w:t>本项目实施期间，未经发包人同意，承包人施工项目部主要项目管理人员不得更换，若承包人主要项目管理人员不能按投标承诺到岗履职的，则成交结果无效，发包人有权单方面终止合同，全部履约保证金作为违约金全部赔偿给发包人。项目负责人、技术负责人每月必须不少于22 天在岗，如发现不在岗一次，提出警告，累计发现两次，有权扣减 10%履约保证金作为违约金并报送建设主管部门处理，累计发现三次，有权解除双方合同，并扣减全部履约保证金作为违约金</w:t>
      </w:r>
      <w:r>
        <w:rPr>
          <w:rFonts w:hint="eastAsia" w:ascii="宋体" w:hAnsi="宋体" w:eastAsia="宋体" w:cs="宋体"/>
          <w:snapToGrid w:val="0"/>
          <w:color w:val="auto"/>
          <w:spacing w:val="0"/>
          <w:kern w:val="0"/>
          <w:position w:val="0"/>
          <w:sz w:val="24"/>
          <w:szCs w:val="24"/>
          <w:lang w:val="en-US" w:eastAsia="en-US" w:bidi="ar-SA"/>
        </w:rPr>
        <w:t>。</w:t>
      </w:r>
    </w:p>
    <w:p w14:paraId="6B22F5E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3.2.4 除 3.2.3 款规定外，承包人擅自更换项目经理的违约责任：</w:t>
      </w:r>
      <w:r>
        <w:rPr>
          <w:rFonts w:hint="eastAsia" w:ascii="宋体" w:hAnsi="宋体" w:eastAsia="宋体" w:cs="宋体"/>
          <w:snapToGrid w:val="0"/>
          <w:color w:val="auto"/>
          <w:spacing w:val="0"/>
          <w:kern w:val="0"/>
          <w:position w:val="0"/>
          <w:sz w:val="24"/>
          <w:szCs w:val="24"/>
          <w:u w:val="single" w:color="auto"/>
          <w:lang w:val="en-US" w:eastAsia="en-US" w:bidi="ar-SA"/>
        </w:rPr>
        <w:t>承包人向发包人支付违约金 10000 元/次</w:t>
      </w:r>
      <w:r>
        <w:rPr>
          <w:rFonts w:hint="eastAsia" w:ascii="宋体" w:hAnsi="宋体" w:eastAsia="宋体" w:cs="宋体"/>
          <w:snapToGrid w:val="0"/>
          <w:color w:val="auto"/>
          <w:spacing w:val="0"/>
          <w:kern w:val="0"/>
          <w:position w:val="0"/>
          <w:sz w:val="24"/>
          <w:szCs w:val="24"/>
          <w:lang w:val="en-US" w:eastAsia="en-US" w:bidi="ar-SA"/>
        </w:rPr>
        <w:t>。</w:t>
      </w:r>
    </w:p>
    <w:p w14:paraId="5A96DD9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3.2.5 除 3.2.3 款规定外，承包人无正当理由拒绝更换项目经理的违约责任：</w:t>
      </w:r>
      <w:r>
        <w:rPr>
          <w:rFonts w:hint="eastAsia" w:ascii="宋体" w:hAnsi="宋体" w:eastAsia="宋体" w:cs="宋体"/>
          <w:snapToGrid w:val="0"/>
          <w:color w:val="auto"/>
          <w:spacing w:val="0"/>
          <w:kern w:val="0"/>
          <w:position w:val="0"/>
          <w:sz w:val="24"/>
          <w:szCs w:val="24"/>
          <w:u w:val="single" w:color="auto"/>
          <w:lang w:val="en-US" w:eastAsia="en-US" w:bidi="ar-SA"/>
        </w:rPr>
        <w:t>承包人向发包人支付违约金 10000 元/次</w:t>
      </w:r>
      <w:r>
        <w:rPr>
          <w:rFonts w:hint="eastAsia" w:ascii="宋体" w:hAnsi="宋体" w:eastAsia="宋体" w:cs="宋体"/>
          <w:snapToGrid w:val="0"/>
          <w:color w:val="auto"/>
          <w:spacing w:val="0"/>
          <w:kern w:val="0"/>
          <w:position w:val="0"/>
          <w:sz w:val="24"/>
          <w:szCs w:val="24"/>
          <w:lang w:val="en-US" w:eastAsia="en-US" w:bidi="ar-SA"/>
        </w:rPr>
        <w:t>。</w:t>
      </w:r>
    </w:p>
    <w:p w14:paraId="207C4F7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3.3 承包人人员</w:t>
      </w:r>
    </w:p>
    <w:p w14:paraId="79FCA9F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3.3.1 承包人提交项目管理机构及施工现场管理人员安排报告的期限：</w:t>
      </w:r>
      <w:r>
        <w:rPr>
          <w:rFonts w:hint="eastAsia" w:ascii="宋体" w:hAnsi="宋体" w:eastAsia="宋体" w:cs="宋体"/>
          <w:b/>
          <w:bCs/>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b/>
          <w:bCs/>
          <w:snapToGrid w:val="0"/>
          <w:color w:val="auto"/>
          <w:spacing w:val="0"/>
          <w:kern w:val="0"/>
          <w:position w:val="0"/>
          <w:sz w:val="24"/>
          <w:szCs w:val="24"/>
          <w:lang w:val="en-US" w:eastAsia="en-US" w:bidi="ar-SA"/>
        </w:rPr>
        <w:t>。</w:t>
      </w:r>
    </w:p>
    <w:p w14:paraId="303A870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3.3.3 承包人无正当理由拒绝撤换主要施工管理人员的违约责任：</w:t>
      </w:r>
      <w:r>
        <w:rPr>
          <w:rFonts w:hint="eastAsia" w:ascii="宋体" w:hAnsi="宋体" w:eastAsia="宋体" w:cs="宋体"/>
          <w:snapToGrid w:val="0"/>
          <w:color w:val="auto"/>
          <w:spacing w:val="0"/>
          <w:kern w:val="0"/>
          <w:position w:val="0"/>
          <w:sz w:val="24"/>
          <w:szCs w:val="24"/>
          <w:u w:val="single" w:color="auto"/>
          <w:lang w:val="en-US" w:eastAsia="en-US" w:bidi="ar-SA"/>
        </w:rPr>
        <w:t>承包人向发包人支付违约金 5000 元/次</w:t>
      </w:r>
      <w:r>
        <w:rPr>
          <w:rFonts w:hint="eastAsia" w:ascii="宋体" w:hAnsi="宋体" w:eastAsia="宋体" w:cs="宋体"/>
          <w:snapToGrid w:val="0"/>
          <w:color w:val="auto"/>
          <w:spacing w:val="0"/>
          <w:kern w:val="0"/>
          <w:position w:val="0"/>
          <w:sz w:val="24"/>
          <w:szCs w:val="24"/>
          <w:lang w:val="en-US" w:eastAsia="en-US" w:bidi="ar-SA"/>
        </w:rPr>
        <w:t>。</w:t>
      </w:r>
    </w:p>
    <w:p w14:paraId="18B16D9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3.3.4 承包人主要施工管理人员离开施工现场的批准要求：</w:t>
      </w:r>
      <w:r>
        <w:rPr>
          <w:rFonts w:hint="eastAsia" w:ascii="宋体" w:hAnsi="宋体" w:eastAsia="宋体" w:cs="宋体"/>
          <w:snapToGrid w:val="0"/>
          <w:color w:val="auto"/>
          <w:spacing w:val="0"/>
          <w:kern w:val="0"/>
          <w:position w:val="0"/>
          <w:sz w:val="24"/>
          <w:szCs w:val="24"/>
          <w:u w:val="single" w:color="auto"/>
          <w:lang w:val="en-US" w:eastAsia="en-US" w:bidi="ar-SA"/>
        </w:rPr>
        <w:t xml:space="preserve"> 应提前 4 小时向发包人或监理人提出申请并在获得发包人或监理人批准后方可离开 </w:t>
      </w:r>
      <w:r>
        <w:rPr>
          <w:rFonts w:hint="eastAsia" w:ascii="宋体" w:hAnsi="宋体" w:eastAsia="宋体" w:cs="宋体"/>
          <w:snapToGrid w:val="0"/>
          <w:color w:val="auto"/>
          <w:spacing w:val="0"/>
          <w:kern w:val="0"/>
          <w:position w:val="0"/>
          <w:sz w:val="24"/>
          <w:szCs w:val="24"/>
          <w:lang w:val="en-US" w:eastAsia="en-US" w:bidi="ar-SA"/>
        </w:rPr>
        <w:t>。</w:t>
      </w:r>
    </w:p>
    <w:p w14:paraId="56EBDCF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3.3.5 承包人擅自更换主要施工管理人员的违约责任：</w:t>
      </w:r>
      <w:r>
        <w:rPr>
          <w:rFonts w:hint="eastAsia" w:ascii="宋体" w:hAnsi="宋体" w:eastAsia="宋体" w:cs="宋体"/>
          <w:snapToGrid w:val="0"/>
          <w:color w:val="auto"/>
          <w:spacing w:val="0"/>
          <w:kern w:val="0"/>
          <w:position w:val="0"/>
          <w:sz w:val="24"/>
          <w:szCs w:val="24"/>
          <w:u w:val="single" w:color="auto"/>
          <w:lang w:val="en-US" w:eastAsia="en-US" w:bidi="ar-SA"/>
        </w:rPr>
        <w:t>承包人向发包人支付违约金 5000 元/次。</w:t>
      </w:r>
    </w:p>
    <w:p w14:paraId="4257287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承包人主要施工管理人员擅自离开施工现场的违约责任：</w:t>
      </w:r>
      <w:r>
        <w:rPr>
          <w:rFonts w:hint="eastAsia" w:ascii="宋体" w:hAnsi="宋体" w:eastAsia="宋体" w:cs="宋体"/>
          <w:snapToGrid w:val="0"/>
          <w:color w:val="auto"/>
          <w:spacing w:val="0"/>
          <w:kern w:val="0"/>
          <w:position w:val="0"/>
          <w:sz w:val="24"/>
          <w:szCs w:val="24"/>
          <w:u w:val="single" w:color="auto"/>
          <w:lang w:val="en-US" w:eastAsia="en-US" w:bidi="ar-SA"/>
        </w:rPr>
        <w:t>承包人向发包人支付违约金 1000 元/次，超过 3 次，承包人向发包人支付违约金 5000 元/次。</w:t>
      </w:r>
    </w:p>
    <w:p w14:paraId="40DD4E5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3.5 分包</w:t>
      </w:r>
    </w:p>
    <w:p w14:paraId="55E43EC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3.5.1 分包的一般约定</w:t>
      </w:r>
    </w:p>
    <w:p w14:paraId="47FFB22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禁止分包的工程包括：</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05DBEC8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主体结构、关键性工作的范围：</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51BB9E4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3.5.2 分包的确定</w:t>
      </w:r>
    </w:p>
    <w:p w14:paraId="2A6475A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允许分包的专业工程包括：</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3ACA506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其他关于分包的约定：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60F5718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3.5.4 分包合同价款</w:t>
      </w:r>
    </w:p>
    <w:p w14:paraId="3F922CA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关于分包合同价款支付的约定：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5276D8A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3.6 工程照管与成品、半成品保护</w:t>
      </w:r>
    </w:p>
    <w:p w14:paraId="6A2C190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承包人负责照管工程及工程相关的材料、工程设备的起始时间：</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p>
    <w:p w14:paraId="1A60AE2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3.7 履约担保</w:t>
      </w:r>
    </w:p>
    <w:p w14:paraId="39DB37B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承包人是否提供履约担保：</w:t>
      </w:r>
      <w:r>
        <w:rPr>
          <w:rFonts w:hint="eastAsia" w:ascii="宋体" w:hAnsi="宋体" w:eastAsia="宋体" w:cs="宋体"/>
          <w:snapToGrid w:val="0"/>
          <w:color w:val="auto"/>
          <w:spacing w:val="0"/>
          <w:kern w:val="0"/>
          <w:position w:val="0"/>
          <w:sz w:val="24"/>
          <w:szCs w:val="24"/>
          <w:u w:val="single" w:color="auto"/>
          <w:lang w:val="en-US" w:eastAsia="en-US" w:bidi="ar-SA"/>
        </w:rPr>
        <w:t xml:space="preserve">               是                 </w:t>
      </w:r>
      <w:r>
        <w:rPr>
          <w:rFonts w:hint="eastAsia" w:ascii="宋体" w:hAnsi="宋体" w:eastAsia="宋体" w:cs="宋体"/>
          <w:snapToGrid w:val="0"/>
          <w:color w:val="auto"/>
          <w:spacing w:val="0"/>
          <w:kern w:val="0"/>
          <w:position w:val="0"/>
          <w:sz w:val="24"/>
          <w:szCs w:val="24"/>
          <w:lang w:val="en-US" w:eastAsia="en-US" w:bidi="ar-SA"/>
        </w:rPr>
        <w:t>。</w:t>
      </w:r>
    </w:p>
    <w:p w14:paraId="565B9129">
      <w:pPr>
        <w:keepNext w:val="0"/>
        <w:keepLines w:val="0"/>
        <w:pageBreakBefore w:val="0"/>
        <w:widowControl/>
        <w:tabs>
          <w:tab w:val="left" w:pos="8630"/>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承包人提供履约担保的形式、金额及期限的：</w:t>
      </w:r>
      <w:r>
        <w:rPr>
          <w:rFonts w:hint="eastAsia" w:ascii="宋体" w:hAnsi="宋体" w:eastAsia="宋体" w:cs="宋体"/>
          <w:snapToGrid w:val="0"/>
          <w:color w:val="auto"/>
          <w:spacing w:val="0"/>
          <w:kern w:val="0"/>
          <w:position w:val="0"/>
          <w:sz w:val="24"/>
          <w:szCs w:val="24"/>
          <w:u w:val="single" w:color="auto"/>
          <w:lang w:val="en-US" w:eastAsia="en-US" w:bidi="ar-SA"/>
        </w:rPr>
        <w:t>中标、成交金额降价幅度不超过采购预算 10% 的，履约保证金为中标、成交金额的 10%;中标、成交金额降价幅度超过采购预算 10%以上的，履约保证金为采购预算减去中标、 成交金额的差额（只接受银行保函或现金转账）；供应商提交的银行保函，在项目交付使用前不可撤销、不可转让、见索即付，履约担保责任至对应项目交付使用之日终止。银行保函应当是投标人注册地或者项目所在地市域内的银行出具的保函；供应商自领取中标、成交通知书后 7 个工作日内提交履约保证金。</w:t>
      </w:r>
    </w:p>
    <w:p w14:paraId="5D78FDF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4.</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监理人</w:t>
      </w:r>
    </w:p>
    <w:p w14:paraId="11CB487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4.1 监理人的一般规定</w:t>
      </w:r>
    </w:p>
    <w:p w14:paraId="605BA75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关于监理人的监理内容：</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按《监理合同》执行                   </w:t>
      </w:r>
      <w:r>
        <w:rPr>
          <w:rFonts w:hint="eastAsia" w:ascii="宋体" w:hAnsi="宋体" w:eastAsia="宋体" w:cs="宋体"/>
          <w:snapToGrid w:val="0"/>
          <w:color w:val="auto"/>
          <w:spacing w:val="0"/>
          <w:kern w:val="0"/>
          <w:position w:val="0"/>
          <w:sz w:val="24"/>
          <w:szCs w:val="24"/>
          <w:lang w:val="en-US" w:eastAsia="en-US" w:bidi="ar-SA"/>
        </w:rPr>
        <w:t>。</w:t>
      </w:r>
    </w:p>
    <w:p w14:paraId="6D79AD8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关于监理人的监理权限： </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 《监理合同》执行                   </w:t>
      </w:r>
      <w:r>
        <w:rPr>
          <w:rFonts w:hint="eastAsia" w:ascii="宋体" w:hAnsi="宋体" w:eastAsia="宋体" w:cs="宋体"/>
          <w:snapToGrid w:val="0"/>
          <w:color w:val="auto"/>
          <w:spacing w:val="0"/>
          <w:kern w:val="0"/>
          <w:position w:val="0"/>
          <w:sz w:val="24"/>
          <w:szCs w:val="24"/>
          <w:lang w:val="en-US" w:eastAsia="en-US" w:bidi="ar-SA"/>
        </w:rPr>
        <w:t>。</w:t>
      </w:r>
    </w:p>
    <w:p w14:paraId="4D5E128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关于监理人在施工现场的办公场所、生活场所的提供和费用承担的约定：</w:t>
      </w:r>
      <w:r>
        <w:rPr>
          <w:rFonts w:hint="eastAsia" w:ascii="宋体" w:hAnsi="宋体" w:eastAsia="宋体" w:cs="宋体"/>
          <w:snapToGrid w:val="0"/>
          <w:color w:val="auto"/>
          <w:spacing w:val="0"/>
          <w:kern w:val="0"/>
          <w:position w:val="0"/>
          <w:sz w:val="24"/>
          <w:szCs w:val="24"/>
          <w:u w:val="single" w:color="auto"/>
          <w:lang w:val="en-US" w:eastAsia="en-US" w:bidi="ar-SA"/>
        </w:rPr>
        <w:t>按国家相关规定。</w:t>
      </w:r>
    </w:p>
    <w:p w14:paraId="777231F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4.2 监理人员</w:t>
      </w:r>
    </w:p>
    <w:p w14:paraId="430FBEB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总监理工程师：</w:t>
      </w:r>
    </w:p>
    <w:p w14:paraId="7863B9A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姓    名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7E35D4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职    务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0F317B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监理工程师执业资格证书号：</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5F60DB8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联系电话：</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5D45B3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电子信箱：</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7C8B0D7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通信地址：</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37DEC08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关于监理人的其他约定：</w:t>
      </w:r>
      <w:r>
        <w:rPr>
          <w:rFonts w:hint="eastAsia" w:ascii="宋体" w:hAnsi="宋体" w:eastAsia="宋体" w:cs="宋体"/>
          <w:snapToGrid w:val="0"/>
          <w:color w:val="auto"/>
          <w:spacing w:val="0"/>
          <w:kern w:val="0"/>
          <w:position w:val="0"/>
          <w:sz w:val="24"/>
          <w:szCs w:val="24"/>
          <w:u w:val="single" w:color="auto"/>
          <w:lang w:val="en-US" w:eastAsia="en-US" w:bidi="ar-SA"/>
        </w:rPr>
        <w:t>按监理相关规范配备充足的监理人员，并要求人证相符</w:t>
      </w:r>
      <w:r>
        <w:rPr>
          <w:rFonts w:hint="eastAsia" w:ascii="宋体" w:hAnsi="宋体" w:eastAsia="宋体" w:cs="宋体"/>
          <w:snapToGrid w:val="0"/>
          <w:color w:val="auto"/>
          <w:spacing w:val="0"/>
          <w:kern w:val="0"/>
          <w:position w:val="0"/>
          <w:sz w:val="24"/>
          <w:szCs w:val="24"/>
          <w:lang w:val="en-US" w:eastAsia="en-US" w:bidi="ar-SA"/>
        </w:rPr>
        <w:t>。</w:t>
      </w:r>
    </w:p>
    <w:p w14:paraId="3741836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4.4 商定或确定</w:t>
      </w:r>
    </w:p>
    <w:p w14:paraId="4A32958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在发包人和承包人不能通过协商达成一致意见时，发包人授权监理人对以下事项进行确定：</w:t>
      </w:r>
    </w:p>
    <w:p w14:paraId="4ECF68F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w:t>
      </w:r>
      <w:r>
        <w:rPr>
          <w:rFonts w:hint="eastAsia" w:ascii="宋体" w:hAnsi="宋体" w:eastAsia="宋体" w:cs="宋体"/>
          <w:snapToGrid w:val="0"/>
          <w:color w:val="auto"/>
          <w:spacing w:val="0"/>
          <w:kern w:val="0"/>
          <w:position w:val="0"/>
          <w:sz w:val="24"/>
          <w:szCs w:val="24"/>
          <w:u w:val="single" w:color="auto"/>
          <w:lang w:val="en-US" w:eastAsia="en-US" w:bidi="ar-SA"/>
        </w:rPr>
        <w:t xml:space="preserve">              工程质量                             </w:t>
      </w:r>
      <w:r>
        <w:rPr>
          <w:rFonts w:hint="eastAsia" w:ascii="宋体" w:hAnsi="宋体" w:eastAsia="宋体" w:cs="宋体"/>
          <w:snapToGrid w:val="0"/>
          <w:color w:val="auto"/>
          <w:spacing w:val="0"/>
          <w:kern w:val="0"/>
          <w:position w:val="0"/>
          <w:sz w:val="24"/>
          <w:szCs w:val="24"/>
          <w:lang w:val="en-US" w:eastAsia="en-US" w:bidi="ar-SA"/>
        </w:rPr>
        <w:t>；</w:t>
      </w:r>
    </w:p>
    <w:p w14:paraId="0F204F6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w:t>
      </w:r>
      <w:r>
        <w:rPr>
          <w:rFonts w:hint="eastAsia" w:ascii="宋体" w:hAnsi="宋体" w:eastAsia="宋体" w:cs="宋体"/>
          <w:snapToGrid w:val="0"/>
          <w:color w:val="auto"/>
          <w:spacing w:val="0"/>
          <w:kern w:val="0"/>
          <w:position w:val="0"/>
          <w:sz w:val="24"/>
          <w:szCs w:val="24"/>
          <w:u w:val="single" w:color="auto"/>
          <w:lang w:val="en-US" w:eastAsia="en-US" w:bidi="ar-SA"/>
        </w:rPr>
        <w:t xml:space="preserve">              施工安全                             </w:t>
      </w:r>
      <w:r>
        <w:rPr>
          <w:rFonts w:hint="eastAsia" w:ascii="宋体" w:hAnsi="宋体" w:eastAsia="宋体" w:cs="宋体"/>
          <w:snapToGrid w:val="0"/>
          <w:color w:val="auto"/>
          <w:spacing w:val="0"/>
          <w:kern w:val="0"/>
          <w:position w:val="0"/>
          <w:sz w:val="24"/>
          <w:szCs w:val="24"/>
          <w:lang w:val="en-US" w:eastAsia="en-US" w:bidi="ar-SA"/>
        </w:rPr>
        <w:t>；</w:t>
      </w:r>
    </w:p>
    <w:p w14:paraId="09AF8FA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w:t>
      </w:r>
      <w:r>
        <w:rPr>
          <w:rFonts w:hint="eastAsia" w:ascii="宋体" w:hAnsi="宋体" w:eastAsia="宋体" w:cs="宋体"/>
          <w:snapToGrid w:val="0"/>
          <w:color w:val="auto"/>
          <w:spacing w:val="0"/>
          <w:kern w:val="0"/>
          <w:position w:val="0"/>
          <w:sz w:val="24"/>
          <w:szCs w:val="24"/>
          <w:u w:val="single" w:color="auto"/>
          <w:lang w:val="en-US" w:eastAsia="en-US" w:bidi="ar-SA"/>
        </w:rPr>
        <w:t xml:space="preserve">              工程进度                             </w:t>
      </w:r>
      <w:r>
        <w:rPr>
          <w:rFonts w:hint="eastAsia" w:ascii="宋体" w:hAnsi="宋体" w:eastAsia="宋体" w:cs="宋体"/>
          <w:snapToGrid w:val="0"/>
          <w:color w:val="auto"/>
          <w:spacing w:val="0"/>
          <w:kern w:val="0"/>
          <w:position w:val="0"/>
          <w:sz w:val="24"/>
          <w:szCs w:val="24"/>
          <w:lang w:val="en-US" w:eastAsia="en-US" w:bidi="ar-SA"/>
        </w:rPr>
        <w:t>。</w:t>
      </w:r>
    </w:p>
    <w:p w14:paraId="0FF9103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2"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5.</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工程质量</w:t>
      </w:r>
    </w:p>
    <w:p w14:paraId="05E28D3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5.1 质量要求</w:t>
      </w:r>
    </w:p>
    <w:p w14:paraId="628B952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5.1.1 特殊质量标准和要求：</w:t>
      </w:r>
      <w:r>
        <w:rPr>
          <w:rFonts w:hint="eastAsia" w:ascii="宋体" w:hAnsi="宋体" w:eastAsia="宋体" w:cs="宋体"/>
          <w:snapToGrid w:val="0"/>
          <w:color w:val="auto"/>
          <w:spacing w:val="0"/>
          <w:kern w:val="0"/>
          <w:position w:val="0"/>
          <w:sz w:val="24"/>
          <w:szCs w:val="24"/>
          <w:u w:val="single" w:color="auto"/>
          <w:lang w:val="en-US" w:eastAsia="en-US" w:bidi="ar-SA"/>
        </w:rPr>
        <w:t>执行相关规定的同时，还须满足下列约定；</w:t>
      </w:r>
    </w:p>
    <w:p w14:paraId="380F116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1）施工过程中专业设备的采购及使用，需提前报业主审批，且专业设备需满足其对应的质量标准要求；</w:t>
      </w:r>
    </w:p>
    <w:p w14:paraId="057CE05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2）承包人必须严格按施工图纸及技术说明进行施工，未经发包人和设计单位同意不得修改；如确因设计图纸有误或施工原因需修改时，需经过发包人和设计单位、监理人同意，由设计单位发变更通知单方可施工。</w:t>
      </w:r>
    </w:p>
    <w:p w14:paraId="67DFB12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3）工程具备隐蔽条件或达到中间验收部位，承包人自检合格后，在隐蔽和中间验收48 小时前通知发包人代表和总监理工程师参加。通知包括承包人自检记录、隐蔽和中间验收的内容、验收时间和地点。由承包人准备验收记录，经发包人代表和总监理工程师验收合格并在验收记录签字确认后，承包人方可进行隐蔽和继续施工。验收不合格，承包人在限定时间内整改后重新验收。整改后工程仍不合格的，发包人有权要求承包人再整改直至合格为止，延误的工期不予顺延，造成的损失全部由承包人承担。</w:t>
      </w:r>
    </w:p>
    <w:p w14:paraId="0366A4C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4）无论发包人代表和总监理工程师是否参加验收，当其提出对已经验收的隐蔽</w:t>
      </w:r>
      <w:r>
        <w:rPr>
          <w:rFonts w:hint="eastAsia" w:ascii="宋体" w:hAnsi="宋体" w:eastAsia="宋体" w:cs="宋体"/>
          <w:snapToGrid w:val="0"/>
          <w:color w:val="auto"/>
          <w:kern w:val="0"/>
          <w:sz w:val="24"/>
          <w:szCs w:val="24"/>
          <w:u w:val="single" w:color="auto"/>
          <w:lang w:val="en-US" w:eastAsia="en-US" w:bidi="ar-SA"/>
        </w:rPr>
        <w:t>工程重新检验的要求时，承包人应按要求进行剥露</w:t>
      </w:r>
      <w:r>
        <w:rPr>
          <w:rFonts w:hint="eastAsia" w:ascii="宋体" w:hAnsi="宋体" w:eastAsia="宋体" w:cs="宋体"/>
          <w:snapToGrid w:val="0"/>
          <w:color w:val="auto"/>
          <w:spacing w:val="-1"/>
          <w:kern w:val="0"/>
          <w:sz w:val="24"/>
          <w:szCs w:val="24"/>
          <w:u w:val="single" w:color="auto"/>
          <w:lang w:val="en-US" w:eastAsia="en-US" w:bidi="ar-SA"/>
        </w:rPr>
        <w:t>，并在检验后重新隐蔽或修复后</w:t>
      </w:r>
      <w:r>
        <w:rPr>
          <w:rFonts w:hint="eastAsia" w:ascii="宋体" w:hAnsi="宋体" w:eastAsia="宋体" w:cs="宋体"/>
          <w:snapToGrid w:val="0"/>
          <w:color w:val="auto"/>
          <w:spacing w:val="0"/>
          <w:kern w:val="0"/>
          <w:position w:val="0"/>
          <w:sz w:val="24"/>
          <w:szCs w:val="24"/>
          <w:u w:val="single" w:color="auto"/>
          <w:lang w:val="en-US" w:eastAsia="en-US" w:bidi="ar-SA"/>
        </w:rPr>
        <w:t>隐蔽。</w:t>
      </w:r>
    </w:p>
    <w:p w14:paraId="12DA8A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关于工程奖项的约定：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22409B1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5.3 隐蔽工程检查</w:t>
      </w:r>
    </w:p>
    <w:p w14:paraId="6F4232B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5.3.2 承包人提前通知监理人隐蔽工程检查的期限的约定：</w:t>
      </w:r>
      <w:r>
        <w:rPr>
          <w:rFonts w:hint="eastAsia" w:ascii="宋体" w:hAnsi="宋体" w:eastAsia="宋体" w:cs="宋体"/>
          <w:snapToGrid w:val="0"/>
          <w:color w:val="auto"/>
          <w:spacing w:val="0"/>
          <w:kern w:val="0"/>
          <w:position w:val="0"/>
          <w:sz w:val="24"/>
          <w:szCs w:val="24"/>
          <w:u w:val="single" w:color="auto"/>
          <w:lang w:val="en-US" w:eastAsia="en-US" w:bidi="ar-SA"/>
        </w:rPr>
        <w:t>按通合同条款</w:t>
      </w:r>
      <w:r>
        <w:rPr>
          <w:rFonts w:hint="eastAsia" w:ascii="宋体" w:hAnsi="宋体" w:eastAsia="宋体" w:cs="宋体"/>
          <w:snapToGrid w:val="0"/>
          <w:color w:val="auto"/>
          <w:spacing w:val="0"/>
          <w:kern w:val="0"/>
          <w:position w:val="0"/>
          <w:sz w:val="24"/>
          <w:szCs w:val="24"/>
          <w:lang w:val="en-US" w:eastAsia="en-US" w:bidi="ar-SA"/>
        </w:rPr>
        <w:t>。</w:t>
      </w:r>
    </w:p>
    <w:p w14:paraId="52CA844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监理人不能按时进行检查时，应提前</w:t>
      </w:r>
      <w:r>
        <w:rPr>
          <w:rFonts w:hint="eastAsia" w:ascii="宋体" w:hAnsi="宋体" w:eastAsia="宋体" w:cs="宋体"/>
          <w:snapToGrid w:val="0"/>
          <w:color w:val="auto"/>
          <w:spacing w:val="0"/>
          <w:kern w:val="0"/>
          <w:position w:val="0"/>
          <w:sz w:val="24"/>
          <w:szCs w:val="24"/>
          <w:u w:val="single" w:color="auto"/>
          <w:lang w:val="en-US" w:eastAsia="en-US" w:bidi="ar-SA"/>
        </w:rPr>
        <w:t xml:space="preserve">  24  </w:t>
      </w:r>
      <w:r>
        <w:rPr>
          <w:rFonts w:hint="eastAsia" w:ascii="宋体" w:hAnsi="宋体" w:eastAsia="宋体" w:cs="宋体"/>
          <w:snapToGrid w:val="0"/>
          <w:color w:val="auto"/>
          <w:spacing w:val="0"/>
          <w:kern w:val="0"/>
          <w:position w:val="0"/>
          <w:sz w:val="24"/>
          <w:szCs w:val="24"/>
          <w:lang w:val="en-US" w:eastAsia="en-US" w:bidi="ar-SA"/>
        </w:rPr>
        <w:t xml:space="preserve"> 小时提交书面延期要求。</w:t>
      </w:r>
    </w:p>
    <w:p w14:paraId="6520130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关于延期最长不得超过：</w:t>
      </w:r>
      <w:r>
        <w:rPr>
          <w:rFonts w:hint="eastAsia" w:ascii="宋体" w:hAnsi="宋体" w:eastAsia="宋体" w:cs="宋体"/>
          <w:snapToGrid w:val="0"/>
          <w:color w:val="auto"/>
          <w:spacing w:val="0"/>
          <w:kern w:val="0"/>
          <w:position w:val="0"/>
          <w:sz w:val="24"/>
          <w:szCs w:val="24"/>
          <w:u w:val="single" w:color="auto"/>
          <w:lang w:val="en-US" w:eastAsia="en-US" w:bidi="ar-SA"/>
        </w:rPr>
        <w:t xml:space="preserve">  48 </w:t>
      </w:r>
      <w:r>
        <w:rPr>
          <w:rFonts w:hint="eastAsia" w:ascii="宋体" w:hAnsi="宋体" w:eastAsia="宋体" w:cs="宋体"/>
          <w:snapToGrid w:val="0"/>
          <w:color w:val="auto"/>
          <w:spacing w:val="0"/>
          <w:kern w:val="0"/>
          <w:position w:val="0"/>
          <w:sz w:val="24"/>
          <w:szCs w:val="24"/>
          <w:lang w:val="en-US" w:eastAsia="en-US" w:bidi="ar-SA"/>
        </w:rPr>
        <w:t>小时。</w:t>
      </w:r>
    </w:p>
    <w:p w14:paraId="1407459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6.</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安全文明施工与环境保护</w:t>
      </w:r>
    </w:p>
    <w:p w14:paraId="3FE4B71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6.1 安全文明施工</w:t>
      </w:r>
    </w:p>
    <w:p w14:paraId="2C664D0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6.1.1 项目安全生产的达标目标及相应事项的约定：</w:t>
      </w:r>
    </w:p>
    <w:p w14:paraId="755A268C">
      <w:pPr>
        <w:keepNext w:val="0"/>
        <w:keepLines w:val="0"/>
        <w:pageBreakBefore w:val="0"/>
        <w:widowControl/>
        <w:tabs>
          <w:tab w:val="left" w:pos="61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（1）全面按照所有留在现场的人员的安全，保持其管辖范围内的现场和尚未完工的和发包人尚未占用的工程出于有条不紊的状态，以免发生人身事故；</w:t>
      </w:r>
    </w:p>
    <w:p w14:paraId="050DDFBD">
      <w:pPr>
        <w:keepNext w:val="0"/>
        <w:keepLines w:val="0"/>
        <w:pageBreakBefore w:val="0"/>
        <w:widowControl/>
        <w:tabs>
          <w:tab w:val="left" w:pos="61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（2）严格按张建发［</w:t>
      </w:r>
      <w:r>
        <w:rPr>
          <w:rFonts w:hint="eastAsia" w:ascii="宋体" w:hAnsi="宋体" w:eastAsia="宋体" w:cs="宋体"/>
          <w:snapToGrid w:val="0"/>
          <w:color w:val="auto"/>
          <w:spacing w:val="0"/>
          <w:kern w:val="0"/>
          <w:position w:val="0"/>
          <w:sz w:val="24"/>
          <w:szCs w:val="24"/>
          <w:lang w:val="en-US" w:eastAsia="en-US" w:bidi="ar-SA"/>
        </w:rPr>
        <w:fldChar w:fldCharType="begin"/>
      </w:r>
      <w:r>
        <w:rPr>
          <w:rFonts w:hint="eastAsia" w:ascii="宋体" w:hAnsi="宋体" w:eastAsia="宋体" w:cs="宋体"/>
          <w:snapToGrid w:val="0"/>
          <w:color w:val="auto"/>
          <w:spacing w:val="0"/>
          <w:kern w:val="0"/>
          <w:position w:val="0"/>
          <w:sz w:val="24"/>
          <w:szCs w:val="24"/>
          <w:lang w:val="en-US" w:eastAsia="en-US" w:bidi="ar-SA"/>
        </w:rPr>
        <w:instrText xml:space="preserve"> HYPERLINK \l "bookmark62" </w:instrText>
      </w:r>
      <w:r>
        <w:rPr>
          <w:rFonts w:hint="eastAsia" w:ascii="宋体" w:hAnsi="宋体" w:eastAsia="宋体" w:cs="宋体"/>
          <w:snapToGrid w:val="0"/>
          <w:color w:val="auto"/>
          <w:spacing w:val="0"/>
          <w:kern w:val="0"/>
          <w:position w:val="0"/>
          <w:sz w:val="24"/>
          <w:szCs w:val="24"/>
          <w:lang w:val="en-US" w:eastAsia="en-US" w:bidi="ar-SA"/>
        </w:rPr>
        <w:fldChar w:fldCharType="separate"/>
      </w:r>
      <w:r>
        <w:rPr>
          <w:rFonts w:hint="eastAsia" w:ascii="宋体" w:hAnsi="宋体" w:eastAsia="宋体" w:cs="宋体"/>
          <w:snapToGrid w:val="0"/>
          <w:color w:val="auto"/>
          <w:spacing w:val="0"/>
          <w:kern w:val="0"/>
          <w:position w:val="0"/>
          <w:sz w:val="24"/>
          <w:szCs w:val="24"/>
          <w:u w:val="single" w:color="auto"/>
          <w:lang w:val="en-US" w:eastAsia="en-US" w:bidi="ar-SA"/>
        </w:rPr>
        <w:t>2017</w:t>
      </w:r>
      <w:r>
        <w:rPr>
          <w:rFonts w:hint="eastAsia" w:ascii="宋体" w:hAnsi="宋体" w:eastAsia="宋体" w:cs="宋体"/>
          <w:snapToGrid w:val="0"/>
          <w:color w:val="auto"/>
          <w:spacing w:val="0"/>
          <w:kern w:val="0"/>
          <w:position w:val="0"/>
          <w:sz w:val="24"/>
          <w:szCs w:val="24"/>
          <w:u w:val="single" w:color="auto"/>
          <w:lang w:val="en-US" w:eastAsia="en-US" w:bidi="ar-SA"/>
        </w:rPr>
        <w:fldChar w:fldCharType="end"/>
      </w:r>
      <w:r>
        <w:rPr>
          <w:rFonts w:hint="eastAsia" w:ascii="宋体" w:hAnsi="宋体" w:eastAsia="宋体" w:cs="宋体"/>
          <w:snapToGrid w:val="0"/>
          <w:color w:val="auto"/>
          <w:spacing w:val="0"/>
          <w:kern w:val="0"/>
          <w:position w:val="0"/>
          <w:sz w:val="24"/>
          <w:szCs w:val="24"/>
          <w:u w:val="single" w:color="auto"/>
          <w:lang w:val="en-US" w:eastAsia="en-US" w:bidi="ar-SA"/>
        </w:rPr>
        <w:t>］13 号文件《张家界市建筑工程渣土扬尘管理考核暂行办法》执行，对工程进行保护或为公众提供安全和方便。</w:t>
      </w:r>
    </w:p>
    <w:p w14:paraId="2AC42293">
      <w:pPr>
        <w:keepNext w:val="0"/>
        <w:keepLines w:val="0"/>
        <w:pageBreakBefore w:val="0"/>
        <w:widowControl/>
        <w:tabs>
          <w:tab w:val="left" w:pos="61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（3）施工中发生安全责任事故，按通用条款 6.1.9.2 执行。。</w:t>
      </w:r>
    </w:p>
    <w:p w14:paraId="1202483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6.1.4 关于治安保卫的特别约定：</w:t>
      </w:r>
    </w:p>
    <w:p w14:paraId="31F9492C">
      <w:pPr>
        <w:keepNext w:val="0"/>
        <w:keepLines w:val="0"/>
        <w:pageBreakBefore w:val="0"/>
        <w:widowControl/>
        <w:tabs>
          <w:tab w:val="left" w:pos="61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（1）现场建立治安管理机构或联防组织的协作约定：由发包方代表和承包方代表担任组长和副组长，由承包方代表组织成立治安联防小组。</w:t>
      </w:r>
    </w:p>
    <w:p w14:paraId="053722CA">
      <w:pPr>
        <w:keepNext w:val="0"/>
        <w:keepLines w:val="0"/>
        <w:pageBreakBefore w:val="0"/>
        <w:widowControl/>
        <w:tabs>
          <w:tab w:val="left" w:pos="61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2）编制施工场地治安管理计划，制定对突发治安事件的紧急预案的协作工作的约定：无论在工程施工期间或者是在保修期间内，如果在工程的任何部分中发生事故或者其他事件，工程师认为进行紧急补救或其他工作或修理是工程安全的紧急需要，而承包人无能力或不愿立即进行此类工作或修理时，发包人可以工程师认为必须时，雇用其他人员从事该项工作或修理，并支付有关费用，如果工程师认为由发包人如此完成的工作或修理按规定应由承包人自费进行，则经与发包人和承包人商议后，工程师将确定此项工作的全部费用，并由发包人向承包人索回，发包人可从将付或应付给承包人的金额中扣除，工程师应通知承包人，并将一副本交发包人。但在发生上述情况后，工程师应尽快通知承包人。</w:t>
      </w:r>
    </w:p>
    <w:p w14:paraId="721CFE9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关于编制施工场地治安管理计划的约定：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1EA41DD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72" w:firstLineChars="200"/>
        <w:jc w:val="left"/>
        <w:textAlignment w:val="baseline"/>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snapToGrid w:val="0"/>
          <w:color w:val="auto"/>
          <w:spacing w:val="-2"/>
          <w:kern w:val="0"/>
          <w:sz w:val="24"/>
          <w:szCs w:val="24"/>
          <w:lang w:val="en-US" w:eastAsia="en-US" w:bidi="ar-SA"/>
        </w:rPr>
        <w:t>6.1.5 文明施工</w:t>
      </w:r>
    </w:p>
    <w:p w14:paraId="6ED09BF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76" w:firstLineChars="200"/>
        <w:jc w:val="left"/>
        <w:textAlignment w:val="baseline"/>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snapToGrid w:val="0"/>
          <w:color w:val="auto"/>
          <w:spacing w:val="-1"/>
          <w:kern w:val="0"/>
          <w:sz w:val="24"/>
          <w:szCs w:val="24"/>
          <w:lang w:val="en-US" w:eastAsia="en-US" w:bidi="ar-SA"/>
        </w:rPr>
        <w:t>合同当事人对文明施工的要求：</w:t>
      </w:r>
    </w:p>
    <w:p w14:paraId="5B0D99F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kern w:val="0"/>
          <w:sz w:val="24"/>
          <w:szCs w:val="24"/>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298450</wp:posOffset>
                </wp:positionH>
                <wp:positionV relativeFrom="paragraph">
                  <wp:posOffset>268605</wp:posOffset>
                </wp:positionV>
                <wp:extent cx="5241925" cy="7620"/>
                <wp:effectExtent l="0" t="0" r="0" b="0"/>
                <wp:wrapNone/>
                <wp:docPr id="2" name="任意多边形 2"/>
                <wp:cNvGraphicFramePr/>
                <a:graphic xmlns:a="http://schemas.openxmlformats.org/drawingml/2006/main">
                  <a:graphicData uri="http://schemas.microsoft.com/office/word/2010/wordprocessingShape">
                    <wps:wsp>
                      <wps:cNvSpPr/>
                      <wps:spPr>
                        <a:xfrm>
                          <a:off x="0" y="0"/>
                          <a:ext cx="5241925" cy="7620"/>
                        </a:xfrm>
                        <a:custGeom>
                          <a:avLst/>
                          <a:gdLst/>
                          <a:ahLst/>
                          <a:cxnLst/>
                          <a:pathLst>
                            <a:path w="8255" h="12">
                              <a:moveTo>
                                <a:pt x="0" y="5"/>
                              </a:moveTo>
                              <a:lnTo>
                                <a:pt x="8254" y="5"/>
                              </a:lnTo>
                            </a:path>
                          </a:pathLst>
                        </a:custGeom>
                        <a:noFill/>
                        <a:ln w="7620"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23.5pt;margin-top:21.15pt;height:0.6pt;width:412.75pt;z-index:251659264;mso-width-relative:page;mso-height-relative:page;" filled="f" stroked="t" coordsize="8255,12" o:gfxdata="UEsDBAoAAAAAAIdO4kAAAAAAAAAAAAAAAAAEAAAAZHJzL1BLAwQUAAAACACHTuJA68xCSNkAAAAI&#10;AQAADwAAAGRycy9kb3ducmV2LnhtbE2PS2/CMBCE75X6H6yt1EtVHMwjKI3DoaJCqKdSVHE08ZJE&#10;xOsoNq9/z/YEp9XujGa/yecX14oT9qHxpGE4SEAgld42VGnY/H69z0CEaMia1hNquGKAefH8lJvM&#10;+jP94GkdK8EhFDKjoY6xy6QMZY3OhIHvkFjb+96ZyGtfSdubM4e7VqokmUpnGuIPtenws8bysD46&#10;DcsNqbftMl251VQGufg+/ClaaP36Mkw+QES8xLsZ/vEZHQpm2vkj2SBaDeOUq0SeagSC9VmqJiB2&#10;fBhNQBa5fCxQ3ABQSwMEFAAAAAgAh07iQNi6XB07AgAAlgQAAA4AAABkcnMvZTJvRG9jLnhtbK1U&#10;zY7TMBC+I/EOlu9s2mi7LFHTPVCWC4KVdnkA13YSS/6Tx03bO3fuHBEvgVbs07CIx2Ds9I/l0gM5&#10;JGPPeOb7Ps9kerU2mvQygHK2puOzESXScieUbWv68e76xSUlEJkVTDsra7qRQK9mz59NV76Speuc&#10;FjIQTGKhWvmadjH6qiiAd9IwOHNeWnQ2LhgWcRnaQgS2wuxGF+VodFGsXBA+OC4BcHc+OOk2Yzgl&#10;oWsaxeXc8aWRNg5Zg9QsIiXolAc6y2ibRvL4oWlARqJrikxjfmMRtBfpXcymrGoD853iWwjsFAhP&#10;OBmmLBbdp5qzyMgyqH9SGcWDA9fEM+5MMRDJiiCL8eiJNrcd8zJzQanB70WH/5eWv+9vAlGipiUl&#10;lhm88J/3978+fX789uX3w/fHH19JmURaeagw9tbfhO0K0EyM100w6YtcyDoLu9kLK9eRcNyclOfj&#10;V+WEEo6+lxdl1r04nOVLiG+ly3lY/w7icC1iZ7FuZ/G13ZmexbSdaieTrGp6WU6wSIdtXebbMK6X&#10;dy5HxAO4SSKE1Q9ebY+jMMs5JYh0Fzi48USqk4/ua+PmMXjrrpXWGb22CVEmSzjDQWmwQVEB41Fs&#10;sG0GCE4rkY4kjBDaxWsdSM9Ss+Zni/SvMB8gzhl0Q1x2pTBWLWQvh9qdZOKNFSRuPF6oxTmmCYyR&#10;ghItceyTlc9EpvQpkchTW6Se+mC4+WQtnNhg+yx9UG2HszXOeJMH2zULtR2tNA/H65zp8DuZ/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rzEJI2QAAAAgBAAAPAAAAAAAAAAEAIAAAACIAAABkcnMv&#10;ZG93bnJldi54bWxQSwECFAAUAAAACACHTuJA2LpcHTsCAACWBAAADgAAAAAAAAABACAAAAAoAQAA&#10;ZHJzL2Uyb0RvYy54bWxQSwUGAAAAAAYABgBZAQAA1QUAAAAA&#10;" path="m0,5l8254,5e">
                <v:fill on="f" focussize="0,0"/>
                <v:stroke weight="0.6pt" color="#000000" joinstyle="bevel"/>
                <v:imagedata o:title=""/>
                <o:lock v:ext="edit" aspectratio="f"/>
              </v:shape>
            </w:pict>
          </mc:Fallback>
        </mc:AlternateContent>
      </w:r>
      <w:r>
        <w:rPr>
          <w:rFonts w:hint="eastAsia" w:ascii="宋体" w:hAnsi="宋体" w:eastAsia="宋体" w:cs="宋体"/>
          <w:snapToGrid w:val="0"/>
          <w:color w:val="auto"/>
          <w:spacing w:val="-6"/>
          <w:kern w:val="0"/>
          <w:sz w:val="24"/>
          <w:szCs w:val="24"/>
          <w:lang w:val="en-US" w:eastAsia="en-US" w:bidi="ar-SA"/>
        </w:rPr>
        <w:t>（1）承包人必须择请有资质、全封闭的运输车辆及时清运施工渣土，运输渣土、</w:t>
      </w:r>
      <w:r>
        <w:rPr>
          <w:rFonts w:hint="eastAsia" w:ascii="宋体" w:hAnsi="宋体" w:eastAsia="宋体" w:cs="宋体"/>
          <w:snapToGrid w:val="0"/>
          <w:color w:val="auto"/>
          <w:spacing w:val="0"/>
          <w:kern w:val="0"/>
          <w:position w:val="0"/>
          <w:sz w:val="24"/>
          <w:szCs w:val="24"/>
          <w:u w:val="single" w:color="auto"/>
          <w:lang w:val="en-US" w:eastAsia="en-US" w:bidi="ar-SA"/>
        </w:rPr>
        <w:t>回填料的车辆不得沿途洒落，否则按【2017】13 号《张家界市建筑工程渣土扬尘管理考核暂行办法》、张建【2018】69 号《关于实施在建工地视频监控和扬尘在线监测的通知》及《张家界市扬尘污染防治条例》标准实施，否则按《张家界市扬尘污染防治条例》从严处罚。</w:t>
      </w:r>
    </w:p>
    <w:p w14:paraId="1695C806">
      <w:pPr>
        <w:keepNext w:val="0"/>
        <w:keepLines w:val="0"/>
        <w:pageBreakBefore w:val="0"/>
        <w:widowControl/>
        <w:tabs>
          <w:tab w:val="left" w:pos="60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（2）渣土运输车辆出施工场地时须清洗和冲洗轮胎。</w:t>
      </w:r>
    </w:p>
    <w:p w14:paraId="2C4FAAE7">
      <w:pPr>
        <w:keepNext w:val="0"/>
        <w:keepLines w:val="0"/>
        <w:pageBreakBefore w:val="0"/>
        <w:widowControl/>
        <w:tabs>
          <w:tab w:val="left" w:pos="60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ab/>
      </w:r>
      <w:r>
        <w:rPr>
          <w:rFonts w:hint="eastAsia" w:ascii="宋体" w:hAnsi="宋体" w:eastAsia="宋体" w:cs="宋体"/>
          <w:snapToGrid w:val="0"/>
          <w:color w:val="auto"/>
          <w:spacing w:val="0"/>
          <w:kern w:val="0"/>
          <w:position w:val="0"/>
          <w:sz w:val="24"/>
          <w:szCs w:val="24"/>
          <w:u w:val="single" w:color="auto"/>
          <w:lang w:val="en-US" w:eastAsia="en-US" w:bidi="ar-SA"/>
        </w:rPr>
        <w:t>（3）施工场地裸露地面须有遮挡和降尘具体措施。</w:t>
      </w:r>
    </w:p>
    <w:p w14:paraId="27DD2C9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6.1.6 关于安全文明施工费支付比例和支付期限的约定：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按相关管理条例规定执行 </w:t>
      </w:r>
      <w:r>
        <w:rPr>
          <w:rFonts w:hint="eastAsia" w:ascii="宋体" w:hAnsi="宋体" w:eastAsia="宋体" w:cs="宋体"/>
          <w:snapToGrid w:val="0"/>
          <w:color w:val="auto"/>
          <w:spacing w:val="0"/>
          <w:kern w:val="0"/>
          <w:position w:val="0"/>
          <w:sz w:val="24"/>
          <w:szCs w:val="24"/>
          <w:lang w:val="en-US" w:eastAsia="en-US" w:bidi="ar-SA"/>
        </w:rPr>
        <w:t>。</w:t>
      </w:r>
    </w:p>
    <w:p w14:paraId="7EFD1D7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6.1.7 施工过程中发生的安全事故均由承包人负责。</w:t>
      </w:r>
    </w:p>
    <w:p w14:paraId="2B6F499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7.</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工期和进度</w:t>
      </w:r>
    </w:p>
    <w:p w14:paraId="242F974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7.1 施工组织设计</w:t>
      </w:r>
    </w:p>
    <w:p w14:paraId="23FE91E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7.1.1 合同当事人约定的施工组织设计应包括的其他内容：</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77FB916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7.1.2 施工组织设计的提交和修改</w:t>
      </w:r>
    </w:p>
    <w:p w14:paraId="3D6B18D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承包人提交详细施工组织设计的期限的约定：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5BC503A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发包人和监理人在收到详细的施工组织设计后确认或提出修改意见的期限：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075B8E8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7.2 施工进度计划</w:t>
      </w:r>
    </w:p>
    <w:p w14:paraId="528E446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7.2.2 施工进度计划的修订</w:t>
      </w:r>
    </w:p>
    <w:p w14:paraId="25FAF81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发包人和监理人在收到修订的施工进度计划后确认或提出修改意见的期限：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307073C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7.3 开工</w:t>
      </w:r>
    </w:p>
    <w:p w14:paraId="783C78B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7.3.1 开工准备</w:t>
      </w:r>
    </w:p>
    <w:p w14:paraId="5A929FB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关于承包人提交工程开工报审表的期限：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w:t>
      </w:r>
      <w:r>
        <w:rPr>
          <w:rFonts w:hint="eastAsia" w:ascii="宋体" w:hAnsi="宋体" w:eastAsia="宋体" w:cs="宋体"/>
          <w:snapToGrid w:val="0"/>
          <w:color w:val="auto"/>
          <w:spacing w:val="0"/>
          <w:kern w:val="0"/>
          <w:position w:val="0"/>
          <w:sz w:val="24"/>
          <w:szCs w:val="24"/>
          <w:lang w:val="en-US" w:eastAsia="en-US" w:bidi="ar-SA"/>
        </w:rPr>
        <w:t>。</w:t>
      </w:r>
    </w:p>
    <w:p w14:paraId="049562F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关于发包人应完成的其他开工准备工作及期限：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73D8AF5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关于承包人应完成的其他开工准备工作及期限：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0F4BB06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7.3.2 开工通知</w:t>
      </w:r>
    </w:p>
    <w:p w14:paraId="2BCA450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因发包人原因造成监理人未能在计划开工日期之日起</w:t>
      </w:r>
      <w:r>
        <w:rPr>
          <w:rFonts w:hint="eastAsia" w:ascii="宋体" w:hAnsi="宋体" w:eastAsia="宋体" w:cs="宋体"/>
          <w:snapToGrid w:val="0"/>
          <w:color w:val="auto"/>
          <w:spacing w:val="0"/>
          <w:kern w:val="0"/>
          <w:position w:val="0"/>
          <w:sz w:val="24"/>
          <w:szCs w:val="24"/>
          <w:u w:val="single" w:color="auto"/>
          <w:lang w:val="en-US" w:eastAsia="en-US" w:bidi="ar-SA"/>
        </w:rPr>
        <w:t xml:space="preserve"> 90 </w:t>
      </w:r>
      <w:r>
        <w:rPr>
          <w:rFonts w:hint="eastAsia" w:ascii="宋体" w:hAnsi="宋体" w:eastAsia="宋体" w:cs="宋体"/>
          <w:snapToGrid w:val="0"/>
          <w:color w:val="auto"/>
          <w:spacing w:val="0"/>
          <w:kern w:val="0"/>
          <w:position w:val="0"/>
          <w:sz w:val="24"/>
          <w:szCs w:val="24"/>
          <w:lang w:val="en-US" w:eastAsia="en-US" w:bidi="ar-SA"/>
        </w:rPr>
        <w:t>天内发出开工通知的，承包人有权提出价格调整要求，或者解除合同。</w:t>
      </w:r>
    </w:p>
    <w:p w14:paraId="23C88F5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7.4 测量放线</w:t>
      </w:r>
    </w:p>
    <w:p w14:paraId="5B731FB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7.4.1 发包人通过监理人向承包人提供测量基准点、基准线和水准点及其书面资料的期限：</w:t>
      </w:r>
      <w:r>
        <w:rPr>
          <w:rFonts w:hint="eastAsia" w:ascii="宋体" w:hAnsi="宋体" w:eastAsia="宋体" w:cs="宋体"/>
          <w:snapToGrid w:val="0"/>
          <w:color w:val="auto"/>
          <w:spacing w:val="0"/>
          <w:kern w:val="0"/>
          <w:position w:val="0"/>
          <w:sz w:val="24"/>
          <w:szCs w:val="24"/>
          <w:u w:val="single" w:color="auto"/>
          <w:lang w:val="en-US" w:eastAsia="en-US" w:bidi="ar-SA"/>
        </w:rPr>
        <w:t>发包人负责在开工前 7 天将测量基准点、基准线和水准点以书面形式交给承包人,承包人在收到提供的以上资料后应及时申报复测方案、组织复测并提交复测报告</w:t>
      </w:r>
      <w:r>
        <w:rPr>
          <w:rFonts w:hint="eastAsia" w:ascii="宋体" w:hAnsi="宋体" w:eastAsia="宋体" w:cs="宋体"/>
          <w:snapToGrid w:val="0"/>
          <w:color w:val="auto"/>
          <w:spacing w:val="0"/>
          <w:kern w:val="0"/>
          <w:position w:val="0"/>
          <w:sz w:val="24"/>
          <w:szCs w:val="24"/>
          <w:lang w:val="en-US" w:eastAsia="en-US" w:bidi="ar-SA"/>
        </w:rPr>
        <w:t>。</w:t>
      </w:r>
    </w:p>
    <w:p w14:paraId="43643B5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7.5 工期延误</w:t>
      </w:r>
    </w:p>
    <w:p w14:paraId="6BCFA00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7.5.1 因发包人原因导致工期延误</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6482226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因承包人原因造成工期延误，逾期竣工违约金的上限：</w:t>
      </w:r>
      <w:r>
        <w:rPr>
          <w:rFonts w:hint="eastAsia" w:ascii="宋体" w:hAnsi="宋体" w:eastAsia="宋体" w:cs="宋体"/>
          <w:snapToGrid w:val="0"/>
          <w:color w:val="auto"/>
          <w:spacing w:val="0"/>
          <w:kern w:val="0"/>
          <w:position w:val="0"/>
          <w:sz w:val="24"/>
          <w:szCs w:val="24"/>
          <w:u w:val="single" w:color="auto"/>
          <w:lang w:val="en-US" w:eastAsia="en-US" w:bidi="ar-SA"/>
        </w:rPr>
        <w:t>总造价的 2%</w:t>
      </w:r>
      <w:r>
        <w:rPr>
          <w:rFonts w:hint="eastAsia" w:ascii="宋体" w:hAnsi="宋体" w:eastAsia="宋体" w:cs="宋体"/>
          <w:snapToGrid w:val="0"/>
          <w:color w:val="auto"/>
          <w:spacing w:val="0"/>
          <w:kern w:val="0"/>
          <w:position w:val="0"/>
          <w:sz w:val="24"/>
          <w:szCs w:val="24"/>
          <w:lang w:val="en-US" w:eastAsia="en-US" w:bidi="ar-SA"/>
        </w:rPr>
        <w:t>。</w:t>
      </w:r>
    </w:p>
    <w:p w14:paraId="53E15DDF">
      <w:pPr>
        <w:keepNext w:val="0"/>
        <w:keepLines w:val="0"/>
        <w:pageBreakBefore w:val="0"/>
        <w:widowControl/>
        <w:kinsoku w:val="0"/>
        <w:wordWrap/>
        <w:overflowPunct/>
        <w:topLinePunct w:val="0"/>
        <w:autoSpaceDE w:val="0"/>
        <w:autoSpaceDN w:val="0"/>
        <w:bidi w:val="0"/>
        <w:adjustRightInd w:val="0"/>
        <w:snapToGrid w:val="0"/>
        <w:spacing w:line="460" w:lineRule="exact"/>
        <w:ind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7.5.2 因承包人原因导致工期延误逾期竣工违约金的计算方法为：每延误一天合同工期，给予承包人 </w:t>
      </w:r>
      <w:r>
        <w:rPr>
          <w:rFonts w:hint="eastAsia" w:ascii="宋体" w:hAnsi="宋体" w:eastAsia="宋体" w:cs="宋体"/>
          <w:snapToGrid w:val="0"/>
          <w:color w:val="auto"/>
          <w:spacing w:val="0"/>
          <w:kern w:val="0"/>
          <w:position w:val="0"/>
          <w:sz w:val="24"/>
          <w:szCs w:val="24"/>
          <w:u w:val="single" w:color="auto"/>
          <w:lang w:val="en-US" w:eastAsia="en-US" w:bidi="ar-SA"/>
        </w:rPr>
        <w:t xml:space="preserve"> 10000 元/天</w:t>
      </w:r>
      <w:r>
        <w:rPr>
          <w:rFonts w:hint="eastAsia" w:ascii="宋体" w:hAnsi="宋体" w:eastAsia="宋体" w:cs="宋体"/>
          <w:snapToGrid w:val="0"/>
          <w:color w:val="auto"/>
          <w:spacing w:val="0"/>
          <w:kern w:val="0"/>
          <w:position w:val="0"/>
          <w:sz w:val="24"/>
          <w:szCs w:val="24"/>
          <w:lang w:val="en-US" w:eastAsia="en-US" w:bidi="ar-SA"/>
        </w:rPr>
        <w:t>的处罚。</w:t>
      </w:r>
    </w:p>
    <w:p w14:paraId="3EECB60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7.6 不利物质条件</w:t>
      </w:r>
    </w:p>
    <w:p w14:paraId="149512F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不利物质条件的其他情形和有关约定：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3DF7429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7.7 异常恶劣的气候条件</w:t>
      </w:r>
    </w:p>
    <w:p w14:paraId="48FE6CF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发包人和承包人同意以下情形视为异常恶劣的气候条件：</w:t>
      </w:r>
    </w:p>
    <w:p w14:paraId="67EF9006">
      <w:pPr>
        <w:keepNext w:val="0"/>
        <w:keepLines w:val="0"/>
        <w:pageBreakBefore w:val="0"/>
        <w:widowControl/>
        <w:tabs>
          <w:tab w:val="left" w:pos="60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（1）风速大于24.5m/s的10级以上台风灾害</w:t>
      </w:r>
    </w:p>
    <w:p w14:paraId="2AC65906">
      <w:pPr>
        <w:keepNext w:val="0"/>
        <w:keepLines w:val="0"/>
        <w:pageBreakBefore w:val="0"/>
        <w:widowControl/>
        <w:tabs>
          <w:tab w:val="left" w:pos="60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（2）日气温超过38℃的高温大于3天</w:t>
      </w:r>
    </w:p>
    <w:p w14:paraId="57E7D20A">
      <w:pPr>
        <w:keepNext w:val="0"/>
        <w:keepLines w:val="0"/>
        <w:pageBreakBefore w:val="0"/>
        <w:widowControl/>
        <w:tabs>
          <w:tab w:val="left" w:pos="60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（3）日气温低于-5℃的严寒大于3天</w:t>
      </w:r>
    </w:p>
    <w:p w14:paraId="27125E45">
      <w:pPr>
        <w:keepNext w:val="0"/>
        <w:keepLines w:val="0"/>
        <w:pageBreakBefore w:val="0"/>
        <w:widowControl/>
        <w:tabs>
          <w:tab w:val="left" w:pos="605"/>
        </w:tabs>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 xml:space="preserve">（4）造成工程损坏的冰雹和大雪天气， 日降雪量大于10mm的天气持续2天以上其它异常恶劣气候灾害，以省市气象台发布的气象资料为准       </w:t>
      </w:r>
      <w:r>
        <w:rPr>
          <w:rFonts w:hint="eastAsia" w:ascii="宋体" w:hAnsi="宋体" w:eastAsia="宋体" w:cs="宋体"/>
          <w:snapToGrid w:val="0"/>
          <w:color w:val="auto"/>
          <w:spacing w:val="0"/>
          <w:kern w:val="0"/>
          <w:position w:val="0"/>
          <w:sz w:val="24"/>
          <w:szCs w:val="24"/>
          <w:lang w:val="en-US" w:eastAsia="en-US" w:bidi="ar-SA"/>
        </w:rPr>
        <w:t>。</w:t>
      </w:r>
    </w:p>
    <w:p w14:paraId="7428706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7.9 提前竣工的奖励</w:t>
      </w:r>
    </w:p>
    <w:p w14:paraId="6158488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7.9.2 提前竣工的奖励：</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16531E5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8.</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材料与设备</w:t>
      </w:r>
    </w:p>
    <w:p w14:paraId="7437A47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8.4 材料与工程设备的保管与使用</w:t>
      </w:r>
    </w:p>
    <w:p w14:paraId="6E592B2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8.4.1 发包人供应的材料设备的保管费用的承担：</w:t>
      </w:r>
      <w:r>
        <w:rPr>
          <w:rFonts w:hint="eastAsia" w:ascii="宋体" w:hAnsi="宋体" w:eastAsia="宋体" w:cs="宋体"/>
          <w:snapToGrid w:val="0"/>
          <w:color w:val="auto"/>
          <w:spacing w:val="0"/>
          <w:kern w:val="0"/>
          <w:position w:val="0"/>
          <w:sz w:val="24"/>
          <w:szCs w:val="24"/>
          <w:u w:val="single" w:color="auto"/>
          <w:lang w:val="en-US" w:eastAsia="en-US" w:bidi="ar-SA"/>
        </w:rPr>
        <w:t xml:space="preserve"> 本合同工程发包人不提供任何材料和设备，但业主对设备选型和材料品质有选择权 </w:t>
      </w:r>
      <w:r>
        <w:rPr>
          <w:rFonts w:hint="eastAsia" w:ascii="宋体" w:hAnsi="宋体" w:eastAsia="宋体" w:cs="宋体"/>
          <w:snapToGrid w:val="0"/>
          <w:color w:val="auto"/>
          <w:spacing w:val="0"/>
          <w:kern w:val="0"/>
          <w:position w:val="0"/>
          <w:sz w:val="24"/>
          <w:szCs w:val="24"/>
          <w:lang w:val="en-US" w:eastAsia="en-US" w:bidi="ar-SA"/>
        </w:rPr>
        <w:t>。</w:t>
      </w:r>
    </w:p>
    <w:p w14:paraId="468EA5B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8.6 样品</w:t>
      </w:r>
    </w:p>
    <w:p w14:paraId="6FABEC2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8.6.1样品的报送与封存</w:t>
      </w:r>
    </w:p>
    <w:p w14:paraId="345D255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需要承包人报送样品的材料或工程设备，样品的种类、名称、规格、数量要求：</w:t>
      </w:r>
      <w:r>
        <w:rPr>
          <w:rFonts w:hint="eastAsia" w:ascii="宋体" w:hAnsi="宋体" w:eastAsia="宋体" w:cs="宋体"/>
          <w:snapToGrid w:val="0"/>
          <w:color w:val="auto"/>
          <w:spacing w:val="0"/>
          <w:kern w:val="0"/>
          <w:position w:val="0"/>
          <w:sz w:val="24"/>
          <w:szCs w:val="24"/>
          <w:u w:val="single" w:color="auto"/>
          <w:lang w:val="en-US" w:eastAsia="en-US" w:bidi="ar-SA"/>
        </w:rPr>
        <w:t>按发包人现场规定执行</w:t>
      </w:r>
      <w:r>
        <w:rPr>
          <w:rFonts w:hint="eastAsia" w:ascii="宋体" w:hAnsi="宋体" w:eastAsia="宋体" w:cs="宋体"/>
          <w:snapToGrid w:val="0"/>
          <w:color w:val="auto"/>
          <w:spacing w:val="0"/>
          <w:kern w:val="0"/>
          <w:position w:val="0"/>
          <w:sz w:val="24"/>
          <w:szCs w:val="24"/>
          <w:lang w:val="en-US" w:eastAsia="en-US" w:bidi="ar-SA"/>
        </w:rPr>
        <w:t>。</w:t>
      </w:r>
    </w:p>
    <w:p w14:paraId="1FB6091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8.8 施工设备和临时设施</w:t>
      </w:r>
    </w:p>
    <w:p w14:paraId="2BC705E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8.8.1 承包人提供的施工设备和临时设施</w:t>
      </w:r>
    </w:p>
    <w:p w14:paraId="3E8F0AE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关于修建临时设施费用承担的约定：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由承包人承担               </w:t>
      </w:r>
      <w:r>
        <w:rPr>
          <w:rFonts w:hint="eastAsia" w:ascii="宋体" w:hAnsi="宋体" w:eastAsia="宋体" w:cs="宋体"/>
          <w:snapToGrid w:val="0"/>
          <w:color w:val="auto"/>
          <w:spacing w:val="0"/>
          <w:kern w:val="0"/>
          <w:position w:val="0"/>
          <w:sz w:val="24"/>
          <w:szCs w:val="24"/>
          <w:lang w:val="en-US" w:eastAsia="en-US" w:bidi="ar-SA"/>
        </w:rPr>
        <w:t>。</w:t>
      </w:r>
    </w:p>
    <w:p w14:paraId="4888B7F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9.</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试验与检验</w:t>
      </w:r>
    </w:p>
    <w:p w14:paraId="0EA97C9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试验与检验费用的约定：</w:t>
      </w:r>
      <w:r>
        <w:rPr>
          <w:rFonts w:hint="eastAsia" w:ascii="宋体" w:hAnsi="宋体" w:eastAsia="宋体" w:cs="宋体"/>
          <w:snapToGrid w:val="0"/>
          <w:color w:val="auto"/>
          <w:spacing w:val="0"/>
          <w:kern w:val="0"/>
          <w:position w:val="0"/>
          <w:sz w:val="24"/>
          <w:szCs w:val="24"/>
          <w:u w:val="single" w:color="auto"/>
          <w:lang w:val="en-US" w:eastAsia="en-US" w:bidi="ar-SA"/>
        </w:rPr>
        <w:t>投标报价中未包含且应由发包人承担的检测费用由发包人承担</w:t>
      </w:r>
      <w:r>
        <w:rPr>
          <w:rFonts w:hint="eastAsia" w:ascii="宋体" w:hAnsi="宋体" w:eastAsia="宋体" w:cs="宋体"/>
          <w:snapToGrid w:val="0"/>
          <w:color w:val="auto"/>
          <w:spacing w:val="0"/>
          <w:kern w:val="0"/>
          <w:position w:val="0"/>
          <w:sz w:val="24"/>
          <w:szCs w:val="24"/>
          <w:lang w:val="en-US" w:eastAsia="en-US" w:bidi="ar-SA"/>
        </w:rPr>
        <w:t>。</w:t>
      </w:r>
    </w:p>
    <w:p w14:paraId="1271580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10.</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变更</w:t>
      </w:r>
    </w:p>
    <w:p w14:paraId="64148B7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10.1变更的范围</w:t>
      </w:r>
    </w:p>
    <w:p w14:paraId="1859BAE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关于变更的范围的约定：</w:t>
      </w:r>
    </w:p>
    <w:p w14:paraId="495179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10.1.1 本项目原则上不作变动。</w:t>
      </w:r>
    </w:p>
    <w:p w14:paraId="0151811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10.1.2 发包人、承包人及监理均可提出合理化建议，一经采用，以设计单位提供的修改图纸为准，承包人必须无条件按设计变更图纸施工；涉及现场变更，技术处理由建设、监理、设计三方协定后实施。由变更造成投资额超过合同价款，必须按相关规定的程序报批）</w:t>
      </w:r>
      <w:r>
        <w:rPr>
          <w:rFonts w:hint="eastAsia" w:ascii="宋体" w:hAnsi="宋体" w:eastAsia="宋体" w:cs="宋体"/>
          <w:snapToGrid w:val="0"/>
          <w:color w:val="auto"/>
          <w:spacing w:val="0"/>
          <w:kern w:val="0"/>
          <w:position w:val="0"/>
          <w:sz w:val="24"/>
          <w:szCs w:val="24"/>
          <w:lang w:val="en-US" w:eastAsia="en-US" w:bidi="ar-SA"/>
        </w:rPr>
        <w:t>。</w:t>
      </w:r>
    </w:p>
    <w:p w14:paraId="04C8BAA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10.2 变更的计价原则</w:t>
      </w:r>
    </w:p>
    <w:p w14:paraId="55C7C89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10.2.1 对新增子目的综合单价的组价原则：</w:t>
      </w:r>
    </w:p>
    <w:p w14:paraId="0862918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①.响应文件中有类似于新增子目的综合单价，参照类似价格变更合同价款；</w:t>
      </w:r>
    </w:p>
    <w:p w14:paraId="58BE148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②.响应文件中没有适用或类似于新增子目的综合单价，按湘建科函[2025]150号</w:t>
      </w:r>
      <w:r>
        <w:rPr>
          <w:rFonts w:hint="eastAsia" w:ascii="宋体" w:hAnsi="宋体" w:eastAsia="宋体" w:cs="宋体"/>
          <w:snapToGrid w:val="0"/>
          <w:color w:val="auto"/>
          <w:spacing w:val="0"/>
          <w:kern w:val="0"/>
          <w:position w:val="0"/>
          <w:sz w:val="24"/>
          <w:szCs w:val="24"/>
          <w:lang w:val="en-US" w:eastAsia="zh-CN" w:bidi="ar-SA"/>
        </w:rPr>
        <w:t>文</w:t>
      </w:r>
      <w:r>
        <w:rPr>
          <w:rFonts w:hint="eastAsia" w:ascii="宋体" w:hAnsi="宋体" w:eastAsia="宋体" w:cs="宋体"/>
          <w:snapToGrid w:val="0"/>
          <w:color w:val="auto"/>
          <w:spacing w:val="0"/>
          <w:kern w:val="0"/>
          <w:position w:val="0"/>
          <w:sz w:val="24"/>
          <w:szCs w:val="24"/>
          <w:lang w:val="en-US" w:eastAsia="en-US" w:bidi="ar-SA"/>
        </w:rPr>
        <w:t>，湘建科函[2025]151号</w:t>
      </w:r>
      <w:r>
        <w:rPr>
          <w:rFonts w:hint="eastAsia" w:ascii="宋体" w:hAnsi="宋体" w:eastAsia="宋体" w:cs="宋体"/>
          <w:snapToGrid w:val="0"/>
          <w:color w:val="auto"/>
          <w:spacing w:val="0"/>
          <w:kern w:val="0"/>
          <w:position w:val="0"/>
          <w:sz w:val="24"/>
          <w:szCs w:val="24"/>
          <w:lang w:val="en-US" w:eastAsia="zh-CN" w:bidi="ar-SA"/>
        </w:rPr>
        <w:t>文</w:t>
      </w:r>
      <w:r>
        <w:rPr>
          <w:rFonts w:hint="eastAsia" w:ascii="宋体" w:hAnsi="宋体" w:eastAsia="宋体" w:cs="宋体"/>
          <w:snapToGrid w:val="0"/>
          <w:color w:val="auto"/>
          <w:spacing w:val="0"/>
          <w:kern w:val="0"/>
          <w:position w:val="0"/>
          <w:sz w:val="24"/>
          <w:szCs w:val="24"/>
          <w:lang w:val="en-US" w:eastAsia="en-US" w:bidi="ar-SA"/>
        </w:rPr>
        <w:t>及施工同期《张家界工程造价信息》规定的办法计价，其材料价格按后述规定执行：计价公式为：计算标准单价×（1-优惠率)，其中工程优惠率=1-投标报价/最高投标限价，计算后为该子目的综合单价。其材料价格：若响应文件中有相同材料价格按响应文件中价格执行；若响应文件中没有相同价格材料价格，其价格按施工同期《张家界建设工程造价信息》执行：对均无上述参照价格的，由三方签证确认，三方签证的材料结算单价不下浮。 (注；不可竞争费及税金不在下浮范围内)</w:t>
      </w:r>
    </w:p>
    <w:p w14:paraId="305764C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10.2.2 施工期间，项目采购时发布的《材料暂估单价表》由发包人、投资方、监理据实签证，并据此结算；凡双方在《建设工程施工合同》中约定设备、材料价格变化等风险承担范围、幅度及超过约定范围、幅度时规定了调整办法的，按合同规定条款执行；合同中没有具体明确设备、材料价格风险范围、幅度的，有关单位在工程价款调整和工程结算时应按下列规定执行:对于招投标的建筑安装工程，以张家界市建设工程造价管理站各时期发布的材料预算价格为基础，土建及市政工程单项主要材料价格变化幅度正负超过 3%时，装饰或安装工程材料价格变化幅度正负超过 5%时，该项材料应全部调整，并保持投标报价时的优惠比例。</w:t>
      </w:r>
    </w:p>
    <w:p w14:paraId="4C0A09C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10.2.3 非因不可抗力因素，承包方为完成本工程所发生的措施项目费按（供应商报价）元包干（含冬雨季施工费），结算时不予调整（安全文明费除外）。</w:t>
      </w:r>
    </w:p>
    <w:p w14:paraId="34F9209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10.2.4 不可预见费据实签证结算</w:t>
      </w:r>
    </w:p>
    <w:p w14:paraId="1D73883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10.2.5 新增子目部分结算价款人工费系数按投标时相应的人工费系数标准执行；人工费系数有政策性调整时，文件发布后实施的工程量的人工费系数按新文件规定 调整，但供应商投标报价时的优惠比例应予保持。</w:t>
      </w:r>
    </w:p>
    <w:p w14:paraId="34353E0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10.4 变更估价</w:t>
      </w:r>
    </w:p>
    <w:p w14:paraId="5B4CB6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关于变更估价的约定：</w:t>
      </w:r>
      <w:r>
        <w:rPr>
          <w:rFonts w:hint="eastAsia" w:ascii="宋体" w:hAnsi="宋体" w:eastAsia="宋体" w:cs="宋体"/>
          <w:snapToGrid w:val="0"/>
          <w:color w:val="auto"/>
          <w:spacing w:val="0"/>
          <w:kern w:val="0"/>
          <w:position w:val="0"/>
          <w:sz w:val="24"/>
          <w:szCs w:val="24"/>
          <w:u w:val="single" w:color="auto"/>
          <w:lang w:val="en-US" w:eastAsia="en-US" w:bidi="ar-SA"/>
        </w:rPr>
        <w:t>按</w:t>
      </w:r>
      <w:r>
        <w:rPr>
          <w:rFonts w:hint="eastAsia" w:ascii="宋体" w:hAnsi="宋体" w:eastAsia="宋体" w:cs="宋体"/>
          <w:snapToGrid w:val="0"/>
          <w:color w:val="auto"/>
          <w:spacing w:val="0"/>
          <w:kern w:val="0"/>
          <w:position w:val="0"/>
          <w:sz w:val="24"/>
          <w:szCs w:val="24"/>
          <w:u w:val="single"/>
          <w:lang w:val="en-US" w:eastAsia="en-US" w:bidi="ar-SA"/>
        </w:rPr>
        <w:t>湘建科函[2025]150号，湘建科函[2025]151号</w:t>
      </w:r>
      <w:r>
        <w:rPr>
          <w:rFonts w:hint="eastAsia" w:ascii="宋体" w:hAnsi="宋体" w:eastAsia="宋体" w:cs="宋体"/>
          <w:snapToGrid w:val="0"/>
          <w:color w:val="auto"/>
          <w:spacing w:val="0"/>
          <w:kern w:val="0"/>
          <w:position w:val="0"/>
          <w:sz w:val="24"/>
          <w:szCs w:val="24"/>
          <w:u w:val="single" w:color="auto"/>
          <w:lang w:val="en-US" w:eastAsia="en-US" w:bidi="ar-SA"/>
        </w:rPr>
        <w:t>执行</w:t>
      </w:r>
      <w:r>
        <w:rPr>
          <w:rFonts w:hint="eastAsia" w:ascii="宋体" w:hAnsi="宋体" w:eastAsia="宋体" w:cs="宋体"/>
          <w:snapToGrid w:val="0"/>
          <w:color w:val="auto"/>
          <w:spacing w:val="0"/>
          <w:kern w:val="0"/>
          <w:position w:val="0"/>
          <w:sz w:val="24"/>
          <w:szCs w:val="24"/>
          <w:lang w:val="en-US" w:eastAsia="en-US" w:bidi="ar-SA"/>
        </w:rPr>
        <w:t>。</w:t>
      </w:r>
    </w:p>
    <w:p w14:paraId="24F5195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10.5 承包人的合理化建议</w:t>
      </w:r>
    </w:p>
    <w:p w14:paraId="5D6F413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监理人审查承包人合理化建议的期限：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7331890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发包人审批承包人合理化建议的期限：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1B941D7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承包人提出的合理化建议降低了合同价格或者提高了工程经济效益的奖励的方法和金额为：</w:t>
      </w:r>
      <w:r>
        <w:rPr>
          <w:rFonts w:hint="eastAsia" w:ascii="宋体" w:hAnsi="宋体" w:eastAsia="宋体" w:cs="宋体"/>
          <w:snapToGrid w:val="0"/>
          <w:color w:val="auto"/>
          <w:spacing w:val="0"/>
          <w:kern w:val="0"/>
          <w:position w:val="0"/>
          <w:sz w:val="24"/>
          <w:szCs w:val="24"/>
          <w:u w:val="single" w:color="auto"/>
          <w:lang w:val="en-US" w:eastAsia="en-US" w:bidi="ar-SA"/>
        </w:rPr>
        <w:t>承包人提出的设计变更属于合理化建议的，发包人也不进行奖励</w:t>
      </w:r>
      <w:r>
        <w:rPr>
          <w:rFonts w:hint="eastAsia" w:ascii="宋体" w:hAnsi="宋体" w:eastAsia="宋体" w:cs="宋体"/>
          <w:snapToGrid w:val="0"/>
          <w:color w:val="auto"/>
          <w:spacing w:val="0"/>
          <w:kern w:val="0"/>
          <w:position w:val="0"/>
          <w:sz w:val="24"/>
          <w:szCs w:val="24"/>
          <w:lang w:val="en-US" w:eastAsia="en-US" w:bidi="ar-SA"/>
        </w:rPr>
        <w:t>。</w:t>
      </w:r>
    </w:p>
    <w:p w14:paraId="161FE5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10.7 暂估价</w:t>
      </w:r>
    </w:p>
    <w:p w14:paraId="066F09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暂估价材料和工程设备的明细详见附件 11：《暂估价一览表》。</w:t>
      </w:r>
    </w:p>
    <w:p w14:paraId="7D5CEC4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10.7.1 依法必须招标的暂估价项目</w:t>
      </w:r>
    </w:p>
    <w:p w14:paraId="49BC9B0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对于依法必须招标的暂估价项目的确认和批准采取第</w:t>
      </w:r>
      <w:r>
        <w:rPr>
          <w:rFonts w:hint="eastAsia" w:ascii="宋体" w:hAnsi="宋体" w:eastAsia="宋体" w:cs="宋体"/>
          <w:snapToGrid w:val="0"/>
          <w:color w:val="auto"/>
          <w:spacing w:val="0"/>
          <w:kern w:val="0"/>
          <w:position w:val="0"/>
          <w:sz w:val="24"/>
          <w:szCs w:val="24"/>
          <w:u w:val="single" w:color="auto"/>
          <w:lang w:val="en-US" w:eastAsia="en-US" w:bidi="ar-SA"/>
        </w:rPr>
        <w:t>通用条款的第 1 种</w:t>
      </w:r>
      <w:r>
        <w:rPr>
          <w:rFonts w:hint="eastAsia" w:ascii="宋体" w:hAnsi="宋体" w:eastAsia="宋体" w:cs="宋体"/>
          <w:snapToGrid w:val="0"/>
          <w:color w:val="auto"/>
          <w:spacing w:val="0"/>
          <w:kern w:val="0"/>
          <w:position w:val="0"/>
          <w:sz w:val="24"/>
          <w:szCs w:val="24"/>
          <w:lang w:val="en-US" w:eastAsia="en-US" w:bidi="ar-SA"/>
        </w:rPr>
        <w:t>方式确定。</w:t>
      </w:r>
    </w:p>
    <w:p w14:paraId="350C85A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10.7.2 不属于依法必须招标的暂估价项目</w:t>
      </w:r>
    </w:p>
    <w:p w14:paraId="6F0F6E0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对于不属于依法必须招标的暂估价项目的确认和批准采取第</w:t>
      </w:r>
      <w:r>
        <w:rPr>
          <w:rFonts w:hint="eastAsia" w:ascii="宋体" w:hAnsi="宋体" w:eastAsia="宋体" w:cs="宋体"/>
          <w:snapToGrid w:val="0"/>
          <w:color w:val="auto"/>
          <w:spacing w:val="0"/>
          <w:kern w:val="0"/>
          <w:position w:val="0"/>
          <w:sz w:val="24"/>
          <w:szCs w:val="24"/>
          <w:u w:val="single" w:color="auto"/>
          <w:lang w:val="en-US" w:eastAsia="en-US" w:bidi="ar-SA"/>
        </w:rPr>
        <w:t>通用条款的第 1 种</w:t>
      </w:r>
      <w:r>
        <w:rPr>
          <w:rFonts w:hint="eastAsia" w:ascii="宋体" w:hAnsi="宋体" w:eastAsia="宋体" w:cs="宋体"/>
          <w:snapToGrid w:val="0"/>
          <w:color w:val="auto"/>
          <w:spacing w:val="0"/>
          <w:kern w:val="0"/>
          <w:position w:val="0"/>
          <w:sz w:val="24"/>
          <w:szCs w:val="24"/>
          <w:lang w:val="en-US" w:eastAsia="en-US" w:bidi="ar-SA"/>
        </w:rPr>
        <w:t>方式确定。</w:t>
      </w:r>
    </w:p>
    <w:p w14:paraId="4410CAA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第 3 种方式：承包人直接实施的暂估价项目</w:t>
      </w:r>
    </w:p>
    <w:p w14:paraId="4D90CE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承包人直接实施的暂估价项目的约定：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按通用合同条款。即：按省住建厅《建设工程工程量清单计价标准》（湘建科函[2025]150号</w:t>
      </w:r>
      <w:r>
        <w:rPr>
          <w:rFonts w:hint="eastAsia" w:ascii="宋体" w:hAnsi="宋体" w:eastAsia="宋体" w:cs="宋体"/>
          <w:snapToGrid w:val="0"/>
          <w:color w:val="auto"/>
          <w:spacing w:val="0"/>
          <w:kern w:val="0"/>
          <w:position w:val="0"/>
          <w:sz w:val="24"/>
          <w:szCs w:val="24"/>
          <w:u w:val="single" w:color="auto"/>
          <w:lang w:val="en-US" w:eastAsia="zh-CN" w:bidi="ar-SA"/>
        </w:rPr>
        <w:t>）；</w:t>
      </w:r>
      <w:r>
        <w:rPr>
          <w:rFonts w:hint="eastAsia" w:ascii="宋体" w:hAnsi="宋体" w:eastAsia="宋体" w:cs="宋体"/>
          <w:snapToGrid w:val="0"/>
          <w:color w:val="auto"/>
          <w:spacing w:val="0"/>
          <w:kern w:val="0"/>
          <w:position w:val="0"/>
          <w:sz w:val="24"/>
          <w:szCs w:val="24"/>
          <w:u w:val="single" w:color="auto"/>
          <w:lang w:val="en-US" w:eastAsia="en-US" w:bidi="ar-SA"/>
        </w:rPr>
        <w:t>《湖南省建设工程消耗量标准》</w:t>
      </w:r>
      <w:r>
        <w:rPr>
          <w:rFonts w:hint="eastAsia" w:ascii="宋体" w:hAnsi="宋体" w:eastAsia="宋体" w:cs="宋体"/>
          <w:snapToGrid w:val="0"/>
          <w:color w:val="auto"/>
          <w:spacing w:val="0"/>
          <w:kern w:val="0"/>
          <w:position w:val="0"/>
          <w:sz w:val="24"/>
          <w:szCs w:val="24"/>
          <w:u w:val="single" w:color="auto"/>
          <w:lang w:val="en-US" w:eastAsia="zh-CN" w:bidi="ar-SA"/>
        </w:rPr>
        <w:t>（</w:t>
      </w:r>
      <w:r>
        <w:rPr>
          <w:rFonts w:hint="eastAsia" w:ascii="宋体" w:hAnsi="宋体" w:eastAsia="宋体" w:cs="宋体"/>
          <w:snapToGrid w:val="0"/>
          <w:color w:val="auto"/>
          <w:spacing w:val="0"/>
          <w:kern w:val="0"/>
          <w:position w:val="0"/>
          <w:sz w:val="24"/>
          <w:szCs w:val="24"/>
          <w:u w:val="single" w:color="auto"/>
          <w:lang w:val="en-US" w:eastAsia="en-US" w:bidi="ar-SA"/>
        </w:rPr>
        <w:t>湘建科函[2025]151号）的规定执行</w:t>
      </w:r>
      <w:r>
        <w:rPr>
          <w:rFonts w:hint="eastAsia" w:ascii="宋体" w:hAnsi="宋体" w:eastAsia="宋体" w:cs="宋体"/>
          <w:snapToGrid w:val="0"/>
          <w:color w:val="auto"/>
          <w:spacing w:val="0"/>
          <w:kern w:val="0"/>
          <w:position w:val="0"/>
          <w:sz w:val="24"/>
          <w:szCs w:val="24"/>
          <w:lang w:val="en-US" w:eastAsia="en-US" w:bidi="ar-SA"/>
        </w:rPr>
        <w:t>。</w:t>
      </w:r>
    </w:p>
    <w:p w14:paraId="5F9883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10.8 暂列金额</w:t>
      </w:r>
    </w:p>
    <w:p w14:paraId="2D1E51E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合同当事人关于暂列金额使用的约定：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3311866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11.</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价格调整</w:t>
      </w:r>
    </w:p>
    <w:p w14:paraId="3239D0F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11.1 物价波动引起的价格调整</w:t>
      </w:r>
    </w:p>
    <w:p w14:paraId="4257AEA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市场价格波动是否调整合同价格的约定：否</w:t>
      </w:r>
    </w:p>
    <w:p w14:paraId="1416954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其他价格调整方式：否</w:t>
      </w:r>
    </w:p>
    <w:p w14:paraId="685E6EB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12.</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合同价格、计量与支付</w:t>
      </w:r>
    </w:p>
    <w:p w14:paraId="65376E2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12.1 合同价格形式</w:t>
      </w:r>
    </w:p>
    <w:p w14:paraId="74C5FA6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1、单价合同。</w:t>
      </w:r>
    </w:p>
    <w:p w14:paraId="7DC3309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12.1 合同价格形式（采购文件增加）</w:t>
      </w:r>
    </w:p>
    <w:p w14:paraId="0D4D59A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发包人和承包人应在合同协议书中选择下列一种合同价格形式：</w:t>
      </w:r>
    </w:p>
    <w:p w14:paraId="48FF2EB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1.单价合同</w:t>
      </w:r>
    </w:p>
    <w:p w14:paraId="622BBB0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综合单价包含的风险范围：</w:t>
      </w:r>
      <w:r>
        <w:rPr>
          <w:rFonts w:hint="eastAsia" w:ascii="宋体" w:hAnsi="宋体" w:eastAsia="宋体" w:cs="宋体"/>
          <w:snapToGrid w:val="0"/>
          <w:color w:val="auto"/>
          <w:spacing w:val="0"/>
          <w:kern w:val="0"/>
          <w:position w:val="0"/>
          <w:sz w:val="24"/>
          <w:szCs w:val="24"/>
          <w:u w:val="single" w:color="auto"/>
          <w:lang w:val="en-US" w:eastAsia="en-US" w:bidi="ar-SA"/>
        </w:rPr>
        <w:t>/</w:t>
      </w:r>
      <w:r>
        <w:rPr>
          <w:rFonts w:hint="eastAsia" w:ascii="宋体" w:hAnsi="宋体" w:eastAsia="宋体" w:cs="宋体"/>
          <w:snapToGrid w:val="0"/>
          <w:color w:val="auto"/>
          <w:spacing w:val="0"/>
          <w:kern w:val="0"/>
          <w:position w:val="0"/>
          <w:sz w:val="24"/>
          <w:szCs w:val="24"/>
          <w:lang w:val="en-US" w:eastAsia="en-US" w:bidi="ar-SA"/>
        </w:rPr>
        <w:t>。</w:t>
      </w:r>
    </w:p>
    <w:p w14:paraId="725C666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风险费用的计算方法：：</w:t>
      </w:r>
      <w:r>
        <w:rPr>
          <w:rFonts w:hint="eastAsia" w:ascii="宋体" w:hAnsi="宋体" w:eastAsia="宋体" w:cs="宋体"/>
          <w:snapToGrid w:val="0"/>
          <w:color w:val="auto"/>
          <w:spacing w:val="0"/>
          <w:kern w:val="0"/>
          <w:position w:val="0"/>
          <w:sz w:val="24"/>
          <w:szCs w:val="24"/>
          <w:u w:val="single" w:color="auto"/>
          <w:lang w:val="en-US" w:eastAsia="en-US" w:bidi="ar-SA"/>
        </w:rPr>
        <w:t>/</w:t>
      </w:r>
    </w:p>
    <w:p w14:paraId="1784A7C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风险范围以外合同价格的调整方法：</w:t>
      </w:r>
      <w:r>
        <w:rPr>
          <w:rFonts w:hint="eastAsia" w:ascii="宋体" w:hAnsi="宋体" w:eastAsia="宋体" w:cs="宋体"/>
          <w:snapToGrid w:val="0"/>
          <w:color w:val="auto"/>
          <w:spacing w:val="0"/>
          <w:kern w:val="0"/>
          <w:position w:val="0"/>
          <w:sz w:val="24"/>
          <w:szCs w:val="24"/>
          <w:u w:val="single" w:color="auto"/>
          <w:lang w:val="en-US" w:eastAsia="en-US" w:bidi="ar-SA"/>
        </w:rPr>
        <w:t>不调整</w:t>
      </w:r>
      <w:r>
        <w:rPr>
          <w:rFonts w:hint="eastAsia" w:ascii="宋体" w:hAnsi="宋体" w:eastAsia="宋体" w:cs="宋体"/>
          <w:snapToGrid w:val="0"/>
          <w:color w:val="auto"/>
          <w:spacing w:val="0"/>
          <w:kern w:val="0"/>
          <w:position w:val="0"/>
          <w:sz w:val="24"/>
          <w:szCs w:val="24"/>
          <w:lang w:val="en-US" w:eastAsia="en-US" w:bidi="ar-SA"/>
        </w:rPr>
        <w:t>。</w:t>
      </w:r>
    </w:p>
    <w:p w14:paraId="20ECA5B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2.总价合同。</w:t>
      </w:r>
    </w:p>
    <w:p w14:paraId="617F024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总价包含的风险范围：</w:t>
      </w:r>
      <w:r>
        <w:rPr>
          <w:rFonts w:hint="eastAsia" w:ascii="宋体" w:hAnsi="宋体" w:eastAsia="宋体" w:cs="宋体"/>
          <w:snapToGrid w:val="0"/>
          <w:color w:val="auto"/>
          <w:spacing w:val="0"/>
          <w:kern w:val="0"/>
          <w:position w:val="0"/>
          <w:sz w:val="24"/>
          <w:szCs w:val="24"/>
          <w:u w:val="single" w:color="auto"/>
          <w:lang w:val="en-US" w:eastAsia="en-US" w:bidi="ar-SA"/>
        </w:rPr>
        <w:t>变更(第10条)。</w:t>
      </w:r>
    </w:p>
    <w:p w14:paraId="6B77087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风险费用的计算方法：按</w:t>
      </w:r>
      <w:r>
        <w:rPr>
          <w:rFonts w:hint="eastAsia" w:ascii="宋体" w:hAnsi="宋体" w:eastAsia="宋体" w:cs="宋体"/>
          <w:snapToGrid w:val="0"/>
          <w:color w:val="auto"/>
          <w:spacing w:val="0"/>
          <w:kern w:val="0"/>
          <w:position w:val="0"/>
          <w:sz w:val="24"/>
          <w:szCs w:val="24"/>
          <w:u w:val="single" w:color="auto"/>
          <w:lang w:val="en-US" w:eastAsia="en-US" w:bidi="ar-SA"/>
        </w:rPr>
        <w:t>变更(第10条)计算。</w:t>
      </w:r>
    </w:p>
    <w:p w14:paraId="2D50CA8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风险范围以外合同价格的调整方法：</w:t>
      </w:r>
      <w:r>
        <w:rPr>
          <w:rFonts w:hint="eastAsia" w:ascii="宋体" w:hAnsi="宋体" w:eastAsia="宋体" w:cs="宋体"/>
          <w:snapToGrid w:val="0"/>
          <w:color w:val="auto"/>
          <w:spacing w:val="0"/>
          <w:kern w:val="0"/>
          <w:position w:val="0"/>
          <w:sz w:val="24"/>
          <w:szCs w:val="24"/>
          <w:u w:val="single" w:color="auto"/>
          <w:lang w:val="en-US" w:eastAsia="en-US" w:bidi="ar-SA"/>
        </w:rPr>
        <w:t xml:space="preserve"> 不调整 。</w:t>
      </w:r>
    </w:p>
    <w:p w14:paraId="797DA8B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3.其他价格方式：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p>
    <w:p w14:paraId="378070B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12.2 预付款</w:t>
      </w:r>
    </w:p>
    <w:p w14:paraId="751281C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12.2.1 预付款的支付</w:t>
      </w:r>
    </w:p>
    <w:p w14:paraId="60C877F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预付款支付比例或金额：</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29AA5B3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预付款支付期限：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381ACAE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预付款扣回的方式：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231C5EC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12.2.2 预付款担保</w:t>
      </w:r>
    </w:p>
    <w:p w14:paraId="2D004D5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承包人提交预付款担保的期限：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0B00261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预付款担保的形式为：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07BC982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 计量</w:t>
      </w:r>
    </w:p>
    <w:p w14:paraId="6210F47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12.3.1 计量原则</w:t>
      </w:r>
    </w:p>
    <w:p w14:paraId="63B7FC9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工程量计算规则：</w:t>
      </w:r>
      <w:r>
        <w:rPr>
          <w:rFonts w:hint="eastAsia" w:ascii="宋体" w:hAnsi="宋体" w:eastAsia="宋体" w:cs="宋体"/>
          <w:b/>
          <w:bCs/>
          <w:snapToGrid w:val="0"/>
          <w:color w:val="auto"/>
          <w:spacing w:val="0"/>
          <w:kern w:val="0"/>
          <w:position w:val="0"/>
          <w:sz w:val="24"/>
          <w:szCs w:val="24"/>
          <w:u w:val="single" w:color="auto"/>
          <w:lang w:val="en-US" w:eastAsia="en-US" w:bidi="ar-SA"/>
        </w:rPr>
        <w:t>《建设工程工程量清单计价标准</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GB/T50500-2024</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《建设工程工程量清单计价标准》（湘建科函[2025]150号)</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《湖南省建设工程消耗量标准》</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b/>
          <w:bCs/>
          <w:snapToGrid w:val="0"/>
          <w:color w:val="auto"/>
          <w:spacing w:val="0"/>
          <w:kern w:val="0"/>
          <w:position w:val="0"/>
          <w:sz w:val="24"/>
          <w:szCs w:val="24"/>
          <w:u w:val="single" w:color="auto"/>
          <w:lang w:val="en-US" w:eastAsia="en-US" w:bidi="ar-SA"/>
        </w:rPr>
        <w:t>湘建科函[2025]151号</w:t>
      </w:r>
      <w:r>
        <w:rPr>
          <w:rFonts w:hint="eastAsia" w:ascii="宋体" w:hAnsi="宋体" w:eastAsia="宋体" w:cs="宋体"/>
          <w:b/>
          <w:bCs/>
          <w:snapToGrid w:val="0"/>
          <w:color w:val="auto"/>
          <w:spacing w:val="0"/>
          <w:kern w:val="0"/>
          <w:position w:val="0"/>
          <w:sz w:val="24"/>
          <w:szCs w:val="24"/>
          <w:u w:val="single" w:color="auto"/>
          <w:lang w:val="en-US" w:eastAsia="zh-CN" w:bidi="ar-SA"/>
        </w:rPr>
        <w:t>）</w:t>
      </w:r>
      <w:r>
        <w:rPr>
          <w:rFonts w:hint="eastAsia" w:ascii="宋体" w:hAnsi="宋体" w:eastAsia="宋体" w:cs="宋体"/>
          <w:snapToGrid w:val="0"/>
          <w:color w:val="auto"/>
          <w:spacing w:val="0"/>
          <w:kern w:val="0"/>
          <w:position w:val="0"/>
          <w:sz w:val="24"/>
          <w:szCs w:val="24"/>
          <w:lang w:val="en-US" w:eastAsia="en-US" w:bidi="ar-SA"/>
        </w:rPr>
        <w:t>。</w:t>
      </w:r>
    </w:p>
    <w:p w14:paraId="09EA840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12.3.2 计量周期</w:t>
      </w:r>
    </w:p>
    <w:p w14:paraId="3333B32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关于计量周期的约定：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0C38CD2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12.3.3 单价合同的计量</w:t>
      </w:r>
    </w:p>
    <w:p w14:paraId="326DA5A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关于单价合同计量的约定：</w:t>
      </w:r>
      <w:r>
        <w:rPr>
          <w:rFonts w:hint="eastAsia" w:ascii="宋体" w:hAnsi="宋体" w:eastAsia="宋体" w:cs="宋体"/>
          <w:b/>
          <w:bCs/>
          <w:snapToGrid w:val="0"/>
          <w:color w:val="auto"/>
          <w:spacing w:val="0"/>
          <w:kern w:val="0"/>
          <w:position w:val="0"/>
          <w:sz w:val="24"/>
          <w:szCs w:val="24"/>
          <w:u w:val="single" w:color="auto"/>
          <w:lang w:val="en-US" w:eastAsia="en-US" w:bidi="ar-SA"/>
        </w:rPr>
        <w:t>按通用合同条款即：按湘建科函[2025]150号，湘建科函[2025]151号文规定执行</w:t>
      </w:r>
    </w:p>
    <w:p w14:paraId="3860E41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12.3.4 总价合同的计量</w:t>
      </w:r>
    </w:p>
    <w:p w14:paraId="77400CA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关于总价合同计量的约定：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6CA9C73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12.3.5 总价合同采用支付分解表计量支付的，是否适用第 12.3.4 项〔总价合同的计量〕约定进行计量：</w:t>
      </w:r>
      <w:r>
        <w:rPr>
          <w:rFonts w:hint="eastAsia" w:ascii="宋体" w:hAnsi="宋体" w:eastAsia="宋体" w:cs="宋体"/>
          <w:snapToGrid w:val="0"/>
          <w:color w:val="auto"/>
          <w:spacing w:val="0"/>
          <w:kern w:val="0"/>
          <w:position w:val="0"/>
          <w:sz w:val="24"/>
          <w:szCs w:val="24"/>
          <w:u w:val="single" w:color="auto"/>
          <w:lang w:val="en-US" w:eastAsia="en-US" w:bidi="ar-SA"/>
        </w:rPr>
        <w:t xml:space="preserve">             是                 </w:t>
      </w:r>
      <w:r>
        <w:rPr>
          <w:rFonts w:hint="eastAsia" w:ascii="宋体" w:hAnsi="宋体" w:eastAsia="宋体" w:cs="宋体"/>
          <w:snapToGrid w:val="0"/>
          <w:color w:val="auto"/>
          <w:spacing w:val="0"/>
          <w:kern w:val="0"/>
          <w:position w:val="0"/>
          <w:sz w:val="24"/>
          <w:szCs w:val="24"/>
          <w:lang w:val="en-US" w:eastAsia="en-US" w:bidi="ar-SA"/>
        </w:rPr>
        <w:t>。</w:t>
      </w:r>
    </w:p>
    <w:p w14:paraId="748A056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12.3.6 其他价格形式合同的计量</w:t>
      </w:r>
    </w:p>
    <w:p w14:paraId="70B7C20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其他价格形式的计量方式和程序：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679A219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12.4 工程进度款支付</w:t>
      </w:r>
    </w:p>
    <w:p w14:paraId="23973B4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12.4.1 付款周期</w:t>
      </w:r>
    </w:p>
    <w:p w14:paraId="6EB4486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关于付款周期的约定：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3189849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关于工程进度款支付的约定：</w:t>
      </w:r>
      <w:r>
        <w:rPr>
          <w:rFonts w:ascii="宋体" w:hAnsi="宋体" w:eastAsia="宋体" w:cs="宋体"/>
          <w:snapToGrid w:val="0"/>
          <w:color w:val="000000"/>
          <w:kern w:val="0"/>
          <w:sz w:val="21"/>
          <w:szCs w:val="21"/>
          <w:u w:val="single"/>
          <w:lang w:val="en-US" w:eastAsia="en-US" w:bidi="ar-SA"/>
        </w:rPr>
        <w:t>（1）按工程进度每月支付工程款 ，支付比例为已完工程量工程价款的80%（含农民工工资）进行支付，农民工工资按发包人每月确认产值的工资比重，拨付至承包人农民工工资专户 ；（2）竣工验收合格后一月内付至已完工程产值的85% ；（3）完成工程结算审核后由承包人提交付款申请及相关资料，支付至结算总价的97% ；剩余款项为质保金。（4）结算总价的3%作为质保金，缺陷责任期24个月。发包人在整体工程竣工验收合格满两年后经发包人核实无质量问题付清（不计利息）</w:t>
      </w:r>
      <w:r>
        <w:rPr>
          <w:rFonts w:hint="eastAsia" w:ascii="宋体" w:hAnsi="宋体" w:eastAsia="宋体" w:cs="宋体"/>
          <w:snapToGrid w:val="0"/>
          <w:color w:val="auto"/>
          <w:spacing w:val="0"/>
          <w:kern w:val="0"/>
          <w:position w:val="0"/>
          <w:sz w:val="24"/>
          <w:szCs w:val="24"/>
          <w:u w:val="single" w:color="auto"/>
          <w:lang w:val="en-US" w:eastAsia="en-US" w:bidi="ar-SA"/>
        </w:rPr>
        <w:t>。</w:t>
      </w:r>
    </w:p>
    <w:p w14:paraId="2132421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12.4.2 进度付款申请单的编制</w:t>
      </w:r>
    </w:p>
    <w:p w14:paraId="5B61CB7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关于进度付款申请单编制的约定：</w:t>
      </w:r>
      <w:r>
        <w:rPr>
          <w:rFonts w:hint="eastAsia" w:ascii="宋体" w:hAnsi="宋体" w:eastAsia="宋体" w:cs="宋体"/>
          <w:snapToGrid w:val="0"/>
          <w:color w:val="auto"/>
          <w:spacing w:val="0"/>
          <w:kern w:val="0"/>
          <w:position w:val="0"/>
          <w:sz w:val="24"/>
          <w:szCs w:val="24"/>
          <w:u w:val="single" w:color="auto"/>
          <w:lang w:val="en-US" w:eastAsia="en-US" w:bidi="ar-SA"/>
        </w:rPr>
        <w:t>根据发包人工程进度付款申请表格式内容填写，同时提供工程形象进度证明文件；</w:t>
      </w:r>
    </w:p>
    <w:p w14:paraId="64A3865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12.4.3 进度付款申请单的提交</w:t>
      </w:r>
    </w:p>
    <w:p w14:paraId="58E1DA1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（1）单价合同进度付款申请单提交的约定：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30EB947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（2）总价合同进度付款申请单提交的约定：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2BC8FC6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（3）其他价格形式合同进度付款申请单提交的约定：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按通用合同条款 </w:t>
      </w:r>
      <w:r>
        <w:rPr>
          <w:rFonts w:hint="eastAsia" w:ascii="宋体" w:hAnsi="宋体" w:eastAsia="宋体" w:cs="宋体"/>
          <w:snapToGrid w:val="0"/>
          <w:color w:val="auto"/>
          <w:spacing w:val="0"/>
          <w:kern w:val="0"/>
          <w:position w:val="0"/>
          <w:sz w:val="24"/>
          <w:szCs w:val="24"/>
          <w:lang w:val="en-US" w:eastAsia="en-US" w:bidi="ar-SA"/>
        </w:rPr>
        <w:t>。</w:t>
      </w:r>
    </w:p>
    <w:p w14:paraId="1DC96C9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12.4.4 进度款审核和支付</w:t>
      </w:r>
    </w:p>
    <w:p w14:paraId="27409FD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（1）监理人审查并报送发包人的期限：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7 天内             </w:t>
      </w:r>
      <w:r>
        <w:rPr>
          <w:rFonts w:hint="eastAsia" w:ascii="宋体" w:hAnsi="宋体" w:eastAsia="宋体" w:cs="宋体"/>
          <w:snapToGrid w:val="0"/>
          <w:color w:val="auto"/>
          <w:spacing w:val="0"/>
          <w:kern w:val="0"/>
          <w:position w:val="0"/>
          <w:sz w:val="24"/>
          <w:szCs w:val="24"/>
          <w:lang w:val="en-US" w:eastAsia="en-US" w:bidi="ar-SA"/>
        </w:rPr>
        <w:t>。</w:t>
      </w:r>
    </w:p>
    <w:p w14:paraId="3A1014E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发包人完成审批并签发进度款支付证书的期限：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14 天内         </w:t>
      </w:r>
      <w:r>
        <w:rPr>
          <w:rFonts w:hint="eastAsia" w:ascii="宋体" w:hAnsi="宋体" w:eastAsia="宋体" w:cs="宋体"/>
          <w:snapToGrid w:val="0"/>
          <w:color w:val="auto"/>
          <w:spacing w:val="0"/>
          <w:kern w:val="0"/>
          <w:position w:val="0"/>
          <w:sz w:val="24"/>
          <w:szCs w:val="24"/>
          <w:lang w:val="en-US" w:eastAsia="en-US" w:bidi="ar-SA"/>
        </w:rPr>
        <w:t>。</w:t>
      </w:r>
    </w:p>
    <w:p w14:paraId="3F99154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（2）发包人支付进度款的期限：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5C36501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发包人逾期支付进度款的违约金的计算方式：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41A1BB2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12.4.6 支付分解表的编制</w:t>
      </w:r>
    </w:p>
    <w:p w14:paraId="46C5B85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2、总价合同支付分解表的编制与审批：</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63376F8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3、单价合同的总价项目支付分解表的编制与审批：</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06D36EB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13.</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验收和工程试车</w:t>
      </w:r>
    </w:p>
    <w:p w14:paraId="7F52740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13.1 分部分项工程验收</w:t>
      </w:r>
    </w:p>
    <w:p w14:paraId="2288EA4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13.1.2 监理人不能按时进行验收时，应提前</w:t>
      </w:r>
      <w:r>
        <w:rPr>
          <w:rFonts w:hint="eastAsia" w:ascii="宋体" w:hAnsi="宋体" w:eastAsia="宋体" w:cs="宋体"/>
          <w:snapToGrid w:val="0"/>
          <w:color w:val="auto"/>
          <w:spacing w:val="0"/>
          <w:kern w:val="0"/>
          <w:position w:val="0"/>
          <w:sz w:val="24"/>
          <w:szCs w:val="24"/>
          <w:u w:val="single" w:color="auto"/>
          <w:lang w:val="en-US" w:eastAsia="en-US" w:bidi="ar-SA"/>
        </w:rPr>
        <w:t xml:space="preserve"> 24  </w:t>
      </w:r>
      <w:r>
        <w:rPr>
          <w:rFonts w:hint="eastAsia" w:ascii="宋体" w:hAnsi="宋体" w:eastAsia="宋体" w:cs="宋体"/>
          <w:snapToGrid w:val="0"/>
          <w:color w:val="auto"/>
          <w:spacing w:val="0"/>
          <w:kern w:val="0"/>
          <w:position w:val="0"/>
          <w:sz w:val="24"/>
          <w:szCs w:val="24"/>
          <w:lang w:val="en-US" w:eastAsia="en-US" w:bidi="ar-SA"/>
        </w:rPr>
        <w:t xml:space="preserve"> 小时提交书面延期要求。</w:t>
      </w:r>
    </w:p>
    <w:p w14:paraId="00854C7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关于延期最长不得超过：</w:t>
      </w:r>
      <w:r>
        <w:rPr>
          <w:rFonts w:hint="eastAsia" w:ascii="宋体" w:hAnsi="宋体" w:eastAsia="宋体" w:cs="宋体"/>
          <w:snapToGrid w:val="0"/>
          <w:color w:val="auto"/>
          <w:spacing w:val="0"/>
          <w:kern w:val="0"/>
          <w:position w:val="0"/>
          <w:sz w:val="24"/>
          <w:szCs w:val="24"/>
          <w:u w:val="single" w:color="auto"/>
          <w:lang w:val="en-US" w:eastAsia="en-US" w:bidi="ar-SA"/>
        </w:rPr>
        <w:t xml:space="preserve">  48  </w:t>
      </w:r>
      <w:r>
        <w:rPr>
          <w:rFonts w:hint="eastAsia" w:ascii="宋体" w:hAnsi="宋体" w:eastAsia="宋体" w:cs="宋体"/>
          <w:snapToGrid w:val="0"/>
          <w:color w:val="auto"/>
          <w:spacing w:val="0"/>
          <w:kern w:val="0"/>
          <w:position w:val="0"/>
          <w:sz w:val="24"/>
          <w:szCs w:val="24"/>
          <w:lang w:val="en-US" w:eastAsia="en-US" w:bidi="ar-SA"/>
        </w:rPr>
        <w:t xml:space="preserve"> 小时。</w:t>
      </w:r>
    </w:p>
    <w:p w14:paraId="2BBB6B3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13.2 竣工验收</w:t>
      </w:r>
    </w:p>
    <w:p w14:paraId="141FCC1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13.2.2 竣工验收程序</w:t>
      </w:r>
    </w:p>
    <w:p w14:paraId="204B1BC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关于竣工验收程序的约定：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66D36E7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发包人不按照本项约定组织竣工验收、颁发工程接收证书的违约金的计算方法： </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666F354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13.2.5 移交、接收全部与部分工程</w:t>
      </w:r>
    </w:p>
    <w:p w14:paraId="65CE805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承包人向发包人移交工程的期限：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60A53C8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发包人未按本合同约定接收全部或部分工程的，违约金的计算方法为：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4255281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承包人未按时移交工程的，违约金的计算方法为：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6D335DD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13.3 工程试车</w:t>
      </w:r>
    </w:p>
    <w:p w14:paraId="417C007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13.3.1 试车程序</w:t>
      </w:r>
    </w:p>
    <w:p w14:paraId="018775F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工程试车内容：</w:t>
      </w:r>
    </w:p>
    <w:p w14:paraId="39FC8FD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（1）单机无负荷试车费用由</w:t>
      </w:r>
      <w:r>
        <w:rPr>
          <w:rFonts w:hint="eastAsia" w:ascii="宋体" w:hAnsi="宋体" w:eastAsia="宋体" w:cs="宋体"/>
          <w:snapToGrid w:val="0"/>
          <w:color w:val="auto"/>
          <w:spacing w:val="0"/>
          <w:kern w:val="0"/>
          <w:position w:val="0"/>
          <w:sz w:val="24"/>
          <w:szCs w:val="24"/>
          <w:u w:val="single" w:color="auto"/>
          <w:lang w:val="en-US" w:eastAsia="en-US" w:bidi="ar-SA"/>
        </w:rPr>
        <w:t xml:space="preserve">           承包人           </w:t>
      </w:r>
      <w:r>
        <w:rPr>
          <w:rFonts w:hint="eastAsia" w:ascii="宋体" w:hAnsi="宋体" w:eastAsia="宋体" w:cs="宋体"/>
          <w:snapToGrid w:val="0"/>
          <w:color w:val="auto"/>
          <w:spacing w:val="0"/>
          <w:kern w:val="0"/>
          <w:position w:val="0"/>
          <w:sz w:val="24"/>
          <w:szCs w:val="24"/>
          <w:lang w:val="en-US" w:eastAsia="en-US" w:bidi="ar-SA"/>
        </w:rPr>
        <w:t xml:space="preserve"> 承担；</w:t>
      </w:r>
    </w:p>
    <w:p w14:paraId="193B6B0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（2）无负荷联动试车费用由</w:t>
      </w:r>
      <w:r>
        <w:rPr>
          <w:rFonts w:hint="eastAsia" w:ascii="宋体" w:hAnsi="宋体" w:eastAsia="宋体" w:cs="宋体"/>
          <w:snapToGrid w:val="0"/>
          <w:color w:val="auto"/>
          <w:spacing w:val="0"/>
          <w:kern w:val="0"/>
          <w:position w:val="0"/>
          <w:sz w:val="24"/>
          <w:szCs w:val="24"/>
          <w:u w:val="single" w:color="auto"/>
          <w:lang w:val="en-US" w:eastAsia="en-US" w:bidi="ar-SA"/>
        </w:rPr>
        <w:t xml:space="preserve">           承包人           </w:t>
      </w:r>
      <w:r>
        <w:rPr>
          <w:rFonts w:hint="eastAsia" w:ascii="宋体" w:hAnsi="宋体" w:eastAsia="宋体" w:cs="宋体"/>
          <w:snapToGrid w:val="0"/>
          <w:color w:val="auto"/>
          <w:spacing w:val="0"/>
          <w:kern w:val="0"/>
          <w:position w:val="0"/>
          <w:sz w:val="24"/>
          <w:szCs w:val="24"/>
          <w:lang w:val="en-US" w:eastAsia="en-US" w:bidi="ar-SA"/>
        </w:rPr>
        <w:t xml:space="preserve"> 承担。</w:t>
      </w:r>
    </w:p>
    <w:p w14:paraId="53B6140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13.3.3 投料试车</w:t>
      </w:r>
    </w:p>
    <w:p w14:paraId="4F9F126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关于投料试车相关事项的约定：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6E4C316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13.6 竣工退场</w:t>
      </w:r>
    </w:p>
    <w:p w14:paraId="000CFAA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13.6.1 竣工退场</w:t>
      </w:r>
    </w:p>
    <w:p w14:paraId="77D00E3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承包人完成竣工退场的期限：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在初验前 7 日内必须全面清场    </w:t>
      </w:r>
      <w:r>
        <w:rPr>
          <w:rFonts w:hint="eastAsia" w:ascii="宋体" w:hAnsi="宋体" w:eastAsia="宋体" w:cs="宋体"/>
          <w:snapToGrid w:val="0"/>
          <w:color w:val="auto"/>
          <w:spacing w:val="0"/>
          <w:kern w:val="0"/>
          <w:position w:val="0"/>
          <w:sz w:val="24"/>
          <w:szCs w:val="24"/>
          <w:lang w:val="en-US" w:eastAsia="en-US" w:bidi="ar-SA"/>
        </w:rPr>
        <w:t>。</w:t>
      </w:r>
    </w:p>
    <w:p w14:paraId="5DC9E8C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14.</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竣工结算</w:t>
      </w:r>
    </w:p>
    <w:p w14:paraId="65E1149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14.1 竣工结算申请</w:t>
      </w:r>
    </w:p>
    <w:p w14:paraId="59E3328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承包人提交竣工结算申请单的期限：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5E1B8DC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竣工结算申请单应包括的内容：</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3E261B0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14.2 竣工结算审核</w:t>
      </w:r>
    </w:p>
    <w:p w14:paraId="009952F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发包人审批竣工付款申请单的期限：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1FF7E7B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发包人完成竣工付款的期限：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按专用合同条款 12.4.1 的规定执行 </w:t>
      </w:r>
      <w:r>
        <w:rPr>
          <w:rFonts w:hint="eastAsia" w:ascii="宋体" w:hAnsi="宋体" w:eastAsia="宋体" w:cs="宋体"/>
          <w:snapToGrid w:val="0"/>
          <w:color w:val="auto"/>
          <w:spacing w:val="0"/>
          <w:kern w:val="0"/>
          <w:position w:val="0"/>
          <w:sz w:val="24"/>
          <w:szCs w:val="24"/>
          <w:lang w:val="en-US" w:eastAsia="en-US" w:bidi="ar-SA"/>
        </w:rPr>
        <w:t>。</w:t>
      </w:r>
    </w:p>
    <w:p w14:paraId="677B32D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关于竣工付款证书异议部分复核的方式和程序：</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3A408DC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14.3 竣工结算送审时间的期限：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按通用合同条款 </w:t>
      </w:r>
      <w:r>
        <w:rPr>
          <w:rFonts w:hint="eastAsia" w:ascii="宋体" w:hAnsi="宋体" w:eastAsia="宋体" w:cs="宋体"/>
          <w:snapToGrid w:val="0"/>
          <w:color w:val="auto"/>
          <w:spacing w:val="0"/>
          <w:kern w:val="0"/>
          <w:position w:val="0"/>
          <w:sz w:val="24"/>
          <w:szCs w:val="24"/>
          <w:lang w:val="en-US" w:eastAsia="en-US" w:bidi="ar-SA"/>
        </w:rPr>
        <w:t>。</w:t>
      </w:r>
    </w:p>
    <w:p w14:paraId="719BDE3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14.4 最终结清</w:t>
      </w:r>
    </w:p>
    <w:p w14:paraId="42B73F6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14.4.1 最终结清申请单</w:t>
      </w:r>
    </w:p>
    <w:p w14:paraId="7DA1F7D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承包人提交最终结清申请单的份数：</w:t>
      </w:r>
      <w:r>
        <w:rPr>
          <w:rFonts w:hint="eastAsia" w:ascii="宋体" w:hAnsi="宋体" w:eastAsia="宋体" w:cs="宋体"/>
          <w:snapToGrid w:val="0"/>
          <w:color w:val="auto"/>
          <w:spacing w:val="0"/>
          <w:kern w:val="0"/>
          <w:position w:val="0"/>
          <w:sz w:val="24"/>
          <w:szCs w:val="24"/>
          <w:u w:val="single" w:color="auto"/>
          <w:lang w:val="en-US" w:eastAsia="en-US" w:bidi="ar-SA"/>
        </w:rPr>
        <w:t xml:space="preserve"> 二份 </w:t>
      </w:r>
      <w:r>
        <w:rPr>
          <w:rFonts w:hint="eastAsia" w:ascii="宋体" w:hAnsi="宋体" w:eastAsia="宋体" w:cs="宋体"/>
          <w:snapToGrid w:val="0"/>
          <w:color w:val="auto"/>
          <w:spacing w:val="0"/>
          <w:kern w:val="0"/>
          <w:position w:val="0"/>
          <w:sz w:val="24"/>
          <w:szCs w:val="24"/>
          <w:lang w:val="en-US" w:eastAsia="en-US" w:bidi="ar-SA"/>
        </w:rPr>
        <w:t xml:space="preserve"> 。</w:t>
      </w:r>
    </w:p>
    <w:p w14:paraId="27E333A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承包人提交最终结算申请单的期限：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6A19703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14.4.2 最终结清证书和支付</w:t>
      </w:r>
    </w:p>
    <w:p w14:paraId="7D9B010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（1）发包人完成最终结清申请单的审批并颁发最终结清证书的期限：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5266669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（2）发包人完成支付的期限：</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1204D1A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15.</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缺陷责任期与保修</w:t>
      </w:r>
    </w:p>
    <w:p w14:paraId="7B46CB6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15.2 缺陷责任期</w:t>
      </w:r>
    </w:p>
    <w:p w14:paraId="74DD1C0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缺陷责任期的具体期限：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24 个月 </w:t>
      </w:r>
      <w:r>
        <w:rPr>
          <w:rFonts w:hint="eastAsia" w:ascii="宋体" w:hAnsi="宋体" w:eastAsia="宋体" w:cs="宋体"/>
          <w:snapToGrid w:val="0"/>
          <w:color w:val="auto"/>
          <w:spacing w:val="0"/>
          <w:kern w:val="0"/>
          <w:position w:val="0"/>
          <w:sz w:val="24"/>
          <w:szCs w:val="24"/>
          <w:lang w:val="en-US" w:eastAsia="en-US" w:bidi="ar-SA"/>
        </w:rPr>
        <w:t>。</w:t>
      </w:r>
    </w:p>
    <w:p w14:paraId="0A7DE78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15.3 质量保证金</w:t>
      </w:r>
    </w:p>
    <w:p w14:paraId="79F92D5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关于是否扣留质量保证金的约定：</w:t>
      </w:r>
      <w:r>
        <w:rPr>
          <w:rFonts w:hint="eastAsia" w:ascii="宋体" w:hAnsi="宋体" w:eastAsia="宋体" w:cs="宋体"/>
          <w:b/>
          <w:bCs/>
          <w:snapToGrid w:val="0"/>
          <w:color w:val="auto"/>
          <w:spacing w:val="0"/>
          <w:kern w:val="0"/>
          <w:position w:val="0"/>
          <w:sz w:val="24"/>
          <w:szCs w:val="24"/>
          <w:u w:val="single" w:color="auto"/>
          <w:lang w:val="en-US" w:eastAsia="en-US" w:bidi="ar-SA"/>
        </w:rPr>
        <w:t>按最终工程结算金额的</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3%留质量保证金（不计利息）</w:t>
      </w:r>
      <w:r>
        <w:rPr>
          <w:rFonts w:hint="eastAsia" w:ascii="宋体" w:hAnsi="宋体" w:eastAsia="宋体" w:cs="宋体"/>
          <w:b/>
          <w:bCs/>
          <w:snapToGrid w:val="0"/>
          <w:color w:val="auto"/>
          <w:spacing w:val="0"/>
          <w:kern w:val="0"/>
          <w:position w:val="0"/>
          <w:sz w:val="24"/>
          <w:szCs w:val="24"/>
          <w:lang w:val="en-US" w:eastAsia="en-US" w:bidi="ar-SA"/>
        </w:rPr>
        <w:t>。</w:t>
      </w:r>
    </w:p>
    <w:p w14:paraId="60385C4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15.3.1 承包人提供质量保证金的方式</w:t>
      </w:r>
    </w:p>
    <w:p w14:paraId="44A892D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质量保证金采用以下第</w:t>
      </w:r>
      <w:r>
        <w:rPr>
          <w:rFonts w:hint="eastAsia" w:ascii="宋体" w:hAnsi="宋体" w:eastAsia="宋体" w:cs="宋体"/>
          <w:snapToGrid w:val="0"/>
          <w:color w:val="auto"/>
          <w:spacing w:val="0"/>
          <w:kern w:val="0"/>
          <w:position w:val="0"/>
          <w:sz w:val="24"/>
          <w:szCs w:val="24"/>
          <w:u w:val="single" w:color="auto"/>
          <w:lang w:val="en-US" w:eastAsia="en-US" w:bidi="ar-SA"/>
        </w:rPr>
        <w:t xml:space="preserve"> （2）  </w:t>
      </w:r>
      <w:r>
        <w:rPr>
          <w:rFonts w:hint="eastAsia" w:ascii="宋体" w:hAnsi="宋体" w:eastAsia="宋体" w:cs="宋体"/>
          <w:snapToGrid w:val="0"/>
          <w:color w:val="auto"/>
          <w:spacing w:val="0"/>
          <w:kern w:val="0"/>
          <w:position w:val="0"/>
          <w:sz w:val="24"/>
          <w:szCs w:val="24"/>
          <w:lang w:val="en-US" w:eastAsia="en-US" w:bidi="ar-SA"/>
        </w:rPr>
        <w:t xml:space="preserve"> 种方式：</w:t>
      </w:r>
    </w:p>
    <w:p w14:paraId="58BE82D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（1）质量保证金保函，保证金额为：</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2992143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（2）相应比例的工程款：</w:t>
      </w:r>
      <w:r>
        <w:rPr>
          <w:rFonts w:hint="eastAsia" w:ascii="宋体" w:hAnsi="宋体" w:eastAsia="宋体" w:cs="宋体"/>
          <w:b/>
          <w:bCs/>
          <w:snapToGrid w:val="0"/>
          <w:color w:val="auto"/>
          <w:spacing w:val="0"/>
          <w:kern w:val="0"/>
          <w:position w:val="0"/>
          <w:sz w:val="24"/>
          <w:szCs w:val="24"/>
          <w:u w:val="single" w:color="auto"/>
          <w:lang w:val="en-US" w:eastAsia="en-US" w:bidi="ar-SA"/>
        </w:rPr>
        <w:t>最终工程结算金额的3%（不计利息）</w:t>
      </w:r>
      <w:r>
        <w:rPr>
          <w:rFonts w:hint="eastAsia" w:ascii="宋体" w:hAnsi="宋体" w:eastAsia="宋体" w:cs="宋体"/>
          <w:snapToGrid w:val="0"/>
          <w:color w:val="auto"/>
          <w:spacing w:val="0"/>
          <w:kern w:val="0"/>
          <w:position w:val="0"/>
          <w:sz w:val="24"/>
          <w:szCs w:val="24"/>
          <w:u w:val="single" w:color="auto"/>
          <w:lang w:val="en-US" w:eastAsia="en-US" w:bidi="ar-SA"/>
        </w:rPr>
        <w:t>；</w:t>
      </w:r>
    </w:p>
    <w:p w14:paraId="0A1D49C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（3）双方约定的其他方式: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1726A27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15.3.2 质量保证金的扣留</w:t>
      </w:r>
    </w:p>
    <w:p w14:paraId="30EDD56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质量保证金的扣留采取以下第</w:t>
      </w:r>
      <w:r>
        <w:rPr>
          <w:rFonts w:hint="eastAsia" w:ascii="宋体" w:hAnsi="宋体" w:eastAsia="宋体" w:cs="宋体"/>
          <w:snapToGrid w:val="0"/>
          <w:color w:val="auto"/>
          <w:spacing w:val="0"/>
          <w:kern w:val="0"/>
          <w:position w:val="0"/>
          <w:sz w:val="24"/>
          <w:szCs w:val="24"/>
          <w:u w:val="single" w:color="auto"/>
          <w:lang w:val="en-US" w:eastAsia="en-US" w:bidi="ar-SA"/>
        </w:rPr>
        <w:t xml:space="preserve">（2） </w:t>
      </w:r>
      <w:r>
        <w:rPr>
          <w:rFonts w:hint="eastAsia" w:ascii="宋体" w:hAnsi="宋体" w:eastAsia="宋体" w:cs="宋体"/>
          <w:snapToGrid w:val="0"/>
          <w:color w:val="auto"/>
          <w:spacing w:val="0"/>
          <w:kern w:val="0"/>
          <w:position w:val="0"/>
          <w:sz w:val="24"/>
          <w:szCs w:val="24"/>
          <w:lang w:val="en-US" w:eastAsia="en-US" w:bidi="ar-SA"/>
        </w:rPr>
        <w:t xml:space="preserve"> 种方式：</w:t>
      </w:r>
    </w:p>
    <w:p w14:paraId="2C4C432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（1）在支付工程进度款时逐次扣留，在此情形下，质量保证金的计算基数不包括预付款的支付、扣回以及价格调整的金额；</w:t>
      </w:r>
    </w:p>
    <w:p w14:paraId="546E73A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（2）工程竣工结算时一次性扣留质量保证金：</w:t>
      </w:r>
      <w:r>
        <w:rPr>
          <w:rFonts w:hint="eastAsia" w:ascii="宋体" w:hAnsi="宋体" w:eastAsia="宋体" w:cs="宋体"/>
          <w:snapToGrid w:val="0"/>
          <w:color w:val="auto"/>
          <w:spacing w:val="0"/>
          <w:kern w:val="0"/>
          <w:position w:val="0"/>
          <w:sz w:val="24"/>
          <w:szCs w:val="24"/>
          <w:u w:val="single" w:color="auto"/>
          <w:lang w:val="en-US" w:eastAsia="en-US" w:bidi="ar-SA"/>
        </w:rPr>
        <w:t>工程结算总价×3%</w:t>
      </w:r>
      <w:r>
        <w:rPr>
          <w:rFonts w:hint="eastAsia" w:ascii="宋体" w:hAnsi="宋体" w:eastAsia="宋体" w:cs="宋体"/>
          <w:snapToGrid w:val="0"/>
          <w:color w:val="auto"/>
          <w:spacing w:val="0"/>
          <w:kern w:val="0"/>
          <w:position w:val="0"/>
          <w:sz w:val="24"/>
          <w:szCs w:val="24"/>
          <w:lang w:val="en-US" w:eastAsia="en-US" w:bidi="ar-SA"/>
        </w:rPr>
        <w:t>。</w:t>
      </w:r>
    </w:p>
    <w:p w14:paraId="412E80B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（3）其他扣留方式: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7C9D1A1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关于质量保证金的补充约定：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详见工程质量保修书      </w:t>
      </w:r>
      <w:r>
        <w:rPr>
          <w:rFonts w:hint="eastAsia" w:ascii="宋体" w:hAnsi="宋体" w:eastAsia="宋体" w:cs="宋体"/>
          <w:snapToGrid w:val="0"/>
          <w:color w:val="auto"/>
          <w:spacing w:val="0"/>
          <w:kern w:val="0"/>
          <w:position w:val="0"/>
          <w:sz w:val="24"/>
          <w:szCs w:val="24"/>
          <w:lang w:val="en-US" w:eastAsia="en-US" w:bidi="ar-SA"/>
        </w:rPr>
        <w:t>。</w:t>
      </w:r>
    </w:p>
    <w:p w14:paraId="11BE968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15.4 保修</w:t>
      </w:r>
    </w:p>
    <w:p w14:paraId="0C8F21F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15.4.1 保修责任</w:t>
      </w:r>
    </w:p>
    <w:p w14:paraId="053A735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工程保修期为：</w:t>
      </w:r>
      <w:r>
        <w:rPr>
          <w:rFonts w:hint="eastAsia" w:ascii="宋体" w:hAnsi="宋体" w:eastAsia="宋体" w:cs="宋体"/>
          <w:b/>
          <w:bCs/>
          <w:snapToGrid w:val="0"/>
          <w:color w:val="auto"/>
          <w:spacing w:val="0"/>
          <w:kern w:val="0"/>
          <w:position w:val="0"/>
          <w:sz w:val="24"/>
          <w:szCs w:val="24"/>
          <w:u w:val="single" w:color="auto"/>
          <w:lang w:val="en-US" w:eastAsia="en-US" w:bidi="ar-SA"/>
        </w:rPr>
        <w:t>2</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年，保修要求按建设部</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2000</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年</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80</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号令执行</w:t>
      </w:r>
    </w:p>
    <w:p w14:paraId="0D580FE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15.4.3 修复通知</w:t>
      </w:r>
    </w:p>
    <w:p w14:paraId="1EC2523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承包人收到保修通知并到达工程现场的合理时间：</w:t>
      </w:r>
      <w:r>
        <w:rPr>
          <w:rFonts w:hint="eastAsia" w:ascii="宋体" w:hAnsi="宋体" w:eastAsia="宋体" w:cs="宋体"/>
          <w:snapToGrid w:val="0"/>
          <w:color w:val="auto"/>
          <w:spacing w:val="0"/>
          <w:kern w:val="0"/>
          <w:position w:val="0"/>
          <w:sz w:val="24"/>
          <w:szCs w:val="24"/>
          <w:u w:val="single" w:color="auto"/>
          <w:lang w:val="en-US" w:eastAsia="en-US" w:bidi="ar-SA"/>
        </w:rPr>
        <w:t xml:space="preserve">  7 天之内，如限定时间不到，由发包方请有资质的施工队伍进行维修，其维修费从承包方质量保证金中抵扣。</w:t>
      </w:r>
    </w:p>
    <w:p w14:paraId="5DF4DB4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16.</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违约</w:t>
      </w:r>
    </w:p>
    <w:p w14:paraId="645CD5B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16.1 发包人违约</w:t>
      </w:r>
    </w:p>
    <w:p w14:paraId="4C5AA7B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16.1.1 发包人违约的情形</w:t>
      </w:r>
    </w:p>
    <w:p w14:paraId="0376067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发包人违约的其他情形：</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7103262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16.1.2 发包人违约的责任</w:t>
      </w:r>
    </w:p>
    <w:p w14:paraId="3431D1B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发包人违约责任的承担方式和计算方法：</w:t>
      </w:r>
    </w:p>
    <w:p w14:paraId="7EBEFF5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（1）因发包人原因未能在计划开工日期前 7 天内下达开工通知的违约责任：</w:t>
      </w:r>
      <w:r>
        <w:rPr>
          <w:rFonts w:hint="eastAsia" w:ascii="宋体" w:hAnsi="宋体" w:eastAsia="宋体" w:cs="宋体"/>
          <w:snapToGrid w:val="0"/>
          <w:color w:val="auto"/>
          <w:spacing w:val="0"/>
          <w:kern w:val="0"/>
          <w:position w:val="0"/>
          <w:sz w:val="24"/>
          <w:szCs w:val="24"/>
          <w:u w:val="single" w:color="auto"/>
          <w:lang w:val="en-US" w:eastAsia="en-US" w:bidi="ar-SA"/>
        </w:rPr>
        <w:t>/</w:t>
      </w:r>
      <w:r>
        <w:rPr>
          <w:rFonts w:hint="eastAsia" w:ascii="宋体" w:hAnsi="宋体" w:eastAsia="宋体" w:cs="宋体"/>
          <w:snapToGrid w:val="0"/>
          <w:color w:val="auto"/>
          <w:spacing w:val="0"/>
          <w:kern w:val="0"/>
          <w:position w:val="0"/>
          <w:sz w:val="24"/>
          <w:szCs w:val="24"/>
          <w:lang w:val="en-US" w:eastAsia="en-US" w:bidi="ar-SA"/>
        </w:rPr>
        <w:t>。</w:t>
      </w:r>
    </w:p>
    <w:p w14:paraId="4954F31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（2）因发包人原因未能按合同约定支付合同价款的违约责任：</w:t>
      </w:r>
      <w:r>
        <w:rPr>
          <w:rFonts w:hint="eastAsia" w:ascii="宋体" w:hAnsi="宋体" w:eastAsia="宋体" w:cs="宋体"/>
          <w:snapToGrid w:val="0"/>
          <w:color w:val="auto"/>
          <w:spacing w:val="0"/>
          <w:kern w:val="0"/>
          <w:position w:val="0"/>
          <w:sz w:val="24"/>
          <w:szCs w:val="24"/>
          <w:u w:val="single" w:color="auto"/>
          <w:lang w:val="en-US" w:eastAsia="en-US" w:bidi="ar-SA"/>
        </w:rPr>
        <w:t xml:space="preserve">按专用条款第12.4.1 条的规定执行 </w:t>
      </w:r>
      <w:r>
        <w:rPr>
          <w:rFonts w:hint="eastAsia" w:ascii="宋体" w:hAnsi="宋体" w:eastAsia="宋体" w:cs="宋体"/>
          <w:snapToGrid w:val="0"/>
          <w:color w:val="auto"/>
          <w:spacing w:val="0"/>
          <w:kern w:val="0"/>
          <w:position w:val="0"/>
          <w:sz w:val="24"/>
          <w:szCs w:val="24"/>
          <w:lang w:val="en-US" w:eastAsia="en-US" w:bidi="ar-SA"/>
        </w:rPr>
        <w:t>。</w:t>
      </w:r>
    </w:p>
    <w:p w14:paraId="345659E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（3）发包人违反第 10.1 款〔变更的范围〕第（2）项约定，自行实施被取消的工作或转由他人实施的违约责任：</w:t>
      </w:r>
      <w:r>
        <w:rPr>
          <w:rFonts w:hint="eastAsia" w:ascii="宋体" w:hAnsi="宋体" w:eastAsia="宋体" w:cs="宋体"/>
          <w:snapToGrid w:val="0"/>
          <w:color w:val="auto"/>
          <w:spacing w:val="0"/>
          <w:kern w:val="0"/>
          <w:position w:val="0"/>
          <w:sz w:val="24"/>
          <w:szCs w:val="24"/>
          <w:u w:val="single" w:color="auto"/>
          <w:lang w:val="en-US" w:eastAsia="en-US" w:bidi="ar-SA"/>
        </w:rPr>
        <w:t>/</w:t>
      </w:r>
      <w:r>
        <w:rPr>
          <w:rFonts w:hint="eastAsia" w:ascii="宋体" w:hAnsi="宋体" w:eastAsia="宋体" w:cs="宋体"/>
          <w:snapToGrid w:val="0"/>
          <w:color w:val="auto"/>
          <w:spacing w:val="0"/>
          <w:kern w:val="0"/>
          <w:position w:val="0"/>
          <w:sz w:val="24"/>
          <w:szCs w:val="24"/>
          <w:lang w:val="en-US" w:eastAsia="en-US" w:bidi="ar-SA"/>
        </w:rPr>
        <w:t>。</w:t>
      </w:r>
    </w:p>
    <w:p w14:paraId="2D451B6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（4）发包人提供的材料、工程设备的规格、数量或质量不符合合同约定，或因发包人原因导致交货日期延误或交货地点变更等情况的违约责任：</w:t>
      </w:r>
      <w:r>
        <w:rPr>
          <w:rFonts w:hint="eastAsia" w:ascii="宋体" w:hAnsi="宋体" w:eastAsia="宋体" w:cs="宋体"/>
          <w:snapToGrid w:val="0"/>
          <w:color w:val="auto"/>
          <w:spacing w:val="0"/>
          <w:kern w:val="0"/>
          <w:position w:val="0"/>
          <w:sz w:val="24"/>
          <w:szCs w:val="24"/>
          <w:u w:val="single" w:color="auto"/>
          <w:lang w:val="en-US" w:eastAsia="en-US" w:bidi="ar-SA"/>
        </w:rPr>
        <w:t>/</w:t>
      </w:r>
      <w:r>
        <w:rPr>
          <w:rFonts w:hint="eastAsia" w:ascii="宋体" w:hAnsi="宋体" w:eastAsia="宋体" w:cs="宋体"/>
          <w:snapToGrid w:val="0"/>
          <w:color w:val="auto"/>
          <w:spacing w:val="0"/>
          <w:kern w:val="0"/>
          <w:position w:val="0"/>
          <w:sz w:val="24"/>
          <w:szCs w:val="24"/>
          <w:lang w:val="en-US" w:eastAsia="en-US" w:bidi="ar-SA"/>
        </w:rPr>
        <w:t>。</w:t>
      </w:r>
    </w:p>
    <w:p w14:paraId="243B454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（5）因发包人违反合同约定造成暂停施工的违约责任：</w:t>
      </w:r>
      <w:r>
        <w:rPr>
          <w:rFonts w:hint="eastAsia" w:ascii="宋体" w:hAnsi="宋体" w:eastAsia="宋体" w:cs="宋体"/>
          <w:snapToGrid w:val="0"/>
          <w:color w:val="auto"/>
          <w:spacing w:val="0"/>
          <w:kern w:val="0"/>
          <w:position w:val="0"/>
          <w:sz w:val="24"/>
          <w:szCs w:val="24"/>
          <w:u w:val="single" w:color="auto"/>
          <w:lang w:val="en-US" w:eastAsia="en-US" w:bidi="ar-SA"/>
        </w:rPr>
        <w:t>/</w:t>
      </w:r>
      <w:r>
        <w:rPr>
          <w:rFonts w:hint="eastAsia" w:ascii="宋体" w:hAnsi="宋体" w:eastAsia="宋体" w:cs="宋体"/>
          <w:snapToGrid w:val="0"/>
          <w:color w:val="auto"/>
          <w:spacing w:val="0"/>
          <w:kern w:val="0"/>
          <w:position w:val="0"/>
          <w:sz w:val="24"/>
          <w:szCs w:val="24"/>
          <w:lang w:val="en-US" w:eastAsia="en-US" w:bidi="ar-SA"/>
        </w:rPr>
        <w:t>。</w:t>
      </w:r>
    </w:p>
    <w:p w14:paraId="7BC8A13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（6）发包人无正当理由没有在约定期限内发出复工指示，导致承包人无法复工的违约责任：</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w:t>
      </w:r>
    </w:p>
    <w:p w14:paraId="491FDA9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（7）其他：</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19DB1F0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16.1.3 因发包人违约解除合同</w:t>
      </w:r>
    </w:p>
    <w:p w14:paraId="1C39965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承包人按16.1.1项〔发包人违约的情形〕约定暂停施工满</w:t>
      </w:r>
      <w:r>
        <w:rPr>
          <w:rFonts w:hint="eastAsia" w:ascii="宋体" w:hAnsi="宋体" w:eastAsia="宋体" w:cs="宋体"/>
          <w:snapToGrid w:val="0"/>
          <w:color w:val="auto"/>
          <w:spacing w:val="0"/>
          <w:kern w:val="0"/>
          <w:position w:val="0"/>
          <w:sz w:val="24"/>
          <w:szCs w:val="24"/>
          <w:u w:val="single" w:color="auto"/>
          <w:lang w:val="en-US" w:eastAsia="en-US" w:bidi="ar-SA"/>
        </w:rPr>
        <w:t xml:space="preserve"> 28 </w:t>
      </w:r>
      <w:r>
        <w:rPr>
          <w:rFonts w:hint="eastAsia" w:ascii="宋体" w:hAnsi="宋体" w:eastAsia="宋体" w:cs="宋体"/>
          <w:snapToGrid w:val="0"/>
          <w:color w:val="auto"/>
          <w:spacing w:val="0"/>
          <w:kern w:val="0"/>
          <w:position w:val="0"/>
          <w:sz w:val="24"/>
          <w:szCs w:val="24"/>
          <w:lang w:val="en-US" w:eastAsia="en-US" w:bidi="ar-SA"/>
        </w:rPr>
        <w:t>天后发包人仍不纠正其违约行为并致使合同目的不能实现的，承包人有权解除合同。</w:t>
      </w:r>
    </w:p>
    <w:p w14:paraId="77CBCE2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16.2 承包人违约</w:t>
      </w:r>
    </w:p>
    <w:p w14:paraId="3970401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16.2.1 承包人违约的情形</w:t>
      </w:r>
    </w:p>
    <w:p w14:paraId="230F466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承包人违约的其他情形：</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0AFB05F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16.2.2 承包人违约的责任</w:t>
      </w:r>
    </w:p>
    <w:p w14:paraId="39B462C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承包人违约责任的承担方式和计算方法：</w:t>
      </w:r>
    </w:p>
    <w:p w14:paraId="0A0AE67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1、承包人违反合同约定进行转包或违法分包的责任：应当向发包人承担合同价款的 10%违约金，且发包人有权解除合同并不承担承包人任何损失。</w:t>
      </w:r>
    </w:p>
    <w:p w14:paraId="39A7AE2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2、承包人违反合同约定采购和使用不合格的材料和工程设备的：除无条件更换不合格材料或设备且自行承担费用外，每发现一次，支付违约金 1 万元</w:t>
      </w:r>
      <w:r>
        <w:rPr>
          <w:rFonts w:hint="eastAsia" w:ascii="宋体" w:hAnsi="宋体" w:eastAsia="宋体" w:cs="宋体"/>
          <w:snapToGrid w:val="0"/>
          <w:color w:val="auto"/>
          <w:spacing w:val="0"/>
          <w:kern w:val="0"/>
          <w:position w:val="0"/>
          <w:sz w:val="24"/>
          <w:szCs w:val="24"/>
          <w:lang w:val="en-US" w:eastAsia="en-US" w:bidi="ar-SA"/>
        </w:rPr>
        <w:t>。</w:t>
      </w:r>
    </w:p>
    <w:p w14:paraId="02C1BE4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3、因承包人的原因导致工程质量不符合合同要求的：除无条件返工直至达到合同约定标准且自行承担费用外，每发现一次，支付违约金 1 万元。</w:t>
      </w:r>
    </w:p>
    <w:p w14:paraId="6F3D1DC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4、承包人违反第 3.1 条的约定，未经批准，私自将已按照合同约定进入施工现场的材料和设备撤离施工现场的：除无条件改正外，每发现一次，支付违约金 1 万元。</w:t>
      </w:r>
    </w:p>
    <w:p w14:paraId="574B3E7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5、承包人未能按施工进度计划及时完成合同约定的工作，造成工期延误的，除</w:t>
      </w:r>
      <w:r>
        <w:rPr>
          <w:rFonts w:hint="eastAsia" w:ascii="宋体" w:hAnsi="宋体" w:eastAsia="宋体" w:cs="宋体"/>
          <w:snapToGrid w:val="0"/>
          <w:color w:val="auto"/>
          <w:spacing w:val="-2"/>
          <w:kern w:val="0"/>
          <w:sz w:val="24"/>
          <w:szCs w:val="24"/>
          <w:u w:val="single" w:color="auto"/>
          <w:lang w:val="en-US" w:eastAsia="en-US" w:bidi="ar-SA"/>
        </w:rPr>
        <w:t>按第</w:t>
      </w:r>
      <w:r>
        <w:rPr>
          <w:rFonts w:hint="eastAsia" w:ascii="宋体" w:hAnsi="宋体" w:eastAsia="宋体" w:cs="宋体"/>
          <w:snapToGrid w:val="0"/>
          <w:color w:val="auto"/>
          <w:spacing w:val="-45"/>
          <w:kern w:val="0"/>
          <w:sz w:val="24"/>
          <w:szCs w:val="24"/>
          <w:u w:val="single" w:color="auto"/>
          <w:lang w:val="en-US" w:eastAsia="en-US" w:bidi="ar-SA"/>
        </w:rPr>
        <w:t xml:space="preserve"> </w:t>
      </w:r>
      <w:r>
        <w:rPr>
          <w:rFonts w:hint="eastAsia" w:ascii="宋体" w:hAnsi="宋体" w:eastAsia="宋体" w:cs="宋体"/>
          <w:snapToGrid w:val="0"/>
          <w:color w:val="auto"/>
          <w:spacing w:val="-2"/>
          <w:kern w:val="0"/>
          <w:sz w:val="24"/>
          <w:szCs w:val="24"/>
          <w:u w:val="single" w:color="auto"/>
          <w:lang w:val="en-US" w:eastAsia="en-US" w:bidi="ar-SA"/>
        </w:rPr>
        <w:t>7.5.2</w:t>
      </w:r>
      <w:r>
        <w:rPr>
          <w:rFonts w:hint="eastAsia" w:ascii="宋体" w:hAnsi="宋体" w:eastAsia="宋体" w:cs="宋体"/>
          <w:snapToGrid w:val="0"/>
          <w:color w:val="auto"/>
          <w:spacing w:val="-49"/>
          <w:kern w:val="0"/>
          <w:sz w:val="24"/>
          <w:szCs w:val="24"/>
          <w:u w:val="single" w:color="auto"/>
          <w:lang w:val="en-US" w:eastAsia="en-US" w:bidi="ar-SA"/>
        </w:rPr>
        <w:t xml:space="preserve"> </w:t>
      </w:r>
      <w:r>
        <w:rPr>
          <w:rFonts w:hint="eastAsia" w:ascii="宋体" w:hAnsi="宋体" w:eastAsia="宋体" w:cs="宋体"/>
          <w:snapToGrid w:val="0"/>
          <w:color w:val="auto"/>
          <w:spacing w:val="-2"/>
          <w:kern w:val="0"/>
          <w:sz w:val="24"/>
          <w:szCs w:val="24"/>
          <w:u w:val="single" w:color="auto"/>
          <w:lang w:val="en-US" w:eastAsia="en-US" w:bidi="ar-SA"/>
        </w:rPr>
        <w:t>条约定承担违约金外，逾期超过</w:t>
      </w:r>
      <w:r>
        <w:rPr>
          <w:rFonts w:hint="eastAsia" w:ascii="宋体" w:hAnsi="宋体" w:eastAsia="宋体" w:cs="宋体"/>
          <w:snapToGrid w:val="0"/>
          <w:color w:val="auto"/>
          <w:spacing w:val="-45"/>
          <w:kern w:val="0"/>
          <w:sz w:val="24"/>
          <w:szCs w:val="24"/>
          <w:u w:val="single" w:color="auto"/>
          <w:lang w:val="en-US" w:eastAsia="en-US" w:bidi="ar-SA"/>
        </w:rPr>
        <w:t xml:space="preserve"> </w:t>
      </w:r>
      <w:r>
        <w:rPr>
          <w:rFonts w:hint="eastAsia" w:ascii="宋体" w:hAnsi="宋体" w:eastAsia="宋体" w:cs="宋体"/>
          <w:snapToGrid w:val="0"/>
          <w:color w:val="auto"/>
          <w:spacing w:val="-2"/>
          <w:kern w:val="0"/>
          <w:sz w:val="24"/>
          <w:szCs w:val="24"/>
          <w:u w:val="single" w:color="auto"/>
          <w:lang w:val="en-US" w:eastAsia="en-US" w:bidi="ar-SA"/>
        </w:rPr>
        <w:t>30</w:t>
      </w:r>
      <w:r>
        <w:rPr>
          <w:rFonts w:hint="eastAsia" w:ascii="宋体" w:hAnsi="宋体" w:eastAsia="宋体" w:cs="宋体"/>
          <w:snapToGrid w:val="0"/>
          <w:color w:val="auto"/>
          <w:spacing w:val="-46"/>
          <w:kern w:val="0"/>
          <w:sz w:val="24"/>
          <w:szCs w:val="24"/>
          <w:u w:val="single" w:color="auto"/>
          <w:lang w:val="en-US" w:eastAsia="en-US" w:bidi="ar-SA"/>
        </w:rPr>
        <w:t xml:space="preserve"> </w:t>
      </w:r>
      <w:r>
        <w:rPr>
          <w:rFonts w:hint="eastAsia" w:ascii="宋体" w:hAnsi="宋体" w:eastAsia="宋体" w:cs="宋体"/>
          <w:snapToGrid w:val="0"/>
          <w:color w:val="auto"/>
          <w:spacing w:val="-3"/>
          <w:kern w:val="0"/>
          <w:sz w:val="24"/>
          <w:szCs w:val="24"/>
          <w:u w:val="single" w:color="auto"/>
          <w:lang w:val="en-US" w:eastAsia="en-US" w:bidi="ar-SA"/>
        </w:rPr>
        <w:t>天的，发包人有权解除合同且不承担</w:t>
      </w:r>
      <w:r>
        <w:rPr>
          <w:rFonts w:hint="eastAsia" w:ascii="宋体" w:hAnsi="宋体" w:eastAsia="宋体" w:cs="宋体"/>
          <w:snapToGrid w:val="0"/>
          <w:color w:val="auto"/>
          <w:spacing w:val="0"/>
          <w:kern w:val="0"/>
          <w:position w:val="0"/>
          <w:sz w:val="24"/>
          <w:szCs w:val="24"/>
          <w:u w:val="single" w:color="auto"/>
          <w:lang w:val="en-US" w:eastAsia="en-US" w:bidi="ar-SA"/>
        </w:rPr>
        <w:t>承包人任何损失。</w:t>
      </w:r>
    </w:p>
    <w:p w14:paraId="52C3B3D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6、承包人在缺陷责任期及保修内，未能在合理期内对工程缺陷进行修复，或拒绝按发包人要求进行修复的：除发包人有权自行修复或委托第三方修复，所需费用由承包人承担外，另按修复费的 10%承担违约金。</w:t>
      </w:r>
    </w:p>
    <w:p w14:paraId="08AFEB8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7、承包人自开工之日起超过 30 日未开工，发包人可单方解除合同，承包人承担向发包人支付合同总价款 10%的违约金，承包人所受的损失自行承担</w:t>
      </w:r>
      <w:r>
        <w:rPr>
          <w:rFonts w:hint="eastAsia" w:ascii="宋体" w:hAnsi="宋体" w:eastAsia="宋体" w:cs="宋体"/>
          <w:snapToGrid w:val="0"/>
          <w:color w:val="auto"/>
          <w:spacing w:val="0"/>
          <w:kern w:val="0"/>
          <w:position w:val="0"/>
          <w:sz w:val="24"/>
          <w:szCs w:val="24"/>
          <w:lang w:val="en-US" w:eastAsia="en-US" w:bidi="ar-SA"/>
        </w:rPr>
        <w:t>。</w:t>
      </w:r>
    </w:p>
    <w:p w14:paraId="0C3D473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16.2.3 因承包人违约解除合同</w:t>
      </w:r>
    </w:p>
    <w:p w14:paraId="4B9F2B9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关于承包人违约解除合同的特别约定：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480AA4D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发包人继续使用承包人在施工现场的材料、设备、临时工程、承包人文件和由承包人或以其名义编制的其他文件的费用承担方式：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无偿使用 </w:t>
      </w:r>
      <w:r>
        <w:rPr>
          <w:rFonts w:hint="eastAsia" w:ascii="宋体" w:hAnsi="宋体" w:eastAsia="宋体" w:cs="宋体"/>
          <w:snapToGrid w:val="0"/>
          <w:color w:val="auto"/>
          <w:spacing w:val="0"/>
          <w:kern w:val="0"/>
          <w:position w:val="0"/>
          <w:sz w:val="24"/>
          <w:szCs w:val="24"/>
          <w:lang w:val="en-US" w:eastAsia="en-US" w:bidi="ar-SA"/>
        </w:rPr>
        <w:t>。</w:t>
      </w:r>
    </w:p>
    <w:p w14:paraId="359F714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17.</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不可抗力</w:t>
      </w:r>
    </w:p>
    <w:p w14:paraId="6CA9329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17.1 不可抗力的确认</w:t>
      </w:r>
    </w:p>
    <w:p w14:paraId="7C4D6CF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除通用合同条款约定的不可抗力事件之外，视为不可抗力的其他情形：</w:t>
      </w:r>
      <w:r>
        <w:rPr>
          <w:rFonts w:hint="eastAsia" w:ascii="宋体" w:hAnsi="宋体" w:eastAsia="宋体" w:cs="宋体"/>
          <w:snapToGrid w:val="0"/>
          <w:color w:val="auto"/>
          <w:spacing w:val="0"/>
          <w:kern w:val="0"/>
          <w:position w:val="0"/>
          <w:sz w:val="24"/>
          <w:szCs w:val="24"/>
          <w:u w:val="single" w:color="auto"/>
          <w:lang w:val="en-US" w:eastAsia="en-US" w:bidi="ar-SA"/>
        </w:rPr>
        <w:t>6 级以上地震；10 级以上的暴风；一天 200mm 以上或三天450mm 以上的暴雨；一次积雪深达450mm 以上等自然灾害；地震资料以湖南省地震局提供的资料为准，暴风资料以当地气象部门提供的资料为准</w:t>
      </w:r>
      <w:r>
        <w:rPr>
          <w:rFonts w:hint="eastAsia" w:ascii="宋体" w:hAnsi="宋体" w:eastAsia="宋体" w:cs="宋体"/>
          <w:snapToGrid w:val="0"/>
          <w:color w:val="auto"/>
          <w:spacing w:val="0"/>
          <w:kern w:val="0"/>
          <w:position w:val="0"/>
          <w:sz w:val="24"/>
          <w:szCs w:val="24"/>
          <w:lang w:val="en-US" w:eastAsia="en-US" w:bidi="ar-SA"/>
        </w:rPr>
        <w:t>。</w:t>
      </w:r>
    </w:p>
    <w:p w14:paraId="772CB74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17.3 不可抗力后果的承担</w:t>
      </w:r>
    </w:p>
    <w:p w14:paraId="6222CD4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2"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u w:val="single" w:color="auto"/>
          <w:lang w:val="en-US" w:eastAsia="en-US" w:bidi="ar-SA"/>
        </w:rPr>
        <w:t>因不可抗力、</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b/>
          <w:bCs/>
          <w:snapToGrid w:val="0"/>
          <w:color w:val="auto"/>
          <w:spacing w:val="0"/>
          <w:kern w:val="0"/>
          <w:position w:val="0"/>
          <w:sz w:val="24"/>
          <w:szCs w:val="24"/>
          <w:u w:val="single" w:color="auto"/>
          <w:lang w:val="en-US" w:eastAsia="en-US" w:bidi="ar-SA"/>
        </w:rPr>
        <w:t>自然灾害、征地拆迁等因素延长施工工期的，工期顺延，由此产生的相关费用（包括损失），承包人不得向发包人进行索赔。</w:t>
      </w:r>
    </w:p>
    <w:p w14:paraId="0CA4BCA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17.4 因不可抗力解除合同</w:t>
      </w:r>
    </w:p>
    <w:p w14:paraId="58DF820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合同解除后，发包人应在商定或确定发包人应支付款项后 </w:t>
      </w:r>
      <w:r>
        <w:rPr>
          <w:rFonts w:hint="eastAsia" w:ascii="宋体" w:hAnsi="宋体" w:eastAsia="宋体" w:cs="宋体"/>
          <w:snapToGrid w:val="0"/>
          <w:color w:val="auto"/>
          <w:spacing w:val="0"/>
          <w:kern w:val="0"/>
          <w:position w:val="0"/>
          <w:sz w:val="24"/>
          <w:szCs w:val="24"/>
          <w:u w:val="single" w:color="auto"/>
          <w:lang w:val="en-US" w:eastAsia="en-US" w:bidi="ar-SA"/>
        </w:rPr>
        <w:t xml:space="preserve">28 </w:t>
      </w:r>
      <w:r>
        <w:rPr>
          <w:rFonts w:hint="eastAsia" w:ascii="宋体" w:hAnsi="宋体" w:eastAsia="宋体" w:cs="宋体"/>
          <w:snapToGrid w:val="0"/>
          <w:color w:val="auto"/>
          <w:spacing w:val="0"/>
          <w:kern w:val="0"/>
          <w:position w:val="0"/>
          <w:sz w:val="24"/>
          <w:szCs w:val="24"/>
          <w:lang w:val="en-US" w:eastAsia="en-US" w:bidi="ar-SA"/>
        </w:rPr>
        <w:t>天内完成款项的支付。</w:t>
      </w:r>
    </w:p>
    <w:p w14:paraId="7C86A8F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18.</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保险</w:t>
      </w:r>
    </w:p>
    <w:p w14:paraId="2161D37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18.1 工程保险</w:t>
      </w:r>
    </w:p>
    <w:p w14:paraId="08F7D9A1">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关于工程保险的特别约定：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w:t>
      </w:r>
    </w:p>
    <w:p w14:paraId="20F5279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18.2 </w:t>
      </w:r>
      <w:r>
        <w:rPr>
          <w:rFonts w:hint="eastAsia" w:ascii="宋体" w:hAnsi="宋体" w:eastAsia="宋体" w:cs="宋体"/>
          <w:b/>
          <w:bCs/>
          <w:snapToGrid w:val="0"/>
          <w:color w:val="auto"/>
          <w:spacing w:val="0"/>
          <w:kern w:val="0"/>
          <w:position w:val="0"/>
          <w:sz w:val="24"/>
          <w:szCs w:val="24"/>
          <w:lang w:val="en-US" w:eastAsia="en-US" w:bidi="ar-SA"/>
        </w:rPr>
        <w:t>安全责任保险</w:t>
      </w:r>
    </w:p>
    <w:p w14:paraId="5957142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关于安全生产责任保险的约定：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53A1502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18.3 </w:t>
      </w:r>
      <w:r>
        <w:rPr>
          <w:rFonts w:hint="eastAsia" w:ascii="宋体" w:hAnsi="宋体" w:eastAsia="宋体" w:cs="宋体"/>
          <w:b/>
          <w:bCs/>
          <w:snapToGrid w:val="0"/>
          <w:color w:val="auto"/>
          <w:spacing w:val="0"/>
          <w:kern w:val="0"/>
          <w:position w:val="0"/>
          <w:sz w:val="24"/>
          <w:szCs w:val="24"/>
          <w:lang w:val="en-US" w:eastAsia="en-US" w:bidi="ar-SA"/>
        </w:rPr>
        <w:t>通知义务</w:t>
      </w:r>
    </w:p>
    <w:p w14:paraId="3DF9177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关于变更保险合同时的通知义务的约定：</w:t>
      </w:r>
      <w:r>
        <w:rPr>
          <w:rFonts w:hint="eastAsia" w:ascii="宋体" w:hAnsi="宋体" w:eastAsia="宋体" w:cs="宋体"/>
          <w:snapToGrid w:val="0"/>
          <w:color w:val="auto"/>
          <w:spacing w:val="0"/>
          <w:kern w:val="0"/>
          <w:position w:val="0"/>
          <w:sz w:val="24"/>
          <w:szCs w:val="24"/>
          <w:u w:val="single" w:color="auto"/>
          <w:lang w:val="en-US" w:eastAsia="en-US" w:bidi="ar-SA"/>
        </w:rPr>
        <w:t>按通用合同条款</w:t>
      </w:r>
      <w:r>
        <w:rPr>
          <w:rFonts w:hint="eastAsia" w:ascii="宋体" w:hAnsi="宋体" w:eastAsia="宋体" w:cs="宋体"/>
          <w:snapToGrid w:val="0"/>
          <w:color w:val="auto"/>
          <w:spacing w:val="0"/>
          <w:kern w:val="0"/>
          <w:position w:val="0"/>
          <w:sz w:val="24"/>
          <w:szCs w:val="24"/>
          <w:lang w:val="en-US" w:eastAsia="en-US" w:bidi="ar-SA"/>
        </w:rPr>
        <w:t>。</w:t>
      </w:r>
    </w:p>
    <w:p w14:paraId="4633E33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19.</w:t>
      </w:r>
      <w:r>
        <w:rPr>
          <w:rFonts w:hint="eastAsia" w:ascii="宋体" w:hAnsi="宋体" w:eastAsia="宋体" w:cs="宋体"/>
          <w:snapToGrid w:val="0"/>
          <w:color w:val="auto"/>
          <w:spacing w:val="0"/>
          <w:kern w:val="0"/>
          <w:position w:val="0"/>
          <w:sz w:val="24"/>
          <w:szCs w:val="24"/>
          <w:lang w:val="en-US" w:eastAsia="en-US" w:bidi="ar-SA"/>
        </w:rPr>
        <w:t xml:space="preserve"> </w:t>
      </w:r>
      <w:r>
        <w:rPr>
          <w:rFonts w:hint="eastAsia" w:ascii="宋体" w:hAnsi="宋体" w:eastAsia="宋体" w:cs="宋体"/>
          <w:b/>
          <w:bCs/>
          <w:snapToGrid w:val="0"/>
          <w:color w:val="auto"/>
          <w:spacing w:val="0"/>
          <w:kern w:val="0"/>
          <w:position w:val="0"/>
          <w:sz w:val="24"/>
          <w:szCs w:val="24"/>
          <w:lang w:val="en-US" w:eastAsia="en-US" w:bidi="ar-SA"/>
        </w:rPr>
        <w:t>争议解决</w:t>
      </w:r>
    </w:p>
    <w:p w14:paraId="7DBFE5B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19.1 争议评审</w:t>
      </w:r>
    </w:p>
    <w:p w14:paraId="3D1BB0A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合同当事人是否同意将工程争议提交争议评审小组决定：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是   </w:t>
      </w:r>
      <w:r>
        <w:rPr>
          <w:rFonts w:hint="eastAsia" w:ascii="宋体" w:hAnsi="宋体" w:eastAsia="宋体" w:cs="宋体"/>
          <w:snapToGrid w:val="0"/>
          <w:color w:val="auto"/>
          <w:spacing w:val="0"/>
          <w:kern w:val="0"/>
          <w:position w:val="0"/>
          <w:sz w:val="24"/>
          <w:szCs w:val="24"/>
          <w:lang w:val="en-US" w:eastAsia="en-US" w:bidi="ar-SA"/>
        </w:rPr>
        <w:t>。</w:t>
      </w:r>
    </w:p>
    <w:p w14:paraId="396866A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19.1.1 争议评审小组的确定</w:t>
      </w:r>
    </w:p>
    <w:p w14:paraId="42FCF77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争议评审小组成员的确定：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共同选择三名争议评审员  </w:t>
      </w:r>
      <w:r>
        <w:rPr>
          <w:rFonts w:hint="eastAsia" w:ascii="宋体" w:hAnsi="宋体" w:eastAsia="宋体" w:cs="宋体"/>
          <w:snapToGrid w:val="0"/>
          <w:color w:val="auto"/>
          <w:spacing w:val="0"/>
          <w:kern w:val="0"/>
          <w:position w:val="0"/>
          <w:sz w:val="24"/>
          <w:szCs w:val="24"/>
          <w:lang w:val="en-US" w:eastAsia="en-US" w:bidi="ar-SA"/>
        </w:rPr>
        <w:t>。</w:t>
      </w:r>
    </w:p>
    <w:p w14:paraId="60E1641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选定争议评审员的期限：</w:t>
      </w:r>
      <w:r>
        <w:rPr>
          <w:rFonts w:hint="eastAsia" w:ascii="宋体" w:hAnsi="宋体" w:eastAsia="宋体" w:cs="宋体"/>
          <w:snapToGrid w:val="0"/>
          <w:color w:val="auto"/>
          <w:spacing w:val="0"/>
          <w:kern w:val="0"/>
          <w:position w:val="0"/>
          <w:sz w:val="24"/>
          <w:szCs w:val="24"/>
          <w:u w:val="single" w:color="auto"/>
          <w:lang w:val="en-US" w:eastAsia="en-US" w:bidi="ar-SA"/>
        </w:rPr>
        <w:t xml:space="preserve">     争议发生后 14 天内      </w:t>
      </w:r>
      <w:r>
        <w:rPr>
          <w:rFonts w:hint="eastAsia" w:ascii="宋体" w:hAnsi="宋体" w:eastAsia="宋体" w:cs="宋体"/>
          <w:snapToGrid w:val="0"/>
          <w:color w:val="auto"/>
          <w:spacing w:val="0"/>
          <w:kern w:val="0"/>
          <w:position w:val="0"/>
          <w:sz w:val="24"/>
          <w:szCs w:val="24"/>
          <w:lang w:val="en-US" w:eastAsia="en-US" w:bidi="ar-SA"/>
        </w:rPr>
        <w:t>。</w:t>
      </w:r>
    </w:p>
    <w:p w14:paraId="1B0AAC8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争议评审小组成员的报酬承担方式：</w:t>
      </w:r>
      <w:r>
        <w:rPr>
          <w:rFonts w:hint="eastAsia" w:ascii="宋体" w:hAnsi="宋体" w:eastAsia="宋体" w:cs="宋体"/>
          <w:snapToGrid w:val="0"/>
          <w:color w:val="auto"/>
          <w:spacing w:val="0"/>
          <w:kern w:val="0"/>
          <w:position w:val="0"/>
          <w:sz w:val="24"/>
          <w:szCs w:val="24"/>
          <w:u w:val="single" w:color="auto"/>
          <w:lang w:val="en-US" w:eastAsia="en-US" w:bidi="ar-SA"/>
        </w:rPr>
        <w:t xml:space="preserve">  由发包人和承包人各自承担一半     </w:t>
      </w:r>
      <w:r>
        <w:rPr>
          <w:rFonts w:hint="eastAsia" w:ascii="宋体" w:hAnsi="宋体" w:eastAsia="宋体" w:cs="宋体"/>
          <w:snapToGrid w:val="0"/>
          <w:color w:val="auto"/>
          <w:spacing w:val="0"/>
          <w:kern w:val="0"/>
          <w:position w:val="0"/>
          <w:sz w:val="24"/>
          <w:szCs w:val="24"/>
          <w:lang w:val="en-US" w:eastAsia="en-US" w:bidi="ar-SA"/>
        </w:rPr>
        <w:t>。</w:t>
      </w:r>
    </w:p>
    <w:p w14:paraId="4AA3311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其他事项的约定：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w:t>
      </w:r>
    </w:p>
    <w:p w14:paraId="7278884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19.1.2 争议评审小组的决定</w:t>
      </w:r>
    </w:p>
    <w:p w14:paraId="06A01B1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合同当事人关于本项的约定：</w:t>
      </w:r>
      <w:r>
        <w:rPr>
          <w:rFonts w:hint="eastAsia" w:ascii="宋体" w:hAnsi="宋体" w:eastAsia="宋体" w:cs="宋体"/>
          <w:snapToGrid w:val="0"/>
          <w:color w:val="auto"/>
          <w:spacing w:val="0"/>
          <w:kern w:val="0"/>
          <w:position w:val="0"/>
          <w:sz w:val="24"/>
          <w:szCs w:val="24"/>
          <w:u w:val="single" w:color="auto"/>
          <w:lang w:val="en-US" w:eastAsia="en-US" w:bidi="ar-SA"/>
        </w:rPr>
        <w:t xml:space="preserve">  按通用合同条款 </w:t>
      </w:r>
      <w:r>
        <w:rPr>
          <w:rFonts w:hint="eastAsia" w:ascii="宋体" w:hAnsi="宋体" w:eastAsia="宋体" w:cs="宋体"/>
          <w:snapToGrid w:val="0"/>
          <w:color w:val="auto"/>
          <w:spacing w:val="0"/>
          <w:kern w:val="0"/>
          <w:position w:val="0"/>
          <w:sz w:val="24"/>
          <w:szCs w:val="24"/>
          <w:lang w:val="en-US" w:eastAsia="en-US" w:bidi="ar-SA"/>
        </w:rPr>
        <w:t xml:space="preserve"> 。</w:t>
      </w:r>
    </w:p>
    <w:p w14:paraId="1C914A1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19.2 仲裁或诉讼</w:t>
      </w:r>
    </w:p>
    <w:p w14:paraId="311DF40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因合同及合同有关事项发生的争议，按下列第</w:t>
      </w:r>
      <w:r>
        <w:rPr>
          <w:rFonts w:hint="eastAsia" w:ascii="宋体" w:hAnsi="宋体" w:eastAsia="宋体" w:cs="宋体"/>
          <w:snapToGrid w:val="0"/>
          <w:color w:val="auto"/>
          <w:spacing w:val="0"/>
          <w:kern w:val="0"/>
          <w:position w:val="0"/>
          <w:sz w:val="24"/>
          <w:szCs w:val="24"/>
          <w:u w:val="single" w:color="auto"/>
          <w:lang w:val="en-US" w:eastAsia="en-US" w:bidi="ar-SA"/>
        </w:rPr>
        <w:t xml:space="preserve">  （2） </w:t>
      </w:r>
      <w:r>
        <w:rPr>
          <w:rFonts w:hint="eastAsia" w:ascii="宋体" w:hAnsi="宋体" w:eastAsia="宋体" w:cs="宋体"/>
          <w:snapToGrid w:val="0"/>
          <w:color w:val="auto"/>
          <w:spacing w:val="0"/>
          <w:kern w:val="0"/>
          <w:position w:val="0"/>
          <w:sz w:val="24"/>
          <w:szCs w:val="24"/>
          <w:lang w:val="en-US" w:eastAsia="en-US" w:bidi="ar-SA"/>
        </w:rPr>
        <w:t>种方式解决：</w:t>
      </w:r>
    </w:p>
    <w:p w14:paraId="201BB1C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（1）向</w:t>
      </w:r>
      <w:r>
        <w:rPr>
          <w:rFonts w:hint="eastAsia" w:ascii="宋体" w:hAnsi="宋体" w:eastAsia="宋体" w:cs="宋体"/>
          <w:snapToGrid w:val="0"/>
          <w:color w:val="auto"/>
          <w:spacing w:val="0"/>
          <w:kern w:val="0"/>
          <w:position w:val="0"/>
          <w:sz w:val="24"/>
          <w:szCs w:val="24"/>
          <w:u w:val="single" w:color="auto"/>
          <w:lang w:val="en-US" w:eastAsia="en-US" w:bidi="ar-SA"/>
        </w:rPr>
        <w:t xml:space="preserve">  /  </w:t>
      </w:r>
      <w:r>
        <w:rPr>
          <w:rFonts w:hint="eastAsia" w:ascii="宋体" w:hAnsi="宋体" w:eastAsia="宋体" w:cs="宋体"/>
          <w:snapToGrid w:val="0"/>
          <w:color w:val="auto"/>
          <w:spacing w:val="0"/>
          <w:kern w:val="0"/>
          <w:position w:val="0"/>
          <w:sz w:val="24"/>
          <w:szCs w:val="24"/>
          <w:lang w:val="en-US" w:eastAsia="en-US" w:bidi="ar-SA"/>
        </w:rPr>
        <w:t xml:space="preserve"> 仲裁委员会申请仲裁；</w:t>
      </w:r>
    </w:p>
    <w:p w14:paraId="39DC375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（2）向</w:t>
      </w:r>
      <w:r>
        <w:rPr>
          <w:rFonts w:hint="eastAsia" w:ascii="宋体" w:hAnsi="宋体" w:eastAsia="宋体" w:cs="宋体"/>
          <w:snapToGrid w:val="0"/>
          <w:color w:val="auto"/>
          <w:spacing w:val="0"/>
          <w:kern w:val="0"/>
          <w:position w:val="0"/>
          <w:sz w:val="24"/>
          <w:szCs w:val="24"/>
          <w:highlight w:val="none"/>
          <w:u w:val="single" w:color="auto"/>
          <w:lang w:val="en-US" w:eastAsia="zh-CN" w:bidi="ar-SA"/>
        </w:rPr>
        <w:t>项目所在地</w:t>
      </w:r>
      <w:r>
        <w:rPr>
          <w:rFonts w:hint="eastAsia" w:ascii="宋体" w:hAnsi="宋体" w:eastAsia="宋体" w:cs="宋体"/>
          <w:snapToGrid w:val="0"/>
          <w:color w:val="auto"/>
          <w:spacing w:val="0"/>
          <w:kern w:val="0"/>
          <w:position w:val="0"/>
          <w:sz w:val="24"/>
          <w:szCs w:val="24"/>
          <w:highlight w:val="none"/>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人民法院起诉。</w:t>
      </w:r>
    </w:p>
    <w:p w14:paraId="0C9D688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20.补充条款</w:t>
      </w:r>
    </w:p>
    <w:p w14:paraId="5ED72E3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1、所有工程款必须拨付到承包方指定的帐户上，严禁建造师（项目负责人）私自拨款。</w:t>
      </w:r>
    </w:p>
    <w:p w14:paraId="7FD1C2D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2、承包方保证不拖欠农民工工资，按国家现行有关政策法规执行并服从发包人管理。不违反计划生育政策，并承担施工工地社会治安综合治理责任。</w:t>
      </w:r>
    </w:p>
    <w:p w14:paraId="225A5E8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3、暂定价材料采购由发包人、财评中心、承包人、监理四方共同询价，认可价</w:t>
      </w:r>
      <w:r>
        <w:rPr>
          <w:rFonts w:hint="eastAsia" w:ascii="宋体" w:hAnsi="宋体" w:eastAsia="宋体" w:cs="宋体"/>
          <w:snapToGrid w:val="0"/>
          <w:color w:val="auto"/>
          <w:spacing w:val="0"/>
          <w:kern w:val="0"/>
          <w:position w:val="0"/>
          <w:sz w:val="24"/>
          <w:szCs w:val="24"/>
          <w:u w:val="dotted" w:color="auto"/>
          <w:lang w:val="en-US" w:eastAsia="en-US" w:bidi="ar-SA"/>
        </w:rPr>
        <w:t>格、质量、品牌并签字方可执行，并作为以后结算的依据。</w:t>
      </w:r>
    </w:p>
    <w:p w14:paraId="50F2858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4、承包人必须合理组织施工并设置必要的安全防护措施，进出场地有明确的具体措施。</w:t>
      </w:r>
    </w:p>
    <w:p w14:paraId="6AA2233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5、成交单位在合同签订后，必须按照发包人的要求做好开工准备工作，按照发包人规定的标准进行人工、材料、资金、机械设备准备工作。未按照发包人要求做好开工准备工作或人工材料、资金、机械设备准备工作达不到发包人要求的，发包人有权按合同条款的约定中止和其签订的施工合同。</w:t>
      </w:r>
    </w:p>
    <w:p w14:paraId="0FC8880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single" w:color="auto"/>
          <w:lang w:val="en-US" w:eastAsia="en-US" w:bidi="ar-SA"/>
        </w:rPr>
        <w:t>6、质量保修期到期时，施工方及时修复质量缺陷，并提供书面报告，建设、监</w:t>
      </w:r>
      <w:r>
        <w:rPr>
          <w:rFonts w:hint="eastAsia" w:ascii="宋体" w:hAnsi="宋体" w:eastAsia="宋体" w:cs="宋体"/>
          <w:snapToGrid w:val="0"/>
          <w:color w:val="auto"/>
          <w:spacing w:val="0"/>
          <w:kern w:val="0"/>
          <w:position w:val="0"/>
          <w:sz w:val="24"/>
          <w:szCs w:val="24"/>
          <w:u w:val="dotted" w:color="auto"/>
          <w:lang w:val="en-US" w:eastAsia="en-US" w:bidi="ar-SA"/>
        </w:rPr>
        <w:t>理方签署意见。</w:t>
      </w:r>
    </w:p>
    <w:p w14:paraId="239F915F">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7、工程暂估价、不可预见费、工程量发生变化时，不得向发包人索赔。</w:t>
      </w:r>
    </w:p>
    <w:p w14:paraId="04CBF74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8、杜决承包人资质挂靠，关键岗位人员非重病、死亡、业主认定不能胜任工作等特殊情况外不能变更，不能按响应文件人员到岗的，视为资质挂靠嫌疑人，取消成交资格，没收履约保证金。非特殊情况，拟任项目负责人、技术负责人每月必须不少于 22 天在岗，如发现不在岗一次，提出警告，累计发现两次，扣除 8%履约保证金，累计发现三次，扣除全部履约保证金，解除双方合同。</w:t>
      </w:r>
    </w:p>
    <w:p w14:paraId="5ACDCFC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9、</w:t>
      </w:r>
      <w:r>
        <w:rPr>
          <w:rFonts w:hint="eastAsia" w:ascii="宋体" w:hAnsi="宋体" w:eastAsia="宋体" w:cs="宋体"/>
          <w:snapToGrid w:val="0"/>
          <w:color w:val="auto"/>
          <w:spacing w:val="0"/>
          <w:kern w:val="0"/>
          <w:position w:val="0"/>
          <w:sz w:val="24"/>
          <w:szCs w:val="24"/>
          <w:u w:val="dotted" w:color="auto"/>
          <w:lang w:val="en-US" w:eastAsia="en-US" w:bidi="ar-SA"/>
        </w:rPr>
        <w:t>承包方不得以任何理由停工，否则从履约保证金中扣除违约金 10000 元/天。</w:t>
      </w:r>
    </w:p>
    <w:p w14:paraId="089E736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10、本合同的未尽事宜，发包方、承包方双方可另行补充协议。另行补充协议具备与本合同同等的法律效力。</w:t>
      </w:r>
    </w:p>
    <w:p w14:paraId="3C2F71C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u w:val="dotted" w:color="auto"/>
          <w:lang w:val="en-US" w:eastAsia="en-US" w:bidi="ar-SA"/>
        </w:rPr>
        <w:t>11、本合同条款与现行法律法规有冲突的，按现行法律法规执行。</w:t>
      </w:r>
    </w:p>
    <w:p w14:paraId="049E17E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80" w:firstLineChars="200"/>
        <w:jc w:val="left"/>
        <w:textAlignment w:val="baseline"/>
        <w:rPr>
          <w:rFonts w:hint="eastAsia" w:ascii="宋体" w:hAnsi="宋体" w:eastAsia="宋体" w:cs="宋体"/>
          <w:color w:val="auto"/>
          <w:spacing w:val="0"/>
          <w:position w:val="0"/>
          <w:sz w:val="24"/>
          <w:szCs w:val="24"/>
        </w:rPr>
        <w:sectPr>
          <w:headerReference r:id="rId5" w:type="default"/>
          <w:footerReference r:id="rId6" w:type="default"/>
          <w:pgSz w:w="11906" w:h="16839"/>
          <w:pgMar w:top="1440" w:right="1800" w:bottom="1440" w:left="1800" w:header="0" w:footer="1112" w:gutter="0"/>
          <w:pgNumType w:fmt="numberInDash"/>
          <w:cols w:space="0" w:num="1"/>
          <w:rtlGutter w:val="0"/>
          <w:docGrid w:linePitch="0" w:charSpace="0"/>
        </w:sectPr>
      </w:pPr>
    </w:p>
    <w:p w14:paraId="4B660245">
      <w:pPr>
        <w:kinsoku w:val="0"/>
        <w:autoSpaceDE w:val="0"/>
        <w:autoSpaceDN w:val="0"/>
        <w:adjustRightInd w:val="0"/>
        <w:snapToGrid w:val="0"/>
        <w:spacing w:before="78" w:line="219" w:lineRule="auto"/>
        <w:ind w:left="28"/>
        <w:jc w:val="left"/>
        <w:textAlignment w:val="baseline"/>
        <w:rPr>
          <w:rFonts w:ascii="宋体" w:hAnsi="宋体" w:eastAsia="宋体" w:cs="宋体"/>
          <w:snapToGrid w:val="0"/>
          <w:color w:val="auto"/>
          <w:spacing w:val="0"/>
          <w:kern w:val="0"/>
          <w:position w:val="0"/>
          <w:sz w:val="24"/>
          <w:szCs w:val="24"/>
          <w:lang w:val="en-US" w:eastAsia="en-US" w:bidi="ar-SA"/>
        </w:rPr>
      </w:pPr>
      <w:r>
        <w:rPr>
          <w:rFonts w:ascii="宋体" w:hAnsi="宋体" w:eastAsia="宋体" w:cs="宋体"/>
          <w:b/>
          <w:bCs/>
          <w:snapToGrid w:val="0"/>
          <w:color w:val="auto"/>
          <w:spacing w:val="0"/>
          <w:kern w:val="0"/>
          <w:position w:val="0"/>
          <w:sz w:val="24"/>
          <w:szCs w:val="24"/>
          <w:lang w:val="en-US" w:eastAsia="en-US" w:bidi="ar-SA"/>
        </w:rPr>
        <w:t>附件：</w:t>
      </w:r>
    </w:p>
    <w:p w14:paraId="35FE1067">
      <w:pPr>
        <w:kinsoku w:val="0"/>
        <w:autoSpaceDE w:val="0"/>
        <w:autoSpaceDN w:val="0"/>
        <w:adjustRightInd w:val="0"/>
        <w:snapToGrid w:val="0"/>
        <w:spacing w:before="106" w:line="224" w:lineRule="auto"/>
        <w:ind w:left="3311"/>
        <w:jc w:val="left"/>
        <w:textAlignment w:val="baseline"/>
        <w:rPr>
          <w:rFonts w:ascii="宋体" w:hAnsi="宋体" w:eastAsia="宋体" w:cs="宋体"/>
          <w:snapToGrid w:val="0"/>
          <w:color w:val="auto"/>
          <w:spacing w:val="0"/>
          <w:kern w:val="0"/>
          <w:position w:val="0"/>
          <w:sz w:val="31"/>
          <w:szCs w:val="31"/>
          <w:lang w:val="en-US" w:eastAsia="en-US" w:bidi="ar-SA"/>
        </w:rPr>
      </w:pPr>
      <w:r>
        <w:rPr>
          <w:rFonts w:ascii="宋体" w:hAnsi="宋体" w:eastAsia="宋体" w:cs="宋体"/>
          <w:b/>
          <w:bCs/>
          <w:snapToGrid w:val="0"/>
          <w:color w:val="auto"/>
          <w:spacing w:val="0"/>
          <w:kern w:val="0"/>
          <w:position w:val="0"/>
          <w:sz w:val="31"/>
          <w:szCs w:val="31"/>
          <w:lang w:val="en-US" w:eastAsia="en-US" w:bidi="ar-SA"/>
        </w:rPr>
        <w:t>工程质量保修书</w:t>
      </w:r>
    </w:p>
    <w:p w14:paraId="35B8D599">
      <w:pPr>
        <w:widowControl/>
        <w:kinsoku w:val="0"/>
        <w:autoSpaceDE w:val="0"/>
        <w:autoSpaceDN w:val="0"/>
        <w:adjustRightInd w:val="0"/>
        <w:snapToGrid w:val="0"/>
        <w:spacing w:line="276" w:lineRule="auto"/>
        <w:jc w:val="left"/>
        <w:textAlignment w:val="baseline"/>
        <w:rPr>
          <w:rFonts w:ascii="Arial" w:hAnsi="Arial" w:eastAsia="Arial" w:cs="Arial"/>
          <w:snapToGrid w:val="0"/>
          <w:color w:val="auto"/>
          <w:spacing w:val="0"/>
          <w:kern w:val="0"/>
          <w:position w:val="0"/>
          <w:sz w:val="21"/>
          <w:szCs w:val="21"/>
          <w:lang w:eastAsia="en-US"/>
        </w:rPr>
      </w:pPr>
    </w:p>
    <w:p w14:paraId="7B4665A8">
      <w:pPr>
        <w:widowControl/>
        <w:kinsoku w:val="0"/>
        <w:autoSpaceDE w:val="0"/>
        <w:autoSpaceDN w:val="0"/>
        <w:adjustRightInd w:val="0"/>
        <w:snapToGrid w:val="0"/>
        <w:spacing w:line="276" w:lineRule="auto"/>
        <w:jc w:val="left"/>
        <w:textAlignment w:val="baseline"/>
        <w:rPr>
          <w:rFonts w:ascii="Arial" w:hAnsi="Arial" w:eastAsia="Arial" w:cs="Arial"/>
          <w:snapToGrid w:val="0"/>
          <w:color w:val="auto"/>
          <w:spacing w:val="0"/>
          <w:kern w:val="0"/>
          <w:position w:val="0"/>
          <w:sz w:val="21"/>
          <w:szCs w:val="21"/>
          <w:lang w:eastAsia="en-US"/>
        </w:rPr>
      </w:pPr>
    </w:p>
    <w:p w14:paraId="5938ACC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发包人（全称）：</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p>
    <w:p w14:paraId="6F7F7FD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承包人（全称）：</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p>
    <w:p w14:paraId="41C15EB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253F81D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16"/>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 xml:space="preserve">发包人、承包人根据《中华人民共和国建筑法》、《建设工程质量管理条例》与《房屋市政公用工程质量保修办法》，经协商一致，签订本 </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质量保修书。</w:t>
      </w:r>
    </w:p>
    <w:p w14:paraId="36FD248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b/>
          <w:bCs/>
          <w:snapToGrid w:val="0"/>
          <w:color w:val="auto"/>
          <w:spacing w:val="0"/>
          <w:kern w:val="0"/>
          <w:position w:val="0"/>
          <w:sz w:val="21"/>
          <w:szCs w:val="21"/>
          <w:lang w:eastAsia="en-US"/>
        </w:rPr>
      </w:pPr>
      <w:r>
        <w:rPr>
          <w:rFonts w:hint="eastAsia" w:ascii="宋体" w:hAnsi="宋体" w:eastAsia="宋体" w:cs="宋体"/>
          <w:b/>
          <w:bCs/>
          <w:snapToGrid w:val="0"/>
          <w:color w:val="auto"/>
          <w:spacing w:val="0"/>
          <w:kern w:val="0"/>
          <w:position w:val="0"/>
          <w:sz w:val="21"/>
          <w:szCs w:val="21"/>
          <w:lang w:eastAsia="en-US"/>
        </w:rPr>
        <w:t>一、工程质量保修范围和内容</w:t>
      </w:r>
    </w:p>
    <w:p w14:paraId="58BD4E8F">
      <w:pPr>
        <w:keepNext w:val="0"/>
        <w:keepLines w:val="0"/>
        <w:pageBreakBefore w:val="0"/>
        <w:widowControl/>
        <w:tabs>
          <w:tab w:val="left" w:pos="525"/>
        </w:tabs>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default" w:ascii="宋体" w:hAnsi="宋体" w:eastAsia="宋体" w:cs="宋体"/>
          <w:snapToGrid w:val="0"/>
          <w:color w:val="auto"/>
          <w:spacing w:val="0"/>
          <w:kern w:val="0"/>
          <w:position w:val="0"/>
          <w:sz w:val="21"/>
          <w:szCs w:val="21"/>
          <w:lang w:val="en-US" w:eastAsia="zh-CN"/>
        </w:rPr>
      </w:pPr>
      <w:r>
        <w:rPr>
          <w:rFonts w:hint="eastAsia" w:ascii="宋体" w:hAnsi="宋体" w:eastAsia="宋体" w:cs="宋体"/>
          <w:snapToGrid w:val="0"/>
          <w:color w:val="auto"/>
          <w:spacing w:val="0"/>
          <w:kern w:val="0"/>
          <w:position w:val="0"/>
          <w:sz w:val="21"/>
          <w:szCs w:val="21"/>
          <w:u w:val="single" w:color="auto"/>
          <w:lang w:val="en-US" w:eastAsia="zh-CN"/>
        </w:rPr>
        <w:t xml:space="preserve">             </w:t>
      </w:r>
    </w:p>
    <w:p w14:paraId="6BF896E9">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b/>
          <w:bCs/>
          <w:snapToGrid w:val="0"/>
          <w:color w:val="auto"/>
          <w:spacing w:val="0"/>
          <w:kern w:val="0"/>
          <w:position w:val="0"/>
          <w:sz w:val="21"/>
          <w:szCs w:val="21"/>
          <w:lang w:eastAsia="en-US"/>
        </w:rPr>
      </w:pPr>
      <w:r>
        <w:rPr>
          <w:rFonts w:hint="eastAsia" w:ascii="宋体" w:hAnsi="宋体" w:eastAsia="宋体" w:cs="宋体"/>
          <w:b/>
          <w:bCs/>
          <w:snapToGrid w:val="0"/>
          <w:color w:val="auto"/>
          <w:spacing w:val="0"/>
          <w:kern w:val="0"/>
          <w:position w:val="0"/>
          <w:sz w:val="21"/>
          <w:szCs w:val="21"/>
          <w:lang w:eastAsia="en-US"/>
        </w:rPr>
        <w:t>二、质量保修期</w:t>
      </w:r>
    </w:p>
    <w:p w14:paraId="67B88D6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1、双方根据《建设工程质量管理条例》及有关规定，约定本工程的质量保修期如下：</w:t>
      </w:r>
    </w:p>
    <w:p w14:paraId="56D0D65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（1）设计结构、场坪及道路基础、面层工程为设计文件规定的该工程合理使用年限；</w:t>
      </w:r>
    </w:p>
    <w:p w14:paraId="6009856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 xml:space="preserve">（2）屋面防水、有水房间防水工程为 </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 xml:space="preserve"> 年；</w:t>
      </w:r>
    </w:p>
    <w:p w14:paraId="6AD61BE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（3）电气管线、给排水管道、装饰装修工程、设备安装工程、围墙工程为</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年；</w:t>
      </w:r>
    </w:p>
    <w:p w14:paraId="1679C31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 xml:space="preserve">（4）供热与供冷系统为 </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 xml:space="preserve"> 采暖期、供冷期；</w:t>
      </w:r>
    </w:p>
    <w:p w14:paraId="434B6D6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（5）绿化苗木自验收合格之日起保活期</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 xml:space="preserve"> 年（含清扫绿地内枯枝残叶）；</w:t>
      </w:r>
    </w:p>
    <w:p w14:paraId="011D1E56">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（6）本工程质量保修期为</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 xml:space="preserve"> 年。</w:t>
      </w:r>
    </w:p>
    <w:p w14:paraId="14EA114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 xml:space="preserve">（7）其他 </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w:t>
      </w:r>
    </w:p>
    <w:p w14:paraId="16D88BE2">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2、工程质量保修期自工程竣工验收合格之日起计算。</w:t>
      </w:r>
    </w:p>
    <w:p w14:paraId="5E54567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b/>
          <w:bCs/>
          <w:snapToGrid w:val="0"/>
          <w:color w:val="auto"/>
          <w:spacing w:val="0"/>
          <w:kern w:val="0"/>
          <w:position w:val="0"/>
          <w:sz w:val="21"/>
          <w:szCs w:val="21"/>
          <w:lang w:eastAsia="en-US"/>
        </w:rPr>
      </w:pPr>
      <w:r>
        <w:rPr>
          <w:rFonts w:hint="eastAsia" w:ascii="宋体" w:hAnsi="宋体" w:eastAsia="宋体" w:cs="宋体"/>
          <w:b/>
          <w:bCs/>
          <w:snapToGrid w:val="0"/>
          <w:color w:val="auto"/>
          <w:spacing w:val="0"/>
          <w:kern w:val="0"/>
          <w:position w:val="0"/>
          <w:sz w:val="21"/>
          <w:szCs w:val="21"/>
          <w:lang w:eastAsia="en-US"/>
        </w:rPr>
        <w:t>三、质量保修责任</w:t>
      </w:r>
    </w:p>
    <w:p w14:paraId="607DCC2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1、属于保修范围、内容的项目，承包人应当在接到保修通知之日起 24 小时内派人保修。承包人不在约定期限内派人保修的，发包人可以委托他人修理。</w:t>
      </w:r>
    </w:p>
    <w:p w14:paraId="73F818D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2、发生紧急抢修事故的，承包人在接到事故通知后，应当立即到达事故现场抢修。</w:t>
      </w:r>
    </w:p>
    <w:p w14:paraId="6555B9C0">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3、对于涉及结构安全的质量问题，应当按照《房屋市政公用工程质量保修办法》的规定，立即向当地建设行政主管部门报告，采取安全防范措施；由原设计单位或者具有相应资质等级的设计单位提出保修方案，承包人实施保修。</w:t>
      </w:r>
    </w:p>
    <w:p w14:paraId="35CF452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4、质量保修完成后，由发包人组织验收。</w:t>
      </w:r>
    </w:p>
    <w:p w14:paraId="3960FC2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b/>
          <w:bCs/>
          <w:snapToGrid w:val="0"/>
          <w:color w:val="auto"/>
          <w:spacing w:val="0"/>
          <w:kern w:val="0"/>
          <w:position w:val="0"/>
          <w:sz w:val="21"/>
          <w:szCs w:val="21"/>
          <w:lang w:val="en-US" w:eastAsia="en-US" w:bidi="ar-SA"/>
        </w:rPr>
        <w:t>四、保修费用</w:t>
      </w:r>
    </w:p>
    <w:p w14:paraId="310C11C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1、保修费用由造成质量缺陷的责任方承担，承包人余留的保修金为</w:t>
      </w:r>
      <w:r>
        <w:rPr>
          <w:rFonts w:hint="eastAsia" w:ascii="宋体" w:hAnsi="宋体" w:eastAsia="宋体" w:cs="宋体"/>
          <w:b/>
          <w:bCs/>
          <w:snapToGrid w:val="0"/>
          <w:color w:val="auto"/>
          <w:spacing w:val="0"/>
          <w:kern w:val="0"/>
          <w:position w:val="0"/>
          <w:sz w:val="21"/>
          <w:szCs w:val="21"/>
          <w:u w:val="single" w:color="auto"/>
          <w:lang w:val="en-US" w:eastAsia="en-US" w:bidi="ar-SA"/>
        </w:rPr>
        <w:t>合同价的</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b/>
          <w:bCs/>
          <w:snapToGrid w:val="0"/>
          <w:color w:val="auto"/>
          <w:spacing w:val="0"/>
          <w:kern w:val="0"/>
          <w:position w:val="0"/>
          <w:sz w:val="21"/>
          <w:szCs w:val="21"/>
          <w:u w:val="single" w:color="auto"/>
          <w:lang w:val="en-US" w:eastAsia="en-US" w:bidi="ar-SA"/>
        </w:rPr>
        <w:t>3%</w:t>
      </w:r>
      <w:r>
        <w:rPr>
          <w:rFonts w:hint="eastAsia" w:ascii="宋体" w:hAnsi="宋体" w:eastAsia="宋体" w:cs="宋体"/>
          <w:snapToGrid w:val="0"/>
          <w:color w:val="auto"/>
          <w:spacing w:val="0"/>
          <w:kern w:val="0"/>
          <w:position w:val="0"/>
          <w:sz w:val="21"/>
          <w:szCs w:val="21"/>
          <w:lang w:val="en-US" w:eastAsia="en-US" w:bidi="ar-SA"/>
        </w:rPr>
        <w:t>。</w:t>
      </w:r>
    </w:p>
    <w:p w14:paraId="48A727F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b/>
          <w:bCs/>
          <w:snapToGrid w:val="0"/>
          <w:color w:val="auto"/>
          <w:spacing w:val="0"/>
          <w:kern w:val="0"/>
          <w:position w:val="0"/>
          <w:sz w:val="21"/>
          <w:szCs w:val="21"/>
          <w:lang w:val="en-US" w:eastAsia="en-US" w:bidi="ar-SA"/>
        </w:rPr>
        <w:t>五、其他</w:t>
      </w:r>
    </w:p>
    <w:p w14:paraId="4195020C">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1、双方约定的其他工程质量保修事项：</w:t>
      </w:r>
    </w:p>
    <w:p w14:paraId="323C4224">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在保修期内，因承包人质量问题，承包人在接到发包人通知后 24 小时内应及时修理，否则，发包人自行组织维修，其费用按双倍由承包人承担，直接从保修金中扣除。</w:t>
      </w:r>
    </w:p>
    <w:p w14:paraId="4D9DA48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420" w:firstLineChars="20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2、本工程质量保修书， 由施工合同发包人、承包人双方在竣工验收前共同签署，作为施工合同附件，其有效期限至保修期满。</w:t>
      </w:r>
    </w:p>
    <w:p w14:paraId="6C776E65">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24B8CDB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75348258">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7020B6EE">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 xml:space="preserve">发包人（公章）： </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r>
        <w:rPr>
          <w:rFonts w:hint="eastAsia" w:ascii="宋体" w:hAnsi="宋体" w:eastAsia="宋体" w:cs="宋体"/>
          <w:snapToGrid w:val="0"/>
          <w:color w:val="auto"/>
          <w:spacing w:val="0"/>
          <w:kern w:val="0"/>
          <w:position w:val="0"/>
          <w:sz w:val="21"/>
          <w:szCs w:val="21"/>
          <w:lang w:val="en-US" w:eastAsia="en-US" w:bidi="ar-SA"/>
        </w:rPr>
        <w:t xml:space="preserve">        承包人（公章）：</w:t>
      </w:r>
      <w:r>
        <w:rPr>
          <w:rFonts w:hint="eastAsia" w:ascii="宋体" w:hAnsi="宋体" w:eastAsia="宋体" w:cs="宋体"/>
          <w:snapToGrid w:val="0"/>
          <w:color w:val="auto"/>
          <w:spacing w:val="0"/>
          <w:kern w:val="0"/>
          <w:position w:val="0"/>
          <w:sz w:val="21"/>
          <w:szCs w:val="21"/>
          <w:u w:val="single" w:color="auto"/>
          <w:lang w:val="en-US" w:eastAsia="en-US" w:bidi="ar-SA"/>
        </w:rPr>
        <w:t xml:space="preserve">           </w:t>
      </w:r>
    </w:p>
    <w:p w14:paraId="06074FA3">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275AAAD7">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0B8EA9EA">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法定代表人或                           法定代表人或</w:t>
      </w:r>
    </w:p>
    <w:p w14:paraId="34B1DF6D">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val="en-US" w:eastAsia="en-US" w:bidi="ar-SA"/>
        </w:rPr>
      </w:pPr>
      <w:r>
        <w:rPr>
          <w:rFonts w:hint="eastAsia" w:ascii="宋体" w:hAnsi="宋体" w:eastAsia="宋体" w:cs="宋体"/>
          <w:snapToGrid w:val="0"/>
          <w:color w:val="auto"/>
          <w:spacing w:val="0"/>
          <w:kern w:val="0"/>
          <w:position w:val="0"/>
          <w:sz w:val="21"/>
          <w:szCs w:val="21"/>
          <w:lang w:val="en-US" w:eastAsia="en-US" w:bidi="ar-SA"/>
        </w:rPr>
        <w:t>委托代理人（签字）：                    委托代理人（签字）：</w:t>
      </w:r>
    </w:p>
    <w:p w14:paraId="14F101AB">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jc w:val="left"/>
        <w:textAlignment w:val="baseline"/>
        <w:rPr>
          <w:rFonts w:hint="eastAsia" w:ascii="宋体" w:hAnsi="宋体" w:eastAsia="宋体" w:cs="宋体"/>
          <w:snapToGrid w:val="0"/>
          <w:color w:val="auto"/>
          <w:spacing w:val="0"/>
          <w:kern w:val="0"/>
          <w:position w:val="0"/>
          <w:sz w:val="21"/>
          <w:szCs w:val="21"/>
          <w:lang w:eastAsia="en-US"/>
        </w:rPr>
      </w:pPr>
    </w:p>
    <w:p w14:paraId="7BCDFB2B">
      <w:pPr>
        <w:widowControl/>
        <w:jc w:val="left"/>
        <w:rPr>
          <w:rFonts w:ascii="黑体" w:hAnsi="黑体" w:eastAsia="黑体"/>
          <w:color w:val="auto"/>
          <w:sz w:val="32"/>
          <w:highlight w:val="none"/>
        </w:rPr>
      </w:pPr>
      <w:r>
        <w:rPr>
          <w:rFonts w:hint="eastAsia" w:ascii="宋体" w:hAnsi="宋体" w:eastAsia="宋体" w:cs="宋体"/>
          <w:b/>
          <w:bCs/>
          <w:snapToGrid w:val="0"/>
          <w:color w:val="auto"/>
          <w:spacing w:val="0"/>
          <w:kern w:val="0"/>
          <w:position w:val="0"/>
          <w:sz w:val="21"/>
          <w:szCs w:val="21"/>
          <w:lang w:val="en-US" w:eastAsia="en-US" w:bidi="ar-SA"/>
        </w:rPr>
        <w:t>年</w:t>
      </w:r>
      <w:r>
        <w:rPr>
          <w:rFonts w:hint="eastAsia" w:ascii="宋体" w:hAnsi="宋体" w:eastAsia="宋体" w:cs="宋体"/>
          <w:snapToGrid w:val="0"/>
          <w:color w:val="auto"/>
          <w:spacing w:val="0"/>
          <w:kern w:val="0"/>
          <w:position w:val="0"/>
          <w:sz w:val="21"/>
          <w:szCs w:val="21"/>
          <w:lang w:val="en-US" w:eastAsia="en-US" w:bidi="ar-SA"/>
        </w:rPr>
        <w:t xml:space="preserve">    </w:t>
      </w:r>
      <w:r>
        <w:rPr>
          <w:rFonts w:hint="eastAsia" w:ascii="宋体" w:hAnsi="宋体" w:eastAsia="宋体" w:cs="宋体"/>
          <w:b/>
          <w:bCs/>
          <w:snapToGrid w:val="0"/>
          <w:color w:val="auto"/>
          <w:spacing w:val="0"/>
          <w:kern w:val="0"/>
          <w:position w:val="0"/>
          <w:sz w:val="21"/>
          <w:szCs w:val="21"/>
          <w:lang w:val="en-US" w:eastAsia="en-US" w:bidi="ar-SA"/>
        </w:rPr>
        <w:t>月</w:t>
      </w:r>
      <w:r>
        <w:rPr>
          <w:rFonts w:hint="eastAsia" w:ascii="宋体" w:hAnsi="宋体" w:eastAsia="宋体" w:cs="宋体"/>
          <w:snapToGrid w:val="0"/>
          <w:color w:val="auto"/>
          <w:spacing w:val="0"/>
          <w:kern w:val="0"/>
          <w:position w:val="0"/>
          <w:sz w:val="21"/>
          <w:szCs w:val="21"/>
          <w:lang w:val="en-US" w:eastAsia="en-US" w:bidi="ar-SA"/>
        </w:rPr>
        <w:t xml:space="preserve">    </w:t>
      </w:r>
      <w:r>
        <w:rPr>
          <w:rFonts w:hint="eastAsia" w:ascii="宋体" w:hAnsi="宋体" w:eastAsia="宋体" w:cs="宋体"/>
          <w:b/>
          <w:bCs/>
          <w:snapToGrid w:val="0"/>
          <w:color w:val="auto"/>
          <w:spacing w:val="0"/>
          <w:kern w:val="0"/>
          <w:position w:val="0"/>
          <w:sz w:val="21"/>
          <w:szCs w:val="21"/>
          <w:lang w:val="en-US" w:eastAsia="en-US" w:bidi="ar-SA"/>
        </w:rPr>
        <w:t>日</w:t>
      </w:r>
      <w:r>
        <w:rPr>
          <w:rFonts w:hint="eastAsia" w:ascii="宋体" w:hAnsi="宋体" w:eastAsia="宋体" w:cs="宋体"/>
          <w:snapToGrid w:val="0"/>
          <w:color w:val="auto"/>
          <w:spacing w:val="0"/>
          <w:kern w:val="0"/>
          <w:position w:val="0"/>
          <w:sz w:val="21"/>
          <w:szCs w:val="21"/>
          <w:lang w:val="en-US" w:eastAsia="en-US" w:bidi="ar-SA"/>
        </w:rPr>
        <w:t xml:space="preserve">                          </w:t>
      </w:r>
      <w:r>
        <w:rPr>
          <w:rFonts w:hint="eastAsia" w:ascii="宋体" w:hAnsi="宋体" w:eastAsia="宋体" w:cs="宋体"/>
          <w:b/>
          <w:bCs/>
          <w:snapToGrid w:val="0"/>
          <w:color w:val="auto"/>
          <w:spacing w:val="0"/>
          <w:kern w:val="0"/>
          <w:position w:val="0"/>
          <w:sz w:val="21"/>
          <w:szCs w:val="21"/>
          <w:lang w:val="en-US" w:eastAsia="en-US" w:bidi="ar-SA"/>
        </w:rPr>
        <w:t>年</w:t>
      </w:r>
      <w:r>
        <w:rPr>
          <w:rFonts w:hint="eastAsia" w:ascii="宋体" w:hAnsi="宋体" w:eastAsia="宋体" w:cs="宋体"/>
          <w:snapToGrid w:val="0"/>
          <w:color w:val="auto"/>
          <w:spacing w:val="0"/>
          <w:kern w:val="0"/>
          <w:position w:val="0"/>
          <w:sz w:val="21"/>
          <w:szCs w:val="21"/>
          <w:lang w:val="en-US" w:eastAsia="en-US" w:bidi="ar-SA"/>
        </w:rPr>
        <w:t xml:space="preserve">    </w:t>
      </w:r>
      <w:r>
        <w:rPr>
          <w:rFonts w:hint="eastAsia" w:ascii="宋体" w:hAnsi="宋体" w:eastAsia="宋体" w:cs="宋体"/>
          <w:b/>
          <w:bCs/>
          <w:snapToGrid w:val="0"/>
          <w:color w:val="auto"/>
          <w:spacing w:val="0"/>
          <w:kern w:val="0"/>
          <w:position w:val="0"/>
          <w:sz w:val="21"/>
          <w:szCs w:val="21"/>
          <w:lang w:val="en-US" w:eastAsia="en-US" w:bidi="ar-SA"/>
        </w:rPr>
        <w:t>月</w:t>
      </w:r>
      <w:r>
        <w:rPr>
          <w:rFonts w:hint="eastAsia" w:ascii="宋体" w:hAnsi="宋体" w:eastAsia="宋体" w:cs="宋体"/>
          <w:snapToGrid w:val="0"/>
          <w:color w:val="auto"/>
          <w:spacing w:val="0"/>
          <w:kern w:val="0"/>
          <w:position w:val="0"/>
          <w:sz w:val="21"/>
          <w:szCs w:val="21"/>
          <w:lang w:val="en-US" w:eastAsia="en-US" w:bidi="ar-SA"/>
        </w:rPr>
        <w:t xml:space="preserve">    </w:t>
      </w:r>
      <w:r>
        <w:rPr>
          <w:rFonts w:hint="eastAsia" w:ascii="宋体" w:hAnsi="宋体" w:eastAsia="宋体" w:cs="宋体"/>
          <w:b/>
          <w:bCs/>
          <w:snapToGrid w:val="0"/>
          <w:color w:val="auto"/>
          <w:spacing w:val="0"/>
          <w:kern w:val="0"/>
          <w:position w:val="0"/>
          <w:sz w:val="21"/>
          <w:szCs w:val="21"/>
          <w:lang w:val="en-US" w:eastAsia="en-US" w:bidi="ar-SA"/>
        </w:rPr>
        <w:t>日</w:t>
      </w:r>
      <w:r>
        <w:rPr>
          <w:rFonts w:ascii="黑体" w:hAnsi="黑体" w:eastAsia="黑体"/>
          <w:color w:val="auto"/>
          <w:sz w:val="32"/>
          <w:highlight w:val="none"/>
        </w:rPr>
        <w:br w:type="page"/>
      </w:r>
    </w:p>
    <w:p w14:paraId="6E9E7AC6">
      <w:pPr>
        <w:pStyle w:val="4"/>
        <w:rPr>
          <w:rFonts w:ascii="宋体" w:hAnsi="宋体"/>
          <w:color w:val="auto"/>
          <w:highlight w:val="none"/>
        </w:rPr>
      </w:pPr>
      <w:bookmarkStart w:id="58" w:name="_Toc9389"/>
      <w:r>
        <w:rPr>
          <w:rFonts w:hint="eastAsia" w:ascii="黑体" w:hAnsi="黑体" w:eastAsia="黑体"/>
          <w:color w:val="auto"/>
          <w:sz w:val="32"/>
          <w:highlight w:val="none"/>
        </w:rPr>
        <w:t>第五章 响应文件组成</w:t>
      </w:r>
      <w:bookmarkEnd w:id="58"/>
    </w:p>
    <w:p w14:paraId="3A6BF241">
      <w:pPr>
        <w:widowControl/>
        <w:tabs>
          <w:tab w:val="left" w:pos="753"/>
        </w:tabs>
        <w:adjustRightInd w:val="0"/>
        <w:snapToGrid w:val="0"/>
        <w:spacing w:before="156" w:beforeLines="50" w:line="360" w:lineRule="auto"/>
        <w:ind w:firstLine="3600" w:firstLineChars="1500"/>
        <w:rPr>
          <w:rFonts w:ascii="宋体" w:hAnsi="宋体"/>
          <w:color w:val="auto"/>
          <w:sz w:val="24"/>
          <w:highlight w:val="none"/>
        </w:rPr>
      </w:pPr>
      <w:r>
        <w:rPr>
          <w:rFonts w:hint="eastAsia" w:ascii="宋体" w:hAnsi="宋体"/>
          <w:color w:val="auto"/>
          <w:sz w:val="24"/>
          <w:highlight w:val="none"/>
        </w:rPr>
        <w:t>目录</w:t>
      </w:r>
    </w:p>
    <w:p w14:paraId="39FFB8BA">
      <w:pPr>
        <w:adjustRightInd w:val="0"/>
        <w:snapToGrid w:val="0"/>
        <w:spacing w:before="156" w:beforeLines="50" w:line="360" w:lineRule="auto"/>
        <w:rPr>
          <w:rFonts w:ascii="宋体"/>
          <w:color w:val="auto"/>
          <w:highlight w:val="none"/>
        </w:rPr>
      </w:pPr>
      <w:r>
        <w:rPr>
          <w:rFonts w:hint="eastAsia" w:ascii="宋体"/>
          <w:color w:val="auto"/>
          <w:highlight w:val="none"/>
        </w:rPr>
        <w:t>供应商的响应文件应包含以下部分：</w:t>
      </w:r>
    </w:p>
    <w:p w14:paraId="3EA6A54E">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一、磋商响应声明</w:t>
      </w:r>
      <w:r>
        <w:rPr>
          <w:rFonts w:hint="eastAsia" w:ascii="宋体" w:hAnsi="宋体"/>
          <w:color w:val="auto"/>
          <w:szCs w:val="21"/>
          <w:lang w:eastAsia="zh-CN"/>
        </w:rPr>
        <w:t>（</w:t>
      </w:r>
      <w:r>
        <w:rPr>
          <w:rFonts w:hint="eastAsia" w:ascii="宋体" w:hAnsi="宋体"/>
          <w:color w:val="auto"/>
          <w:szCs w:val="21"/>
        </w:rPr>
        <w:t>格式</w:t>
      </w:r>
      <w:r>
        <w:rPr>
          <w:rFonts w:hint="eastAsia" w:ascii="宋体" w:hAnsi="宋体"/>
          <w:color w:val="auto"/>
          <w:szCs w:val="21"/>
          <w:lang w:eastAsia="zh-CN"/>
        </w:rPr>
        <w:t>）</w:t>
      </w:r>
    </w:p>
    <w:p w14:paraId="5AA1D1FE">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二、法定代表人（单位负责人）身份证明</w:t>
      </w:r>
      <w:r>
        <w:rPr>
          <w:rFonts w:hint="eastAsia" w:ascii="宋体" w:hAnsi="宋体"/>
          <w:color w:val="auto"/>
          <w:szCs w:val="21"/>
          <w:lang w:eastAsia="zh-CN"/>
        </w:rPr>
        <w:t>（</w:t>
      </w:r>
      <w:r>
        <w:rPr>
          <w:rFonts w:hint="eastAsia" w:ascii="宋体" w:hAnsi="宋体"/>
          <w:color w:val="auto"/>
          <w:szCs w:val="21"/>
        </w:rPr>
        <w:t>格式</w:t>
      </w:r>
      <w:r>
        <w:rPr>
          <w:rFonts w:hint="eastAsia" w:ascii="宋体" w:hAnsi="宋体"/>
          <w:color w:val="auto"/>
          <w:szCs w:val="21"/>
          <w:lang w:eastAsia="zh-CN"/>
        </w:rPr>
        <w:t>）</w:t>
      </w:r>
    </w:p>
    <w:p w14:paraId="35EF790B">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三、授权委托书</w:t>
      </w:r>
      <w:r>
        <w:rPr>
          <w:rFonts w:hint="eastAsia" w:ascii="宋体" w:hAnsi="宋体"/>
          <w:color w:val="auto"/>
          <w:szCs w:val="21"/>
          <w:lang w:eastAsia="zh-CN"/>
        </w:rPr>
        <w:t>（</w:t>
      </w:r>
      <w:r>
        <w:rPr>
          <w:rFonts w:hint="eastAsia" w:ascii="宋体" w:hAnsi="宋体"/>
          <w:color w:val="auto"/>
          <w:szCs w:val="21"/>
        </w:rPr>
        <w:t>格式</w:t>
      </w:r>
      <w:r>
        <w:rPr>
          <w:rFonts w:hint="eastAsia" w:ascii="宋体" w:hAnsi="宋体"/>
          <w:color w:val="auto"/>
          <w:szCs w:val="21"/>
          <w:lang w:eastAsia="zh-CN"/>
        </w:rPr>
        <w:t>）</w:t>
      </w:r>
    </w:p>
    <w:p w14:paraId="25AABB3C">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、供应商的资格证明材料</w:t>
      </w:r>
    </w:p>
    <w:p w14:paraId="2B78D940">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、报价表及报价文件</w:t>
      </w:r>
      <w:r>
        <w:rPr>
          <w:rFonts w:hint="eastAsia" w:ascii="宋体" w:hAnsi="宋体"/>
          <w:color w:val="auto"/>
          <w:szCs w:val="21"/>
          <w:lang w:eastAsia="zh-CN"/>
        </w:rPr>
        <w:t>（</w:t>
      </w:r>
      <w:r>
        <w:rPr>
          <w:rFonts w:hint="eastAsia" w:ascii="宋体" w:hAnsi="宋体"/>
          <w:color w:val="auto"/>
          <w:szCs w:val="21"/>
        </w:rPr>
        <w:t>格式</w:t>
      </w:r>
      <w:r>
        <w:rPr>
          <w:rFonts w:hint="eastAsia" w:ascii="宋体" w:hAnsi="宋体"/>
          <w:color w:val="auto"/>
          <w:szCs w:val="21"/>
          <w:lang w:eastAsia="zh-CN"/>
        </w:rPr>
        <w:t>）</w:t>
      </w:r>
    </w:p>
    <w:p w14:paraId="5C3C23B4">
      <w:pPr>
        <w:widowControl/>
        <w:tabs>
          <w:tab w:val="left" w:pos="753"/>
        </w:tabs>
        <w:adjustRightInd w:val="0"/>
        <w:snapToGrid w:val="0"/>
        <w:spacing w:before="156" w:beforeLines="50"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lang w:val="en-US" w:eastAsia="zh-CN"/>
        </w:rPr>
        <w:t>六</w:t>
      </w:r>
      <w:r>
        <w:rPr>
          <w:rFonts w:hint="eastAsia" w:ascii="宋体" w:hAnsi="宋体"/>
          <w:color w:val="auto"/>
          <w:szCs w:val="21"/>
        </w:rPr>
        <w:t>、</w:t>
      </w:r>
      <w:r>
        <w:rPr>
          <w:rFonts w:hint="eastAsia" w:ascii="宋体" w:hAnsi="宋体"/>
          <w:color w:val="auto"/>
          <w:szCs w:val="21"/>
          <w:lang w:val="en-US" w:eastAsia="zh-CN"/>
        </w:rPr>
        <w:t>技术方案</w:t>
      </w:r>
    </w:p>
    <w:p w14:paraId="421205C7">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lang w:val="en-US" w:eastAsia="zh-CN"/>
        </w:rPr>
        <w:t>七</w:t>
      </w:r>
      <w:r>
        <w:rPr>
          <w:rFonts w:hint="eastAsia" w:ascii="宋体" w:hAnsi="宋体"/>
          <w:color w:val="auto"/>
          <w:szCs w:val="21"/>
        </w:rPr>
        <w:t>、合同条款偏离表</w:t>
      </w:r>
    </w:p>
    <w:p w14:paraId="091F9A47">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lang w:val="en-US" w:eastAsia="zh-CN"/>
        </w:rPr>
        <w:t>八</w:t>
      </w:r>
      <w:r>
        <w:rPr>
          <w:rFonts w:hint="eastAsia" w:ascii="宋体" w:hAnsi="宋体"/>
          <w:color w:val="auto"/>
          <w:szCs w:val="21"/>
        </w:rPr>
        <w:t>、采购需求偏离表</w:t>
      </w:r>
    </w:p>
    <w:p w14:paraId="3825D93C">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lang w:val="en-US" w:eastAsia="zh-CN"/>
        </w:rPr>
        <w:t>九</w:t>
      </w:r>
      <w:r>
        <w:rPr>
          <w:rFonts w:hint="eastAsia" w:ascii="宋体" w:hAnsi="宋体"/>
          <w:color w:val="auto"/>
          <w:szCs w:val="21"/>
        </w:rPr>
        <w:t>、享受政府采购政策优惠的证明资料</w:t>
      </w:r>
    </w:p>
    <w:p w14:paraId="547F86A8">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十、商务评分证明资料</w:t>
      </w:r>
    </w:p>
    <w:p w14:paraId="3EBC9776">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w:t>
      </w:r>
      <w:r>
        <w:rPr>
          <w:rFonts w:hint="eastAsia" w:ascii="宋体" w:hAnsi="宋体"/>
          <w:color w:val="auto"/>
          <w:szCs w:val="21"/>
          <w:lang w:val="en-US" w:eastAsia="zh-CN"/>
        </w:rPr>
        <w:t>一</w:t>
      </w:r>
      <w:r>
        <w:rPr>
          <w:rFonts w:hint="eastAsia" w:ascii="宋体" w:hAnsi="宋体"/>
          <w:color w:val="auto"/>
          <w:szCs w:val="21"/>
        </w:rPr>
        <w:t>、供应商认为需提供的其他资料</w:t>
      </w:r>
    </w:p>
    <w:p w14:paraId="6FECBC99">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w:t>
      </w:r>
      <w:r>
        <w:rPr>
          <w:rFonts w:hint="eastAsia" w:ascii="宋体" w:hAnsi="宋体"/>
          <w:color w:val="auto"/>
          <w:szCs w:val="21"/>
          <w:lang w:val="en-US" w:eastAsia="zh-CN"/>
        </w:rPr>
        <w:t>二</w:t>
      </w:r>
      <w:r>
        <w:rPr>
          <w:rFonts w:hint="eastAsia" w:ascii="宋体" w:hAnsi="宋体"/>
          <w:color w:val="auto"/>
          <w:szCs w:val="21"/>
        </w:rPr>
        <w:t>、最终报价</w:t>
      </w:r>
    </w:p>
    <w:p w14:paraId="6D9A05C8">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p>
    <w:p w14:paraId="56739E8D">
      <w:pPr>
        <w:spacing w:line="360" w:lineRule="exact"/>
        <w:jc w:val="center"/>
        <w:rPr>
          <w:rFonts w:ascii="黑体" w:eastAsia="黑体"/>
          <w:b/>
          <w:color w:val="auto"/>
          <w:sz w:val="32"/>
          <w:szCs w:val="32"/>
          <w:highlight w:val="none"/>
        </w:rPr>
      </w:pPr>
    </w:p>
    <w:p w14:paraId="08627725">
      <w:pPr>
        <w:spacing w:line="360" w:lineRule="exact"/>
        <w:jc w:val="center"/>
        <w:rPr>
          <w:rFonts w:ascii="黑体" w:eastAsia="黑体"/>
          <w:b/>
          <w:color w:val="auto"/>
          <w:sz w:val="32"/>
          <w:szCs w:val="32"/>
          <w:highlight w:val="none"/>
        </w:rPr>
      </w:pPr>
    </w:p>
    <w:p w14:paraId="42DBF56C">
      <w:pPr>
        <w:spacing w:line="360" w:lineRule="exact"/>
        <w:jc w:val="center"/>
        <w:rPr>
          <w:rFonts w:ascii="黑体" w:eastAsia="黑体"/>
          <w:b/>
          <w:color w:val="auto"/>
          <w:sz w:val="32"/>
          <w:szCs w:val="32"/>
          <w:highlight w:val="none"/>
        </w:rPr>
      </w:pPr>
    </w:p>
    <w:p w14:paraId="77332B96">
      <w:pPr>
        <w:spacing w:line="360" w:lineRule="exact"/>
        <w:jc w:val="center"/>
        <w:rPr>
          <w:rFonts w:ascii="黑体" w:eastAsia="黑体"/>
          <w:b/>
          <w:color w:val="auto"/>
          <w:sz w:val="32"/>
          <w:szCs w:val="32"/>
          <w:highlight w:val="none"/>
        </w:rPr>
      </w:pPr>
    </w:p>
    <w:p w14:paraId="13414F3D">
      <w:pPr>
        <w:spacing w:line="360" w:lineRule="exact"/>
        <w:jc w:val="center"/>
        <w:rPr>
          <w:rFonts w:ascii="黑体" w:eastAsia="黑体"/>
          <w:b/>
          <w:color w:val="auto"/>
          <w:sz w:val="32"/>
          <w:szCs w:val="32"/>
          <w:highlight w:val="none"/>
        </w:rPr>
      </w:pPr>
    </w:p>
    <w:p w14:paraId="7DFE23A4">
      <w:pPr>
        <w:spacing w:line="360" w:lineRule="exact"/>
        <w:jc w:val="center"/>
        <w:rPr>
          <w:rFonts w:ascii="黑体" w:eastAsia="黑体"/>
          <w:b/>
          <w:color w:val="auto"/>
          <w:sz w:val="32"/>
          <w:szCs w:val="32"/>
          <w:highlight w:val="none"/>
        </w:rPr>
      </w:pPr>
    </w:p>
    <w:p w14:paraId="6E83DF86">
      <w:pPr>
        <w:spacing w:line="360" w:lineRule="exact"/>
        <w:jc w:val="center"/>
        <w:rPr>
          <w:rFonts w:ascii="黑体" w:eastAsia="黑体"/>
          <w:b/>
          <w:color w:val="auto"/>
          <w:sz w:val="32"/>
          <w:szCs w:val="32"/>
          <w:highlight w:val="none"/>
        </w:rPr>
      </w:pPr>
    </w:p>
    <w:p w14:paraId="527C718C">
      <w:pPr>
        <w:adjustRightInd w:val="0"/>
        <w:snapToGrid w:val="0"/>
        <w:spacing w:line="360" w:lineRule="auto"/>
        <w:rPr>
          <w:rFonts w:ascii="黑体" w:eastAsia="黑体"/>
          <w:color w:val="auto"/>
          <w:sz w:val="32"/>
          <w:szCs w:val="32"/>
          <w:highlight w:val="none"/>
        </w:rPr>
      </w:pPr>
      <w:r>
        <w:rPr>
          <w:color w:val="auto"/>
          <w:highlight w:val="none"/>
        </w:rPr>
        <w:br w:type="page"/>
      </w:r>
    </w:p>
    <w:p w14:paraId="0F7127C6">
      <w:pPr>
        <w:adjustRightInd w:val="0"/>
        <w:snapToGrid w:val="0"/>
        <w:spacing w:line="360" w:lineRule="auto"/>
        <w:jc w:val="center"/>
        <w:rPr>
          <w:rFonts w:ascii="黑体" w:eastAsia="黑体"/>
          <w:color w:val="auto"/>
          <w:sz w:val="32"/>
          <w:szCs w:val="32"/>
          <w:highlight w:val="none"/>
        </w:rPr>
      </w:pPr>
    </w:p>
    <w:p w14:paraId="572BD76C">
      <w:pPr>
        <w:pStyle w:val="11"/>
        <w:adjustRightInd w:val="0"/>
        <w:snapToGrid w:val="0"/>
        <w:spacing w:line="360" w:lineRule="auto"/>
        <w:jc w:val="center"/>
        <w:rPr>
          <w:rFonts w:hAnsi="宋体"/>
          <w:b/>
          <w:bCs/>
          <w:color w:val="auto"/>
          <w:sz w:val="72"/>
          <w:szCs w:val="72"/>
          <w:highlight w:val="none"/>
        </w:rPr>
      </w:pPr>
      <w:r>
        <w:rPr>
          <w:rFonts w:hint="eastAsia" w:hAnsi="宋体"/>
          <w:b/>
          <w:bCs/>
          <w:color w:val="auto"/>
          <w:sz w:val="72"/>
          <w:szCs w:val="72"/>
          <w:highlight w:val="none"/>
        </w:rPr>
        <w:t>政府采购</w:t>
      </w:r>
    </w:p>
    <w:p w14:paraId="1B2591F8">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响 应 文 件</w:t>
      </w:r>
    </w:p>
    <w:p w14:paraId="12B2BFAB">
      <w:pPr>
        <w:adjustRightInd w:val="0"/>
        <w:snapToGrid w:val="0"/>
        <w:spacing w:line="360" w:lineRule="auto"/>
        <w:rPr>
          <w:rFonts w:ascii="黑体" w:hAnsi="黑体" w:eastAsia="黑体"/>
          <w:b/>
          <w:color w:val="auto"/>
          <w:sz w:val="32"/>
          <w:szCs w:val="32"/>
          <w:highlight w:val="none"/>
        </w:rPr>
      </w:pPr>
    </w:p>
    <w:p w14:paraId="2ED5381D">
      <w:pPr>
        <w:adjustRightInd w:val="0"/>
        <w:snapToGrid w:val="0"/>
        <w:spacing w:line="360" w:lineRule="auto"/>
        <w:rPr>
          <w:rFonts w:ascii="宋体" w:hAnsi="宋体"/>
          <w:b/>
          <w:color w:val="auto"/>
          <w:sz w:val="30"/>
          <w:szCs w:val="30"/>
          <w:highlight w:val="none"/>
        </w:rPr>
      </w:pPr>
      <w:r>
        <w:rPr>
          <w:rFonts w:hint="eastAsia" w:ascii="宋体" w:hAnsi="宋体"/>
          <w:b/>
          <w:color w:val="auto"/>
          <w:sz w:val="32"/>
          <w:szCs w:val="32"/>
          <w:highlight w:val="none"/>
        </w:rPr>
        <w:t xml:space="preserve">                     </w:t>
      </w:r>
    </w:p>
    <w:p w14:paraId="49BA910C">
      <w:pPr>
        <w:pStyle w:val="11"/>
        <w:adjustRightInd w:val="0"/>
        <w:snapToGrid w:val="0"/>
        <w:spacing w:line="360" w:lineRule="auto"/>
        <w:ind w:firstLine="1980" w:firstLineChars="660"/>
        <w:rPr>
          <w:rFonts w:hAnsi="宋体"/>
          <w:b/>
          <w:bCs/>
          <w:color w:val="auto"/>
          <w:sz w:val="30"/>
          <w:szCs w:val="30"/>
          <w:highlight w:val="none"/>
          <w:u w:val="single"/>
        </w:rPr>
      </w:pPr>
      <w:r>
        <w:rPr>
          <w:rFonts w:hint="eastAsia" w:hAnsi="宋体"/>
          <w:b/>
          <w:bCs/>
          <w:color w:val="auto"/>
          <w:sz w:val="30"/>
          <w:szCs w:val="30"/>
          <w:highlight w:val="none"/>
        </w:rPr>
        <w:t>采购项目名称</w:t>
      </w:r>
      <w:r>
        <w:rPr>
          <w:rFonts w:hint="eastAsia" w:hAnsi="宋体"/>
          <w:b/>
          <w:bCs/>
          <w:color w:val="auto"/>
          <w:sz w:val="30"/>
          <w:szCs w:val="30"/>
          <w:highlight w:val="none"/>
          <w:lang w:eastAsia="zh-CN"/>
        </w:rPr>
        <w:t>：</w:t>
      </w:r>
      <w:r>
        <w:rPr>
          <w:rFonts w:hint="eastAsia" w:hAnsi="宋体"/>
          <w:b/>
          <w:bCs/>
          <w:color w:val="auto"/>
          <w:sz w:val="30"/>
          <w:szCs w:val="30"/>
          <w:highlight w:val="none"/>
          <w:u w:val="single"/>
        </w:rPr>
        <w:t xml:space="preserve">                       </w:t>
      </w:r>
    </w:p>
    <w:p w14:paraId="0CB146E0">
      <w:pPr>
        <w:pStyle w:val="11"/>
        <w:adjustRightInd w:val="0"/>
        <w:snapToGrid w:val="0"/>
        <w:spacing w:line="360" w:lineRule="auto"/>
        <w:ind w:firstLine="1980" w:firstLineChars="660"/>
        <w:rPr>
          <w:rFonts w:hAnsi="宋体"/>
          <w:b/>
          <w:bCs/>
          <w:color w:val="auto"/>
          <w:sz w:val="30"/>
          <w:szCs w:val="30"/>
          <w:highlight w:val="none"/>
        </w:rPr>
      </w:pPr>
      <w:r>
        <w:rPr>
          <w:rFonts w:hint="eastAsia" w:hAnsi="宋体"/>
          <w:b/>
          <w:bCs/>
          <w:color w:val="auto"/>
          <w:sz w:val="30"/>
          <w:szCs w:val="30"/>
          <w:highlight w:val="none"/>
        </w:rPr>
        <w:t>采   购   人：</w:t>
      </w:r>
      <w:r>
        <w:rPr>
          <w:rFonts w:hint="eastAsia" w:hAnsi="宋体"/>
          <w:b/>
          <w:bCs/>
          <w:color w:val="auto"/>
          <w:sz w:val="30"/>
          <w:szCs w:val="30"/>
          <w:highlight w:val="none"/>
          <w:u w:val="single"/>
        </w:rPr>
        <w:t xml:space="preserve">                       </w:t>
      </w:r>
    </w:p>
    <w:p w14:paraId="6BDA3DE3">
      <w:pPr>
        <w:pStyle w:val="11"/>
        <w:adjustRightInd w:val="0"/>
        <w:snapToGrid w:val="0"/>
        <w:spacing w:line="360" w:lineRule="auto"/>
        <w:ind w:firstLine="1980" w:firstLineChars="660"/>
        <w:rPr>
          <w:rFonts w:hAnsi="宋体"/>
          <w:b/>
          <w:bCs/>
          <w:color w:val="auto"/>
          <w:sz w:val="30"/>
          <w:szCs w:val="30"/>
          <w:highlight w:val="none"/>
          <w:u w:val="single"/>
        </w:rPr>
      </w:pPr>
      <w:r>
        <w:rPr>
          <w:rFonts w:hint="eastAsia" w:hAnsi="宋体"/>
          <w:b/>
          <w:bCs/>
          <w:color w:val="auto"/>
          <w:sz w:val="30"/>
          <w:szCs w:val="30"/>
          <w:highlight w:val="none"/>
          <w:lang w:eastAsia="zh-CN"/>
        </w:rPr>
        <w:t>采购项目编号：</w:t>
      </w:r>
      <w:r>
        <w:rPr>
          <w:rFonts w:hint="eastAsia" w:hAnsi="宋体"/>
          <w:b/>
          <w:bCs/>
          <w:color w:val="auto"/>
          <w:sz w:val="30"/>
          <w:szCs w:val="30"/>
          <w:highlight w:val="none"/>
          <w:u w:val="single"/>
        </w:rPr>
        <w:t xml:space="preserve">                       </w:t>
      </w:r>
    </w:p>
    <w:p w14:paraId="188A3191">
      <w:pPr>
        <w:pStyle w:val="11"/>
        <w:adjustRightInd w:val="0"/>
        <w:snapToGrid w:val="0"/>
        <w:spacing w:line="360" w:lineRule="auto"/>
        <w:ind w:firstLine="1980" w:firstLineChars="660"/>
        <w:rPr>
          <w:rFonts w:hAnsi="宋体"/>
          <w:b/>
          <w:bCs/>
          <w:color w:val="auto"/>
          <w:sz w:val="30"/>
          <w:szCs w:val="30"/>
          <w:highlight w:val="none"/>
        </w:rPr>
      </w:pPr>
      <w:r>
        <w:rPr>
          <w:rFonts w:hint="eastAsia" w:hAnsi="宋体"/>
          <w:b/>
          <w:bCs/>
          <w:color w:val="auto"/>
          <w:sz w:val="30"/>
          <w:szCs w:val="30"/>
          <w:highlight w:val="none"/>
        </w:rPr>
        <w:t>代理机构编号：</w:t>
      </w:r>
      <w:r>
        <w:rPr>
          <w:rFonts w:hint="eastAsia" w:hAnsi="宋体"/>
          <w:b/>
          <w:bCs/>
          <w:color w:val="auto"/>
          <w:sz w:val="30"/>
          <w:szCs w:val="30"/>
          <w:highlight w:val="none"/>
          <w:u w:val="single"/>
        </w:rPr>
        <w:t xml:space="preserve">                       </w:t>
      </w:r>
    </w:p>
    <w:p w14:paraId="57AD0B28">
      <w:pPr>
        <w:pStyle w:val="11"/>
        <w:adjustRightInd w:val="0"/>
        <w:snapToGrid w:val="0"/>
        <w:spacing w:line="360" w:lineRule="auto"/>
        <w:ind w:firstLine="1980" w:firstLineChars="660"/>
        <w:rPr>
          <w:rFonts w:hAnsi="宋体"/>
          <w:b/>
          <w:bCs/>
          <w:color w:val="auto"/>
          <w:sz w:val="30"/>
          <w:szCs w:val="30"/>
          <w:highlight w:val="none"/>
          <w:u w:val="single"/>
        </w:rPr>
      </w:pPr>
      <w:r>
        <w:rPr>
          <w:rFonts w:hint="eastAsia" w:hAnsi="宋体"/>
          <w:b/>
          <w:bCs/>
          <w:color w:val="auto"/>
          <w:sz w:val="30"/>
          <w:szCs w:val="30"/>
          <w:highlight w:val="none"/>
        </w:rPr>
        <w:t>采购代理机构：</w:t>
      </w:r>
      <w:r>
        <w:rPr>
          <w:rFonts w:hint="eastAsia" w:hAnsi="宋体"/>
          <w:b/>
          <w:bCs/>
          <w:color w:val="auto"/>
          <w:sz w:val="30"/>
          <w:szCs w:val="30"/>
          <w:highlight w:val="none"/>
          <w:u w:val="single"/>
        </w:rPr>
        <w:t xml:space="preserve">                      </w:t>
      </w:r>
    </w:p>
    <w:p w14:paraId="5CC0C92F">
      <w:pPr>
        <w:adjustRightInd w:val="0"/>
        <w:snapToGrid w:val="0"/>
        <w:spacing w:line="360" w:lineRule="auto"/>
        <w:rPr>
          <w:rFonts w:ascii="黑体" w:hAnsi="黑体" w:eastAsia="黑体"/>
          <w:color w:val="auto"/>
          <w:sz w:val="30"/>
          <w:szCs w:val="30"/>
          <w:highlight w:val="none"/>
        </w:rPr>
      </w:pPr>
    </w:p>
    <w:p w14:paraId="6760B88D">
      <w:pPr>
        <w:adjustRightInd w:val="0"/>
        <w:snapToGrid w:val="0"/>
        <w:rPr>
          <w:rFonts w:ascii="黑体" w:hAnsi="宋体" w:eastAsia="黑体"/>
          <w:color w:val="auto"/>
          <w:sz w:val="30"/>
          <w:szCs w:val="30"/>
          <w:highlight w:val="none"/>
        </w:rPr>
      </w:pPr>
    </w:p>
    <w:p w14:paraId="23A6FCCF">
      <w:pPr>
        <w:adjustRightInd w:val="0"/>
        <w:snapToGrid w:val="0"/>
        <w:spacing w:line="360" w:lineRule="auto"/>
        <w:rPr>
          <w:rFonts w:ascii="黑体" w:hAnsi="宋体" w:eastAsia="黑体"/>
          <w:color w:val="auto"/>
          <w:sz w:val="30"/>
          <w:szCs w:val="30"/>
          <w:highlight w:val="none"/>
        </w:rPr>
      </w:pPr>
    </w:p>
    <w:p w14:paraId="11CA0BE5">
      <w:pPr>
        <w:adjustRightInd w:val="0"/>
        <w:snapToGrid w:val="0"/>
        <w:spacing w:line="360" w:lineRule="auto"/>
        <w:rPr>
          <w:rFonts w:ascii="黑体" w:hAnsi="宋体" w:eastAsia="黑体"/>
          <w:color w:val="auto"/>
          <w:sz w:val="30"/>
          <w:szCs w:val="30"/>
          <w:highlight w:val="none"/>
        </w:rPr>
      </w:pPr>
    </w:p>
    <w:p w14:paraId="4E0E5F15">
      <w:pPr>
        <w:adjustRightInd w:val="0"/>
        <w:snapToGrid w:val="0"/>
        <w:spacing w:line="360" w:lineRule="auto"/>
        <w:rPr>
          <w:rFonts w:ascii="黑体" w:hAnsi="宋体" w:eastAsia="黑体"/>
          <w:color w:val="auto"/>
          <w:sz w:val="30"/>
          <w:szCs w:val="30"/>
          <w:highlight w:val="none"/>
        </w:rPr>
      </w:pPr>
    </w:p>
    <w:p w14:paraId="4BF9D364">
      <w:pPr>
        <w:adjustRightInd w:val="0"/>
        <w:snapToGrid w:val="0"/>
        <w:spacing w:line="360" w:lineRule="auto"/>
        <w:ind w:firstLine="1984" w:firstLineChars="620"/>
        <w:rPr>
          <w:rFonts w:ascii="黑体" w:hAnsi="黑体" w:eastAsia="黑体"/>
          <w:color w:val="auto"/>
          <w:sz w:val="32"/>
          <w:szCs w:val="32"/>
          <w:highlight w:val="none"/>
          <w:u w:val="single"/>
        </w:rPr>
      </w:pPr>
      <w:r>
        <w:rPr>
          <w:rFonts w:hint="eastAsia" w:ascii="黑体" w:hAnsi="黑体" w:eastAsia="黑体"/>
          <w:color w:val="auto"/>
          <w:sz w:val="32"/>
          <w:szCs w:val="32"/>
          <w:highlight w:val="none"/>
        </w:rPr>
        <w:t>供应商：</w:t>
      </w:r>
      <w:r>
        <w:rPr>
          <w:rFonts w:hint="eastAsia" w:ascii="黑体" w:hAnsi="黑体" w:eastAsia="黑体"/>
          <w:color w:val="auto"/>
          <w:sz w:val="32"/>
          <w:szCs w:val="32"/>
          <w:highlight w:val="none"/>
          <w:u w:val="single"/>
        </w:rPr>
        <w:t xml:space="preserve">                         </w:t>
      </w:r>
    </w:p>
    <w:p w14:paraId="092AC164">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年  月  日</w:t>
      </w:r>
    </w:p>
    <w:p w14:paraId="411DFC7C">
      <w:pPr>
        <w:widowControl/>
        <w:jc w:val="left"/>
        <w:rPr>
          <w:color w:val="auto"/>
          <w:highlight w:val="none"/>
        </w:rPr>
      </w:pPr>
      <w:r>
        <w:rPr>
          <w:color w:val="auto"/>
          <w:highlight w:val="none"/>
        </w:rPr>
        <w:br w:type="page"/>
      </w:r>
    </w:p>
    <w:p w14:paraId="27EF8794">
      <w:pPr>
        <w:pStyle w:val="5"/>
        <w:rPr>
          <w:rFonts w:ascii="宋体" w:hAnsi="宋体"/>
          <w:color w:val="auto"/>
          <w:sz w:val="21"/>
          <w:szCs w:val="21"/>
          <w:highlight w:val="none"/>
        </w:rPr>
      </w:pPr>
      <w:bookmarkStart w:id="59" w:name="_Toc34637789"/>
      <w:bookmarkStart w:id="60" w:name="_Toc22201151"/>
      <w:bookmarkStart w:id="61" w:name="_Toc3595"/>
      <w:r>
        <w:rPr>
          <w:rFonts w:hint="eastAsia" w:ascii="宋体" w:hAnsi="宋体"/>
          <w:color w:val="auto"/>
          <w:sz w:val="21"/>
          <w:szCs w:val="21"/>
          <w:highlight w:val="none"/>
        </w:rPr>
        <w:t>索引表 符合性审查索引表</w:t>
      </w:r>
      <w:bookmarkEnd w:id="59"/>
      <w:bookmarkEnd w:id="60"/>
      <w:bookmarkEnd w:id="61"/>
    </w:p>
    <w:p w14:paraId="31FBF5DE">
      <w:pPr>
        <w:adjustRightInd w:val="0"/>
        <w:spacing w:before="156"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符合性审查索引表</w:t>
      </w:r>
    </w:p>
    <w:tbl>
      <w:tblPr>
        <w:tblStyle w:val="19"/>
        <w:tblW w:w="969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34"/>
        <w:gridCol w:w="3118"/>
        <w:gridCol w:w="3391"/>
        <w:gridCol w:w="2654"/>
      </w:tblGrid>
      <w:tr w14:paraId="5E4135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1" w:hRule="atLeast"/>
        </w:trPr>
        <w:tc>
          <w:tcPr>
            <w:tcW w:w="534" w:type="dxa"/>
            <w:vAlign w:val="center"/>
          </w:tcPr>
          <w:p w14:paraId="08E33F75">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3118" w:type="dxa"/>
            <w:tcBorders>
              <w:right w:val="single" w:color="auto" w:sz="4" w:space="0"/>
            </w:tcBorders>
            <w:vAlign w:val="center"/>
          </w:tcPr>
          <w:p w14:paraId="2687C89F">
            <w:pPr>
              <w:jc w:val="center"/>
              <w:rPr>
                <w:rFonts w:ascii="宋体" w:hAnsi="宋体"/>
                <w:b/>
                <w:color w:val="auto"/>
                <w:kern w:val="0"/>
                <w:sz w:val="20"/>
                <w:szCs w:val="21"/>
                <w:highlight w:val="none"/>
              </w:rPr>
            </w:pPr>
            <w:r>
              <w:rPr>
                <w:rFonts w:hint="eastAsia" w:ascii="宋体" w:hAnsi="宋体" w:cs="宋体"/>
                <w:b/>
                <w:color w:val="auto"/>
                <w:sz w:val="24"/>
                <w:highlight w:val="none"/>
              </w:rPr>
              <w:t>符合性审查内容</w:t>
            </w:r>
          </w:p>
        </w:tc>
        <w:tc>
          <w:tcPr>
            <w:tcW w:w="3391" w:type="dxa"/>
            <w:tcBorders>
              <w:left w:val="single" w:color="auto" w:sz="4" w:space="0"/>
            </w:tcBorders>
            <w:vAlign w:val="center"/>
          </w:tcPr>
          <w:p w14:paraId="47E2B728">
            <w:pPr>
              <w:jc w:val="center"/>
              <w:rPr>
                <w:rFonts w:ascii="宋体" w:hAnsi="宋体"/>
                <w:b/>
                <w:color w:val="auto"/>
                <w:kern w:val="0"/>
                <w:sz w:val="20"/>
                <w:szCs w:val="21"/>
                <w:highlight w:val="none"/>
              </w:rPr>
            </w:pPr>
            <w:r>
              <w:rPr>
                <w:rFonts w:hint="eastAsia" w:ascii="宋体" w:hAnsi="宋体" w:cs="宋体"/>
                <w:b/>
                <w:color w:val="auto"/>
                <w:sz w:val="24"/>
                <w:highlight w:val="none"/>
              </w:rPr>
              <w:t>评审标准</w:t>
            </w:r>
          </w:p>
        </w:tc>
        <w:tc>
          <w:tcPr>
            <w:tcW w:w="2654" w:type="dxa"/>
            <w:tcBorders>
              <w:left w:val="single" w:color="auto" w:sz="4" w:space="0"/>
            </w:tcBorders>
            <w:vAlign w:val="center"/>
          </w:tcPr>
          <w:p w14:paraId="4BB8F301">
            <w:pPr>
              <w:jc w:val="center"/>
              <w:rPr>
                <w:rFonts w:ascii="宋体" w:hAnsi="宋体" w:cs="宋体"/>
                <w:b/>
                <w:color w:val="auto"/>
                <w:sz w:val="24"/>
                <w:highlight w:val="none"/>
              </w:rPr>
            </w:pPr>
            <w:r>
              <w:rPr>
                <w:rFonts w:hint="eastAsia" w:ascii="宋体" w:hAnsi="宋体" w:cs="宋体"/>
                <w:b/>
                <w:bCs/>
                <w:color w:val="auto"/>
                <w:sz w:val="24"/>
                <w:highlight w:val="none"/>
              </w:rPr>
              <w:t>响应文件对应内容的册及页码</w:t>
            </w:r>
          </w:p>
        </w:tc>
      </w:tr>
      <w:tr w14:paraId="4BB6D9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8" w:hRule="atLeast"/>
        </w:trPr>
        <w:tc>
          <w:tcPr>
            <w:tcW w:w="534" w:type="dxa"/>
            <w:vAlign w:val="center"/>
          </w:tcPr>
          <w:p w14:paraId="024A9048">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b/>
                <w:color w:val="auto"/>
                <w:kern w:val="0"/>
                <w:szCs w:val="21"/>
                <w:highlight w:val="none"/>
              </w:rPr>
              <w:t>1</w:t>
            </w:r>
          </w:p>
        </w:tc>
        <w:tc>
          <w:tcPr>
            <w:tcW w:w="3118" w:type="dxa"/>
            <w:tcBorders>
              <w:right w:val="single" w:color="auto" w:sz="4" w:space="0"/>
            </w:tcBorders>
            <w:vAlign w:val="center"/>
          </w:tcPr>
          <w:p w14:paraId="516A07B3">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bCs/>
                <w:color w:val="auto"/>
                <w:szCs w:val="21"/>
                <w:highlight w:val="none"/>
              </w:rPr>
              <w:t>投标有效期</w:t>
            </w:r>
          </w:p>
        </w:tc>
        <w:tc>
          <w:tcPr>
            <w:tcW w:w="3391" w:type="dxa"/>
            <w:tcBorders>
              <w:left w:val="single" w:color="auto" w:sz="4" w:space="0"/>
            </w:tcBorders>
            <w:vAlign w:val="center"/>
          </w:tcPr>
          <w:p w14:paraId="26F7E3DF">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响应磋商文件的规定</w:t>
            </w:r>
          </w:p>
        </w:tc>
        <w:tc>
          <w:tcPr>
            <w:tcW w:w="2654" w:type="dxa"/>
            <w:tcBorders>
              <w:left w:val="single" w:color="auto" w:sz="4" w:space="0"/>
            </w:tcBorders>
          </w:tcPr>
          <w:p w14:paraId="2C8D1AAD">
            <w:pPr>
              <w:spacing w:line="240" w:lineRule="exact"/>
              <w:ind w:left="-52" w:leftChars="-25" w:right="-52" w:rightChars="-25"/>
              <w:jc w:val="center"/>
              <w:rPr>
                <w:rFonts w:ascii="宋体" w:hAnsi="宋体" w:cs="宋体"/>
                <w:color w:val="auto"/>
                <w:szCs w:val="21"/>
                <w:highlight w:val="none"/>
              </w:rPr>
            </w:pPr>
          </w:p>
        </w:tc>
      </w:tr>
      <w:tr w14:paraId="13BAF7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534" w:type="dxa"/>
            <w:vAlign w:val="top"/>
          </w:tcPr>
          <w:p w14:paraId="790028C7">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2</w:t>
            </w:r>
          </w:p>
        </w:tc>
        <w:tc>
          <w:tcPr>
            <w:tcW w:w="3118" w:type="dxa"/>
            <w:tcBorders>
              <w:right w:val="single" w:color="auto" w:sz="4" w:space="0"/>
            </w:tcBorders>
            <w:vAlign w:val="center"/>
          </w:tcPr>
          <w:p w14:paraId="1C5D9A18">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bCs/>
                <w:color w:val="auto"/>
                <w:szCs w:val="21"/>
                <w:highlight w:val="none"/>
              </w:rPr>
              <w:t>响应文件的签署与盖章</w:t>
            </w:r>
          </w:p>
        </w:tc>
        <w:tc>
          <w:tcPr>
            <w:tcW w:w="3391" w:type="dxa"/>
            <w:tcBorders>
              <w:left w:val="single" w:color="auto" w:sz="4" w:space="0"/>
            </w:tcBorders>
            <w:vAlign w:val="center"/>
          </w:tcPr>
          <w:p w14:paraId="335C7952">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按照磋商文件的规定盖章与签署</w:t>
            </w:r>
          </w:p>
        </w:tc>
        <w:tc>
          <w:tcPr>
            <w:tcW w:w="2654" w:type="dxa"/>
            <w:tcBorders>
              <w:left w:val="single" w:color="auto" w:sz="4" w:space="0"/>
            </w:tcBorders>
          </w:tcPr>
          <w:p w14:paraId="444FC89D">
            <w:pPr>
              <w:spacing w:line="240" w:lineRule="exact"/>
              <w:ind w:left="-52" w:leftChars="-25" w:right="-52" w:rightChars="-25"/>
              <w:jc w:val="center"/>
              <w:rPr>
                <w:rFonts w:ascii="宋体" w:hAnsi="宋体" w:cs="宋体"/>
                <w:color w:val="auto"/>
                <w:szCs w:val="21"/>
                <w:highlight w:val="none"/>
              </w:rPr>
            </w:pPr>
          </w:p>
        </w:tc>
      </w:tr>
      <w:tr w14:paraId="139DD0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1" w:hRule="atLeast"/>
        </w:trPr>
        <w:tc>
          <w:tcPr>
            <w:tcW w:w="534" w:type="dxa"/>
            <w:vAlign w:val="top"/>
          </w:tcPr>
          <w:p w14:paraId="05E447BF">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3</w:t>
            </w:r>
          </w:p>
        </w:tc>
        <w:tc>
          <w:tcPr>
            <w:tcW w:w="3118" w:type="dxa"/>
            <w:tcBorders>
              <w:right w:val="single" w:color="auto" w:sz="4" w:space="0"/>
            </w:tcBorders>
            <w:vAlign w:val="center"/>
          </w:tcPr>
          <w:p w14:paraId="7763E914">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bCs/>
                <w:color w:val="auto"/>
                <w:szCs w:val="21"/>
                <w:highlight w:val="none"/>
              </w:rPr>
              <w:t>投标报价</w:t>
            </w:r>
          </w:p>
        </w:tc>
        <w:tc>
          <w:tcPr>
            <w:tcW w:w="3391" w:type="dxa"/>
            <w:tcBorders>
              <w:left w:val="single" w:color="auto" w:sz="4" w:space="0"/>
            </w:tcBorders>
            <w:vAlign w:val="center"/>
          </w:tcPr>
          <w:p w14:paraId="149DD990">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未超过磋商文件规定的上限价或经磋商小组认定低于成本价的</w:t>
            </w:r>
          </w:p>
        </w:tc>
        <w:tc>
          <w:tcPr>
            <w:tcW w:w="2654" w:type="dxa"/>
            <w:tcBorders>
              <w:left w:val="single" w:color="auto" w:sz="4" w:space="0"/>
            </w:tcBorders>
          </w:tcPr>
          <w:p w14:paraId="7AC76030">
            <w:pPr>
              <w:spacing w:line="240" w:lineRule="exact"/>
              <w:ind w:left="-52" w:leftChars="-25" w:right="-52" w:rightChars="-25"/>
              <w:jc w:val="center"/>
              <w:rPr>
                <w:rFonts w:ascii="宋体" w:hAnsi="宋体" w:cs="宋体"/>
                <w:color w:val="auto"/>
                <w:szCs w:val="21"/>
                <w:highlight w:val="none"/>
              </w:rPr>
            </w:pPr>
          </w:p>
        </w:tc>
      </w:tr>
      <w:tr w14:paraId="165D6D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534" w:type="dxa"/>
            <w:vAlign w:val="top"/>
          </w:tcPr>
          <w:p w14:paraId="013F51DA">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4</w:t>
            </w:r>
          </w:p>
        </w:tc>
        <w:tc>
          <w:tcPr>
            <w:tcW w:w="3118" w:type="dxa"/>
            <w:tcBorders>
              <w:right w:val="single" w:color="auto" w:sz="4" w:space="0"/>
            </w:tcBorders>
            <w:vAlign w:val="center"/>
          </w:tcPr>
          <w:p w14:paraId="0318DC8B">
            <w:pPr>
              <w:spacing w:line="240" w:lineRule="exact"/>
              <w:ind w:left="-52" w:leftChars="-25" w:right="-52" w:rightChars="-25"/>
              <w:jc w:val="center"/>
              <w:rPr>
                <w:rFonts w:hint="eastAsia" w:ascii="宋体" w:hAnsi="宋体" w:eastAsia="宋体"/>
                <w:color w:val="auto"/>
                <w:kern w:val="0"/>
                <w:sz w:val="20"/>
                <w:szCs w:val="21"/>
                <w:highlight w:val="none"/>
                <w:lang w:eastAsia="zh-CN"/>
              </w:rPr>
            </w:pPr>
            <w:r>
              <w:rPr>
                <w:rFonts w:hint="eastAsia" w:ascii="宋体" w:hAnsi="宋体" w:cs="宋体"/>
                <w:bCs/>
                <w:color w:val="auto"/>
                <w:szCs w:val="21"/>
                <w:highlight w:val="none"/>
              </w:rPr>
              <w:t>质量保证期</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缺陷责任期</w:t>
            </w:r>
            <w:bookmarkStart w:id="102" w:name="_GoBack"/>
            <w:bookmarkEnd w:id="102"/>
            <w:r>
              <w:rPr>
                <w:rFonts w:hint="eastAsia" w:ascii="宋体" w:hAnsi="宋体" w:cs="宋体"/>
                <w:bCs/>
                <w:color w:val="auto"/>
                <w:szCs w:val="21"/>
                <w:highlight w:val="none"/>
                <w:lang w:eastAsia="zh-CN"/>
              </w:rPr>
              <w:t>）</w:t>
            </w:r>
          </w:p>
        </w:tc>
        <w:tc>
          <w:tcPr>
            <w:tcW w:w="3391" w:type="dxa"/>
            <w:tcBorders>
              <w:left w:val="single" w:color="auto" w:sz="4" w:space="0"/>
            </w:tcBorders>
            <w:vAlign w:val="center"/>
          </w:tcPr>
          <w:p w14:paraId="0814F5BE">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响应磋商文件的规定</w:t>
            </w:r>
          </w:p>
        </w:tc>
        <w:tc>
          <w:tcPr>
            <w:tcW w:w="2654" w:type="dxa"/>
            <w:tcBorders>
              <w:left w:val="single" w:color="auto" w:sz="4" w:space="0"/>
            </w:tcBorders>
          </w:tcPr>
          <w:p w14:paraId="6B0343FD">
            <w:pPr>
              <w:spacing w:line="240" w:lineRule="exact"/>
              <w:ind w:left="-52" w:leftChars="-25" w:right="-52" w:rightChars="-25"/>
              <w:jc w:val="center"/>
              <w:rPr>
                <w:rFonts w:ascii="宋体" w:hAnsi="宋体" w:cs="宋体"/>
                <w:color w:val="auto"/>
                <w:szCs w:val="21"/>
                <w:highlight w:val="none"/>
              </w:rPr>
            </w:pPr>
          </w:p>
        </w:tc>
      </w:tr>
      <w:tr w14:paraId="58FDE0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534" w:type="dxa"/>
            <w:vAlign w:val="top"/>
          </w:tcPr>
          <w:p w14:paraId="68BD024A">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5</w:t>
            </w:r>
          </w:p>
        </w:tc>
        <w:tc>
          <w:tcPr>
            <w:tcW w:w="3118" w:type="dxa"/>
            <w:tcBorders>
              <w:right w:val="single" w:color="auto" w:sz="4" w:space="0"/>
            </w:tcBorders>
            <w:vAlign w:val="center"/>
          </w:tcPr>
          <w:p w14:paraId="6175D5DF">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bCs/>
                <w:color w:val="auto"/>
                <w:szCs w:val="21"/>
                <w:highlight w:val="none"/>
              </w:rPr>
              <w:t>付款条件</w:t>
            </w:r>
          </w:p>
        </w:tc>
        <w:tc>
          <w:tcPr>
            <w:tcW w:w="3391" w:type="dxa"/>
            <w:tcBorders>
              <w:left w:val="single" w:color="auto" w:sz="4" w:space="0"/>
            </w:tcBorders>
            <w:vAlign w:val="center"/>
          </w:tcPr>
          <w:p w14:paraId="1FD329F8">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响应磋商文件的规定</w:t>
            </w:r>
          </w:p>
        </w:tc>
        <w:tc>
          <w:tcPr>
            <w:tcW w:w="2654" w:type="dxa"/>
            <w:tcBorders>
              <w:left w:val="single" w:color="auto" w:sz="4" w:space="0"/>
            </w:tcBorders>
          </w:tcPr>
          <w:p w14:paraId="51608DFA">
            <w:pPr>
              <w:spacing w:line="240" w:lineRule="exact"/>
              <w:ind w:left="-52" w:leftChars="-25" w:right="-52" w:rightChars="-25"/>
              <w:jc w:val="center"/>
              <w:rPr>
                <w:rFonts w:ascii="宋体" w:hAnsi="宋体" w:cs="宋体"/>
                <w:color w:val="auto"/>
                <w:szCs w:val="21"/>
                <w:highlight w:val="none"/>
              </w:rPr>
            </w:pPr>
          </w:p>
        </w:tc>
      </w:tr>
      <w:tr w14:paraId="568724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1" w:hRule="atLeast"/>
        </w:trPr>
        <w:tc>
          <w:tcPr>
            <w:tcW w:w="534" w:type="dxa"/>
            <w:vAlign w:val="top"/>
          </w:tcPr>
          <w:p w14:paraId="018AF3AB">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6</w:t>
            </w:r>
          </w:p>
        </w:tc>
        <w:tc>
          <w:tcPr>
            <w:tcW w:w="3118" w:type="dxa"/>
            <w:tcBorders>
              <w:right w:val="single" w:color="auto" w:sz="4" w:space="0"/>
            </w:tcBorders>
            <w:vAlign w:val="center"/>
          </w:tcPr>
          <w:p w14:paraId="5FC8D035">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bCs/>
                <w:color w:val="auto"/>
                <w:szCs w:val="21"/>
                <w:highlight w:val="none"/>
              </w:rPr>
              <w:t>是否有采购人不能接受的条件</w:t>
            </w:r>
          </w:p>
        </w:tc>
        <w:tc>
          <w:tcPr>
            <w:tcW w:w="3391" w:type="dxa"/>
            <w:tcBorders>
              <w:left w:val="single" w:color="auto" w:sz="4" w:space="0"/>
            </w:tcBorders>
            <w:vAlign w:val="center"/>
          </w:tcPr>
          <w:p w14:paraId="525FD848">
            <w:pPr>
              <w:spacing w:line="240" w:lineRule="exact"/>
              <w:ind w:left="-52" w:leftChars="-25" w:right="-52" w:rightChars="-25"/>
              <w:jc w:val="center"/>
              <w:rPr>
                <w:rFonts w:ascii="宋体" w:hAnsi="宋体"/>
                <w:color w:val="auto"/>
                <w:kern w:val="0"/>
                <w:sz w:val="20"/>
                <w:szCs w:val="21"/>
                <w:highlight w:val="none"/>
              </w:rPr>
            </w:pPr>
          </w:p>
        </w:tc>
        <w:tc>
          <w:tcPr>
            <w:tcW w:w="2654" w:type="dxa"/>
            <w:tcBorders>
              <w:left w:val="single" w:color="auto" w:sz="4" w:space="0"/>
            </w:tcBorders>
          </w:tcPr>
          <w:p w14:paraId="437D11F4">
            <w:pPr>
              <w:spacing w:line="240" w:lineRule="exact"/>
              <w:ind w:left="-52" w:leftChars="-25" w:right="-52" w:rightChars="-25"/>
              <w:jc w:val="center"/>
              <w:rPr>
                <w:rFonts w:ascii="宋体" w:hAnsi="宋体"/>
                <w:color w:val="auto"/>
                <w:kern w:val="0"/>
                <w:sz w:val="20"/>
                <w:szCs w:val="21"/>
                <w:highlight w:val="none"/>
              </w:rPr>
            </w:pPr>
          </w:p>
        </w:tc>
      </w:tr>
      <w:tr w14:paraId="39D7EE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534" w:type="dxa"/>
            <w:vAlign w:val="top"/>
          </w:tcPr>
          <w:p w14:paraId="1CD0199C">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7</w:t>
            </w:r>
          </w:p>
        </w:tc>
        <w:tc>
          <w:tcPr>
            <w:tcW w:w="3118" w:type="dxa"/>
            <w:tcBorders>
              <w:right w:val="single" w:color="auto" w:sz="4" w:space="0"/>
            </w:tcBorders>
            <w:vAlign w:val="center"/>
          </w:tcPr>
          <w:p w14:paraId="3BAEE727">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bCs/>
                <w:color w:val="auto"/>
                <w:szCs w:val="21"/>
                <w:highlight w:val="none"/>
              </w:rPr>
              <w:t>磋商文件中</w:t>
            </w:r>
            <w:r>
              <w:rPr>
                <w:rFonts w:hint="eastAsia" w:ascii="宋体" w:hAnsi="宋体" w:cs="宋体"/>
                <w:color w:val="auto"/>
                <w:szCs w:val="21"/>
                <w:highlight w:val="none"/>
              </w:rPr>
              <w:t>标有“★”记号或者</w:t>
            </w:r>
            <w:r>
              <w:rPr>
                <w:rFonts w:hint="eastAsia" w:ascii="宋体" w:hAnsi="宋体" w:cs="宋体"/>
                <w:bCs/>
                <w:color w:val="auto"/>
                <w:szCs w:val="21"/>
                <w:highlight w:val="none"/>
              </w:rPr>
              <w:t>其他特别标明的实质性商务条款</w:t>
            </w:r>
          </w:p>
        </w:tc>
        <w:tc>
          <w:tcPr>
            <w:tcW w:w="3391" w:type="dxa"/>
            <w:tcBorders>
              <w:left w:val="single" w:color="auto" w:sz="4" w:space="0"/>
            </w:tcBorders>
            <w:vAlign w:val="center"/>
          </w:tcPr>
          <w:p w14:paraId="0067E053">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响应磋商文件的规定</w:t>
            </w:r>
          </w:p>
        </w:tc>
        <w:tc>
          <w:tcPr>
            <w:tcW w:w="2654" w:type="dxa"/>
            <w:tcBorders>
              <w:left w:val="single" w:color="auto" w:sz="4" w:space="0"/>
            </w:tcBorders>
          </w:tcPr>
          <w:p w14:paraId="12D82962">
            <w:pPr>
              <w:spacing w:line="240" w:lineRule="exact"/>
              <w:ind w:left="-52" w:leftChars="-25" w:right="-52" w:rightChars="-25"/>
              <w:jc w:val="center"/>
              <w:rPr>
                <w:rFonts w:ascii="宋体" w:hAnsi="宋体" w:cs="宋体"/>
                <w:color w:val="auto"/>
                <w:szCs w:val="21"/>
                <w:highlight w:val="none"/>
              </w:rPr>
            </w:pPr>
          </w:p>
        </w:tc>
      </w:tr>
      <w:tr w14:paraId="5CE8DA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7" w:hRule="atLeast"/>
        </w:trPr>
        <w:tc>
          <w:tcPr>
            <w:tcW w:w="534" w:type="dxa"/>
            <w:vAlign w:val="top"/>
          </w:tcPr>
          <w:p w14:paraId="476DA404">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8</w:t>
            </w:r>
          </w:p>
        </w:tc>
        <w:tc>
          <w:tcPr>
            <w:tcW w:w="3118" w:type="dxa"/>
            <w:tcBorders>
              <w:right w:val="single" w:color="auto" w:sz="4" w:space="0"/>
            </w:tcBorders>
            <w:vAlign w:val="center"/>
          </w:tcPr>
          <w:p w14:paraId="2E6D8EAD">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《技术规格、参数与要求》中标有“★”记号或者其他特别标明的实质性技术条款</w:t>
            </w:r>
          </w:p>
        </w:tc>
        <w:tc>
          <w:tcPr>
            <w:tcW w:w="3391" w:type="dxa"/>
            <w:tcBorders>
              <w:left w:val="single" w:color="auto" w:sz="4" w:space="0"/>
            </w:tcBorders>
            <w:vAlign w:val="center"/>
          </w:tcPr>
          <w:p w14:paraId="04233F12">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响应磋商文件的规定</w:t>
            </w:r>
          </w:p>
        </w:tc>
        <w:tc>
          <w:tcPr>
            <w:tcW w:w="2654" w:type="dxa"/>
            <w:tcBorders>
              <w:left w:val="single" w:color="auto" w:sz="4" w:space="0"/>
            </w:tcBorders>
          </w:tcPr>
          <w:p w14:paraId="561AED68">
            <w:pPr>
              <w:spacing w:line="240" w:lineRule="exact"/>
              <w:ind w:left="-52" w:leftChars="-25" w:right="-52" w:rightChars="-25"/>
              <w:jc w:val="center"/>
              <w:rPr>
                <w:rFonts w:ascii="宋体" w:hAnsi="宋体" w:cs="宋体"/>
                <w:color w:val="auto"/>
                <w:szCs w:val="21"/>
                <w:highlight w:val="none"/>
              </w:rPr>
            </w:pPr>
          </w:p>
        </w:tc>
      </w:tr>
      <w:tr w14:paraId="6A703A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534" w:type="dxa"/>
            <w:vAlign w:val="top"/>
          </w:tcPr>
          <w:p w14:paraId="5BFF6021">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 w:val="20"/>
                <w:szCs w:val="21"/>
                <w:highlight w:val="none"/>
              </w:rPr>
              <w:t>9</w:t>
            </w:r>
          </w:p>
        </w:tc>
        <w:tc>
          <w:tcPr>
            <w:tcW w:w="3118" w:type="dxa"/>
            <w:tcBorders>
              <w:right w:val="single" w:color="auto" w:sz="4" w:space="0"/>
            </w:tcBorders>
            <w:vAlign w:val="center"/>
          </w:tcPr>
          <w:p w14:paraId="61D9996F">
            <w:pPr>
              <w:spacing w:line="240" w:lineRule="exact"/>
              <w:ind w:left="-52" w:leftChars="-25" w:right="-52" w:rightChars="-25"/>
              <w:jc w:val="center"/>
              <w:rPr>
                <w:rFonts w:ascii="宋体" w:hAnsi="宋体"/>
                <w:color w:val="auto"/>
                <w:kern w:val="0"/>
                <w:sz w:val="20"/>
                <w:szCs w:val="21"/>
                <w:highlight w:val="none"/>
              </w:rPr>
            </w:pPr>
            <w:r>
              <w:rPr>
                <w:rFonts w:hint="eastAsia" w:ascii="宋体" w:hAnsi="宋体" w:cs="宋体"/>
                <w:color w:val="auto"/>
                <w:szCs w:val="21"/>
                <w:highlight w:val="none"/>
              </w:rPr>
              <w:t>是否有不符合法律、法规情况并注明理由</w:t>
            </w:r>
          </w:p>
        </w:tc>
        <w:tc>
          <w:tcPr>
            <w:tcW w:w="3391" w:type="dxa"/>
            <w:tcBorders>
              <w:left w:val="single" w:color="auto" w:sz="4" w:space="0"/>
            </w:tcBorders>
            <w:vAlign w:val="center"/>
          </w:tcPr>
          <w:p w14:paraId="29A16FB8">
            <w:pPr>
              <w:spacing w:line="240" w:lineRule="exact"/>
              <w:ind w:left="-52" w:leftChars="-25" w:right="-52" w:rightChars="-25"/>
              <w:jc w:val="center"/>
              <w:rPr>
                <w:rFonts w:ascii="宋体" w:hAnsi="宋体"/>
                <w:color w:val="auto"/>
                <w:kern w:val="0"/>
                <w:sz w:val="20"/>
                <w:szCs w:val="21"/>
                <w:highlight w:val="none"/>
              </w:rPr>
            </w:pPr>
          </w:p>
        </w:tc>
        <w:tc>
          <w:tcPr>
            <w:tcW w:w="2654" w:type="dxa"/>
            <w:tcBorders>
              <w:left w:val="single" w:color="auto" w:sz="4" w:space="0"/>
            </w:tcBorders>
          </w:tcPr>
          <w:p w14:paraId="6A348C11">
            <w:pPr>
              <w:spacing w:line="240" w:lineRule="exact"/>
              <w:ind w:left="-52" w:leftChars="-25" w:right="-52" w:rightChars="-25"/>
              <w:jc w:val="center"/>
              <w:rPr>
                <w:rFonts w:ascii="宋体" w:hAnsi="宋体"/>
                <w:color w:val="auto"/>
                <w:kern w:val="0"/>
                <w:sz w:val="20"/>
                <w:szCs w:val="21"/>
                <w:highlight w:val="none"/>
              </w:rPr>
            </w:pPr>
          </w:p>
        </w:tc>
      </w:tr>
    </w:tbl>
    <w:p w14:paraId="38B962B0">
      <w:pPr>
        <w:rPr>
          <w:rFonts w:ascii="宋体" w:hAnsi="宋体"/>
          <w:color w:val="auto"/>
          <w:szCs w:val="21"/>
          <w:highlight w:val="none"/>
        </w:rPr>
      </w:pPr>
    </w:p>
    <w:p w14:paraId="61203C15">
      <w:pPr>
        <w:widowControl/>
        <w:jc w:val="left"/>
        <w:rPr>
          <w:rFonts w:ascii="宋体" w:hAnsi="宋体"/>
          <w:color w:val="auto"/>
          <w:szCs w:val="21"/>
          <w:highlight w:val="none"/>
        </w:rPr>
      </w:pPr>
      <w:r>
        <w:rPr>
          <w:rFonts w:ascii="宋体" w:hAnsi="宋体"/>
          <w:color w:val="auto"/>
          <w:szCs w:val="21"/>
          <w:highlight w:val="none"/>
        </w:rPr>
        <w:br w:type="page"/>
      </w:r>
    </w:p>
    <w:p w14:paraId="381B624E">
      <w:pPr>
        <w:pStyle w:val="5"/>
        <w:rPr>
          <w:rFonts w:ascii="宋体" w:hAnsi="宋体" w:cs="宋体"/>
          <w:color w:val="auto"/>
          <w:sz w:val="28"/>
          <w:szCs w:val="28"/>
          <w:highlight w:val="none"/>
        </w:rPr>
      </w:pPr>
      <w:bookmarkStart w:id="62" w:name="_Toc2436"/>
      <w:r>
        <w:rPr>
          <w:rFonts w:hint="eastAsia" w:ascii="宋体" w:hAnsi="宋体"/>
          <w:color w:val="auto"/>
          <w:sz w:val="21"/>
          <w:szCs w:val="21"/>
          <w:highlight w:val="none"/>
        </w:rPr>
        <w:t>索引表 资格性审查索引表</w:t>
      </w:r>
      <w:bookmarkEnd w:id="62"/>
    </w:p>
    <w:p w14:paraId="675A96E5">
      <w:pPr>
        <w:pStyle w:val="17"/>
        <w:spacing w:before="0" w:beforeAutospacing="0" w:after="0" w:afterAutospacing="0" w:line="400" w:lineRule="exact"/>
        <w:ind w:firstLine="3080" w:firstLineChars="1100"/>
        <w:rPr>
          <w:b/>
          <w:bCs/>
          <w:color w:val="auto"/>
          <w:sz w:val="28"/>
          <w:szCs w:val="28"/>
          <w:highlight w:val="none"/>
        </w:rPr>
      </w:pPr>
      <w:r>
        <w:rPr>
          <w:rFonts w:hint="eastAsia"/>
          <w:b/>
          <w:color w:val="auto"/>
          <w:sz w:val="28"/>
          <w:szCs w:val="28"/>
          <w:highlight w:val="none"/>
        </w:rPr>
        <w:t>资格性审查索引表</w:t>
      </w:r>
    </w:p>
    <w:tbl>
      <w:tblPr>
        <w:tblStyle w:val="19"/>
        <w:tblW w:w="979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98"/>
        <w:gridCol w:w="5130"/>
        <w:gridCol w:w="1738"/>
        <w:gridCol w:w="2327"/>
      </w:tblGrid>
      <w:tr w14:paraId="35BEAE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8" w:hRule="atLeast"/>
          <w:jc w:val="center"/>
        </w:trPr>
        <w:tc>
          <w:tcPr>
            <w:tcW w:w="598" w:type="dxa"/>
            <w:vAlign w:val="center"/>
          </w:tcPr>
          <w:p w14:paraId="59F9D8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序号</w:t>
            </w:r>
          </w:p>
        </w:tc>
        <w:tc>
          <w:tcPr>
            <w:tcW w:w="5130" w:type="dxa"/>
            <w:vAlign w:val="center"/>
          </w:tcPr>
          <w:p w14:paraId="6F7B2B3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资格性审查内容</w:t>
            </w:r>
          </w:p>
        </w:tc>
        <w:tc>
          <w:tcPr>
            <w:tcW w:w="1738" w:type="dxa"/>
            <w:vAlign w:val="center"/>
          </w:tcPr>
          <w:p w14:paraId="044A1FF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审查标准</w:t>
            </w:r>
          </w:p>
        </w:tc>
        <w:tc>
          <w:tcPr>
            <w:tcW w:w="2327" w:type="dxa"/>
            <w:vAlign w:val="center"/>
          </w:tcPr>
          <w:p w14:paraId="614D1A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响应文件对应内容的册及页码</w:t>
            </w:r>
          </w:p>
        </w:tc>
      </w:tr>
      <w:tr w14:paraId="7C34CC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598" w:type="dxa"/>
            <w:vAlign w:val="center"/>
          </w:tcPr>
          <w:p w14:paraId="07406CB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5130" w:type="dxa"/>
            <w:vAlign w:val="center"/>
          </w:tcPr>
          <w:p w14:paraId="76414396">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磋商响应声明</w:t>
            </w:r>
          </w:p>
        </w:tc>
        <w:tc>
          <w:tcPr>
            <w:tcW w:w="1738" w:type="dxa"/>
            <w:vAlign w:val="center"/>
          </w:tcPr>
          <w:p w14:paraId="0CB6287E">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5C4CD64B">
            <w:pPr>
              <w:spacing w:line="360" w:lineRule="auto"/>
              <w:ind w:firstLine="1680" w:firstLineChars="800"/>
              <w:rPr>
                <w:rFonts w:ascii="宋体" w:hAnsi="宋体" w:cs="宋体"/>
                <w:color w:val="auto"/>
                <w:highlight w:val="none"/>
              </w:rPr>
            </w:pPr>
          </w:p>
        </w:tc>
      </w:tr>
      <w:tr w14:paraId="2E8DD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598" w:type="dxa"/>
            <w:vAlign w:val="center"/>
          </w:tcPr>
          <w:p w14:paraId="2605440E">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2</w:t>
            </w:r>
          </w:p>
        </w:tc>
        <w:tc>
          <w:tcPr>
            <w:tcW w:w="5130" w:type="dxa"/>
            <w:vAlign w:val="center"/>
          </w:tcPr>
          <w:p w14:paraId="685006FF">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法人提交法定代表人身份证明原件或者法定代表人授权委托书原件并附法定代表人身份证明原件；</w:t>
            </w:r>
          </w:p>
        </w:tc>
        <w:tc>
          <w:tcPr>
            <w:tcW w:w="1738" w:type="dxa"/>
            <w:vAlign w:val="center"/>
          </w:tcPr>
          <w:p w14:paraId="2E3F9F23">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0AA52C33">
            <w:pPr>
              <w:spacing w:line="360" w:lineRule="auto"/>
              <w:ind w:firstLine="1680" w:firstLineChars="800"/>
              <w:rPr>
                <w:rFonts w:ascii="宋体" w:hAnsi="宋体" w:cs="宋体"/>
                <w:color w:val="auto"/>
                <w:highlight w:val="none"/>
              </w:rPr>
            </w:pPr>
          </w:p>
        </w:tc>
      </w:tr>
      <w:tr w14:paraId="081B9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598" w:type="dxa"/>
            <w:vAlign w:val="center"/>
          </w:tcPr>
          <w:p w14:paraId="3B8CD13C">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3</w:t>
            </w:r>
          </w:p>
        </w:tc>
        <w:tc>
          <w:tcPr>
            <w:tcW w:w="5130" w:type="dxa"/>
            <w:vAlign w:val="center"/>
          </w:tcPr>
          <w:p w14:paraId="3293684C">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供应商授权代表身份证</w:t>
            </w:r>
          </w:p>
        </w:tc>
        <w:tc>
          <w:tcPr>
            <w:tcW w:w="1738" w:type="dxa"/>
            <w:vAlign w:val="center"/>
          </w:tcPr>
          <w:p w14:paraId="140417CB">
            <w:pPr>
              <w:spacing w:line="360" w:lineRule="auto"/>
              <w:jc w:val="center"/>
              <w:rPr>
                <w:rFonts w:ascii="宋体" w:hAnsi="宋体" w:cs="宋体"/>
                <w:color w:val="auto"/>
                <w:highlight w:val="none"/>
              </w:rPr>
            </w:pPr>
          </w:p>
        </w:tc>
        <w:tc>
          <w:tcPr>
            <w:tcW w:w="2327" w:type="dxa"/>
          </w:tcPr>
          <w:p w14:paraId="77F7FA46">
            <w:pPr>
              <w:spacing w:line="360" w:lineRule="auto"/>
              <w:ind w:firstLine="1680" w:firstLineChars="800"/>
              <w:rPr>
                <w:rFonts w:ascii="宋体" w:hAnsi="宋体" w:cs="宋体"/>
                <w:color w:val="auto"/>
                <w:highlight w:val="none"/>
              </w:rPr>
            </w:pPr>
          </w:p>
        </w:tc>
      </w:tr>
      <w:tr w14:paraId="400530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598" w:type="dxa"/>
            <w:vAlign w:val="center"/>
          </w:tcPr>
          <w:p w14:paraId="3D01594F">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4</w:t>
            </w:r>
          </w:p>
        </w:tc>
        <w:tc>
          <w:tcPr>
            <w:tcW w:w="5130" w:type="dxa"/>
            <w:vAlign w:val="center"/>
          </w:tcPr>
          <w:p w14:paraId="12D8F271">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具有独立承担民事责任的能力</w:t>
            </w:r>
            <w:r>
              <w:rPr>
                <w:rFonts w:hint="eastAsia" w:ascii="宋体" w:hAnsi="宋体"/>
                <w:color w:val="auto"/>
                <w:szCs w:val="21"/>
                <w:highlight w:val="none"/>
                <w:lang w:eastAsia="zh-CN"/>
              </w:rPr>
              <w:t>（</w:t>
            </w:r>
            <w:r>
              <w:rPr>
                <w:rFonts w:hint="eastAsia" w:ascii="宋体" w:hAnsi="宋体"/>
                <w:color w:val="auto"/>
                <w:szCs w:val="21"/>
                <w:highlight w:val="none"/>
              </w:rPr>
              <w:t>《营业执照》副本扫描件</w:t>
            </w:r>
            <w:r>
              <w:rPr>
                <w:rFonts w:hint="eastAsia" w:ascii="宋体" w:hAnsi="宋体"/>
                <w:color w:val="auto"/>
                <w:szCs w:val="21"/>
                <w:highlight w:val="none"/>
                <w:lang w:eastAsia="zh-CN"/>
              </w:rPr>
              <w:t>）</w:t>
            </w:r>
          </w:p>
        </w:tc>
        <w:tc>
          <w:tcPr>
            <w:tcW w:w="1738" w:type="dxa"/>
            <w:vAlign w:val="center"/>
          </w:tcPr>
          <w:p w14:paraId="43FF24A9">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16BE4D03">
            <w:pPr>
              <w:spacing w:line="360" w:lineRule="auto"/>
              <w:ind w:firstLine="1680" w:firstLineChars="800"/>
              <w:rPr>
                <w:rFonts w:ascii="宋体" w:hAnsi="宋体" w:cs="宋体"/>
                <w:color w:val="auto"/>
                <w:highlight w:val="none"/>
              </w:rPr>
            </w:pPr>
          </w:p>
        </w:tc>
      </w:tr>
      <w:tr w14:paraId="0C970A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598" w:type="dxa"/>
            <w:vAlign w:val="center"/>
          </w:tcPr>
          <w:p w14:paraId="1F57700C">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5</w:t>
            </w:r>
          </w:p>
        </w:tc>
        <w:tc>
          <w:tcPr>
            <w:tcW w:w="5130" w:type="dxa"/>
            <w:vAlign w:val="center"/>
          </w:tcPr>
          <w:p w14:paraId="720C1A25">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具有良好的商业信誉和健全的财务会计制度（</w:t>
            </w:r>
            <w:r>
              <w:rPr>
                <w:rFonts w:hint="eastAsia" w:ascii="宋体" w:hAnsi="宋体"/>
                <w:b/>
                <w:bCs/>
                <w:color w:val="auto"/>
                <w:szCs w:val="21"/>
                <w:highlight w:val="none"/>
              </w:rPr>
              <w:t>依据湖南省财政厅《关于政府采购促进中小企业发展有关措施的通知》，符合法定条件的供应商凭《湖南省政府采购供应商资格承诺函》（附件</w:t>
            </w:r>
            <w:r>
              <w:rPr>
                <w:rFonts w:hint="eastAsia" w:ascii="宋体" w:hAnsi="宋体"/>
                <w:b/>
                <w:bCs/>
                <w:color w:val="auto"/>
                <w:szCs w:val="21"/>
                <w:highlight w:val="none"/>
                <w:lang w:val="en-US" w:eastAsia="zh-CN"/>
              </w:rPr>
              <w:t>4</w:t>
            </w:r>
            <w:r>
              <w:rPr>
                <w:rFonts w:hint="eastAsia" w:ascii="宋体" w:hAnsi="宋体"/>
                <w:b/>
                <w:bCs/>
                <w:color w:val="auto"/>
                <w:szCs w:val="21"/>
                <w:highlight w:val="none"/>
              </w:rPr>
              <w:t>-1-2）参与政府采购活动，无需提供财务状况、缴纳税收和社会保障资金等资格证明材料</w:t>
            </w:r>
            <w:r>
              <w:rPr>
                <w:rFonts w:hint="eastAsia" w:ascii="宋体" w:hAnsi="宋体"/>
                <w:color w:val="auto"/>
                <w:szCs w:val="21"/>
                <w:highlight w:val="none"/>
              </w:rPr>
              <w:t>）</w:t>
            </w:r>
          </w:p>
        </w:tc>
        <w:tc>
          <w:tcPr>
            <w:tcW w:w="1738" w:type="dxa"/>
            <w:vAlign w:val="center"/>
          </w:tcPr>
          <w:p w14:paraId="3B68EADD">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6F230C23">
            <w:pPr>
              <w:spacing w:line="360" w:lineRule="auto"/>
              <w:ind w:firstLine="1680" w:firstLineChars="800"/>
              <w:rPr>
                <w:rFonts w:ascii="宋体" w:hAnsi="宋体" w:cs="宋体"/>
                <w:color w:val="auto"/>
                <w:highlight w:val="none"/>
              </w:rPr>
            </w:pPr>
          </w:p>
        </w:tc>
      </w:tr>
      <w:tr w14:paraId="725574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598" w:type="dxa"/>
            <w:vAlign w:val="center"/>
          </w:tcPr>
          <w:p w14:paraId="19CBC38B">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6</w:t>
            </w:r>
          </w:p>
        </w:tc>
        <w:tc>
          <w:tcPr>
            <w:tcW w:w="5130" w:type="dxa"/>
            <w:vAlign w:val="center"/>
          </w:tcPr>
          <w:p w14:paraId="2B948B00">
            <w:pPr>
              <w:snapToGrid w:val="0"/>
              <w:spacing w:line="360" w:lineRule="auto"/>
              <w:ind w:right="-52" w:rightChars="-25"/>
              <w:rPr>
                <w:rFonts w:hint="eastAsia" w:ascii="宋体" w:hAnsi="宋体" w:eastAsia="宋体"/>
                <w:color w:val="auto"/>
                <w:szCs w:val="21"/>
                <w:highlight w:val="none"/>
                <w:lang w:eastAsia="zh-CN"/>
              </w:rPr>
            </w:pPr>
            <w:r>
              <w:rPr>
                <w:rFonts w:hint="eastAsia" w:ascii="宋体" w:hAnsi="宋体"/>
                <w:color w:val="auto"/>
                <w:szCs w:val="21"/>
                <w:highlight w:val="none"/>
              </w:rPr>
              <w:t>具有履行合同所必需的设备和专业技术能力</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按要求提供</w:t>
            </w:r>
            <w:r>
              <w:rPr>
                <w:rFonts w:hint="eastAsia" w:ascii="宋体" w:hAnsi="宋体"/>
                <w:color w:val="auto"/>
                <w:szCs w:val="21"/>
                <w:highlight w:val="none"/>
                <w:lang w:eastAsia="zh-CN"/>
              </w:rPr>
              <w:t>供应商资格声明）</w:t>
            </w:r>
          </w:p>
        </w:tc>
        <w:tc>
          <w:tcPr>
            <w:tcW w:w="1738" w:type="dxa"/>
            <w:vAlign w:val="center"/>
          </w:tcPr>
          <w:p w14:paraId="19A5FC54">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6220C615">
            <w:pPr>
              <w:spacing w:line="360" w:lineRule="auto"/>
              <w:ind w:firstLine="1680" w:firstLineChars="800"/>
              <w:rPr>
                <w:rFonts w:ascii="宋体" w:hAnsi="宋体" w:cs="宋体"/>
                <w:color w:val="auto"/>
                <w:highlight w:val="none"/>
              </w:rPr>
            </w:pPr>
          </w:p>
        </w:tc>
      </w:tr>
      <w:tr w14:paraId="595D34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598" w:type="dxa"/>
            <w:vAlign w:val="center"/>
          </w:tcPr>
          <w:p w14:paraId="0FC596C2">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7</w:t>
            </w:r>
          </w:p>
        </w:tc>
        <w:tc>
          <w:tcPr>
            <w:tcW w:w="5130" w:type="dxa"/>
            <w:vAlign w:val="center"/>
          </w:tcPr>
          <w:p w14:paraId="0930010D">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有依法缴纳税收和社会保障资金的良好记录（</w:t>
            </w:r>
            <w:r>
              <w:rPr>
                <w:rFonts w:hint="eastAsia" w:ascii="宋体" w:hAnsi="宋体"/>
                <w:b/>
                <w:bCs/>
                <w:color w:val="auto"/>
                <w:szCs w:val="21"/>
                <w:highlight w:val="none"/>
              </w:rPr>
              <w:t>依据湖南省财政厅《关于政府采购促进中小企业发展有关措施的通知》，符合法定条件的供应商凭《湖南省政府采购供应商资格承诺函》（附件</w:t>
            </w:r>
            <w:r>
              <w:rPr>
                <w:rFonts w:hint="eastAsia" w:ascii="宋体" w:hAnsi="宋体"/>
                <w:b/>
                <w:bCs/>
                <w:color w:val="auto"/>
                <w:szCs w:val="21"/>
                <w:highlight w:val="none"/>
                <w:lang w:val="en-US" w:eastAsia="zh-CN"/>
              </w:rPr>
              <w:t>4</w:t>
            </w:r>
            <w:r>
              <w:rPr>
                <w:rFonts w:hint="eastAsia" w:ascii="宋体" w:hAnsi="宋体"/>
                <w:b/>
                <w:bCs/>
                <w:color w:val="auto"/>
                <w:szCs w:val="21"/>
                <w:highlight w:val="none"/>
              </w:rPr>
              <w:t>-1-2 ）参与政府采购活动，无需提供财务状况、缴纳税收和社会保障资金等资格证明材料</w:t>
            </w:r>
            <w:r>
              <w:rPr>
                <w:rFonts w:hint="eastAsia" w:ascii="宋体" w:hAnsi="宋体"/>
                <w:color w:val="auto"/>
                <w:szCs w:val="21"/>
                <w:highlight w:val="none"/>
              </w:rPr>
              <w:t>）</w:t>
            </w:r>
          </w:p>
        </w:tc>
        <w:tc>
          <w:tcPr>
            <w:tcW w:w="1738" w:type="dxa"/>
            <w:vAlign w:val="center"/>
          </w:tcPr>
          <w:p w14:paraId="3D91AB91">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090E41D5">
            <w:pPr>
              <w:spacing w:line="360" w:lineRule="auto"/>
              <w:ind w:firstLine="1680" w:firstLineChars="800"/>
              <w:rPr>
                <w:rFonts w:ascii="宋体" w:hAnsi="宋体" w:cs="宋体"/>
                <w:color w:val="auto"/>
                <w:highlight w:val="none"/>
              </w:rPr>
            </w:pPr>
          </w:p>
        </w:tc>
      </w:tr>
      <w:tr w14:paraId="4DDEAF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6" w:hRule="atLeast"/>
          <w:jc w:val="center"/>
        </w:trPr>
        <w:tc>
          <w:tcPr>
            <w:tcW w:w="598" w:type="dxa"/>
            <w:vAlign w:val="center"/>
          </w:tcPr>
          <w:p w14:paraId="66AC175B">
            <w:pPr>
              <w:spacing w:line="360" w:lineRule="auto"/>
              <w:ind w:left="-52" w:leftChars="-25" w:right="-52" w:rightChars="-25"/>
              <w:jc w:val="center"/>
              <w:rPr>
                <w:rFonts w:ascii="宋体" w:hAnsi="宋体" w:cs="宋体"/>
                <w:color w:val="auto"/>
                <w:szCs w:val="21"/>
                <w:highlight w:val="none"/>
              </w:rPr>
            </w:pPr>
            <w:r>
              <w:rPr>
                <w:rFonts w:hint="eastAsia" w:ascii="宋体" w:hAnsi="宋体" w:cs="宋体"/>
                <w:color w:val="auto"/>
                <w:szCs w:val="21"/>
                <w:highlight w:val="none"/>
              </w:rPr>
              <w:t>8</w:t>
            </w:r>
          </w:p>
        </w:tc>
        <w:tc>
          <w:tcPr>
            <w:tcW w:w="5130" w:type="dxa"/>
            <w:vAlign w:val="center"/>
          </w:tcPr>
          <w:p w14:paraId="3440B9A7">
            <w:pPr>
              <w:snapToGrid w:val="0"/>
              <w:spacing w:line="360" w:lineRule="auto"/>
              <w:ind w:right="-52" w:rightChars="-25"/>
              <w:rPr>
                <w:rFonts w:ascii="宋体" w:hAnsi="宋体"/>
                <w:color w:val="auto"/>
                <w:szCs w:val="21"/>
                <w:highlight w:val="none"/>
              </w:rPr>
            </w:pPr>
            <w:r>
              <w:rPr>
                <w:rFonts w:hint="eastAsia" w:ascii="宋体" w:hAnsi="宋体"/>
                <w:color w:val="auto"/>
                <w:szCs w:val="21"/>
                <w:highlight w:val="none"/>
              </w:rPr>
              <w:t>参加政府采购活动前三年内，在经营活动中没有重大违法记录的书面声明。</w:t>
            </w:r>
          </w:p>
        </w:tc>
        <w:tc>
          <w:tcPr>
            <w:tcW w:w="1738" w:type="dxa"/>
            <w:vAlign w:val="center"/>
          </w:tcPr>
          <w:p w14:paraId="47C2F541">
            <w:pPr>
              <w:spacing w:line="360" w:lineRule="auto"/>
              <w:jc w:val="center"/>
              <w:rPr>
                <w:rFonts w:ascii="宋体" w:hAnsi="宋体" w:cs="宋体"/>
                <w:color w:val="auto"/>
                <w:highlight w:val="none"/>
              </w:rPr>
            </w:pPr>
            <w:r>
              <w:rPr>
                <w:rFonts w:hint="eastAsia" w:ascii="宋体" w:hAnsi="宋体" w:cs="宋体"/>
                <w:color w:val="auto"/>
                <w:highlight w:val="none"/>
              </w:rPr>
              <w:t>加盖公章</w:t>
            </w:r>
          </w:p>
        </w:tc>
        <w:tc>
          <w:tcPr>
            <w:tcW w:w="2327" w:type="dxa"/>
          </w:tcPr>
          <w:p w14:paraId="10C5AF97">
            <w:pPr>
              <w:spacing w:line="360" w:lineRule="auto"/>
              <w:jc w:val="center"/>
              <w:rPr>
                <w:rFonts w:ascii="宋体" w:hAnsi="宋体" w:cs="宋体"/>
                <w:color w:val="auto"/>
                <w:highlight w:val="none"/>
              </w:rPr>
            </w:pPr>
          </w:p>
        </w:tc>
      </w:tr>
      <w:tr w14:paraId="7B8CFF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1" w:hRule="atLeast"/>
          <w:jc w:val="center"/>
        </w:trPr>
        <w:tc>
          <w:tcPr>
            <w:tcW w:w="598" w:type="dxa"/>
            <w:vAlign w:val="center"/>
          </w:tcPr>
          <w:p w14:paraId="039E53E7">
            <w:pPr>
              <w:jc w:val="center"/>
              <w:rPr>
                <w:rFonts w:ascii="宋体" w:hAnsi="宋体" w:cs="宋体"/>
                <w:color w:val="auto"/>
                <w:szCs w:val="21"/>
                <w:highlight w:val="none"/>
              </w:rPr>
            </w:pPr>
            <w:r>
              <w:rPr>
                <w:rFonts w:hint="eastAsia" w:ascii="宋体" w:hAnsi="宋体" w:cs="宋体"/>
                <w:color w:val="auto"/>
                <w:szCs w:val="21"/>
                <w:highlight w:val="none"/>
              </w:rPr>
              <w:t>9</w:t>
            </w:r>
          </w:p>
        </w:tc>
        <w:tc>
          <w:tcPr>
            <w:tcW w:w="5130" w:type="dxa"/>
            <w:vAlign w:val="center"/>
          </w:tcPr>
          <w:p w14:paraId="19A97AA1">
            <w:pPr>
              <w:rPr>
                <w:rFonts w:ascii="宋体" w:hAnsi="宋体"/>
                <w:color w:val="auto"/>
                <w:szCs w:val="21"/>
                <w:highlight w:val="none"/>
              </w:rPr>
            </w:pPr>
            <w:r>
              <w:rPr>
                <w:rFonts w:hint="eastAsia" w:ascii="宋体" w:hAnsi="宋体"/>
                <w:color w:val="auto"/>
                <w:szCs w:val="21"/>
                <w:highlight w:val="none"/>
              </w:rPr>
              <w:t>供应商在“信用中国”网站查询未被列入失信被执行人和重大税收违法案件当事人名单和“中国政府采购网”网站查询未被列入政府采购严重违法失信行为记录名单</w:t>
            </w:r>
          </w:p>
        </w:tc>
        <w:tc>
          <w:tcPr>
            <w:tcW w:w="1738" w:type="dxa"/>
            <w:vAlign w:val="center"/>
          </w:tcPr>
          <w:p w14:paraId="7286D1CD">
            <w:pPr>
              <w:jc w:val="center"/>
              <w:rPr>
                <w:rFonts w:ascii="宋体" w:hAnsi="宋体" w:cs="宋体"/>
                <w:bCs/>
                <w:color w:val="auto"/>
                <w:highlight w:val="none"/>
              </w:rPr>
            </w:pPr>
            <w:r>
              <w:rPr>
                <w:rFonts w:hint="eastAsia" w:ascii="宋体" w:hAnsi="宋体" w:cs="宋体"/>
                <w:bCs/>
                <w:color w:val="auto"/>
                <w:highlight w:val="none"/>
              </w:rPr>
              <w:t>提供查询结果截图打印件并加盖公章</w:t>
            </w:r>
          </w:p>
        </w:tc>
        <w:tc>
          <w:tcPr>
            <w:tcW w:w="2327" w:type="dxa"/>
          </w:tcPr>
          <w:p w14:paraId="0C8D761E">
            <w:pPr>
              <w:jc w:val="center"/>
              <w:rPr>
                <w:rFonts w:ascii="宋体" w:hAnsi="宋体" w:cs="宋体"/>
                <w:bCs/>
                <w:color w:val="auto"/>
                <w:highlight w:val="none"/>
              </w:rPr>
            </w:pPr>
          </w:p>
        </w:tc>
      </w:tr>
      <w:tr w14:paraId="19E5EE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598" w:type="dxa"/>
            <w:vAlign w:val="center"/>
          </w:tcPr>
          <w:p w14:paraId="142867E3">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10</w:t>
            </w:r>
          </w:p>
        </w:tc>
        <w:tc>
          <w:tcPr>
            <w:tcW w:w="5130" w:type="dxa"/>
            <w:vAlign w:val="center"/>
          </w:tcPr>
          <w:p w14:paraId="1E6B8DC0">
            <w:pPr>
              <w:rPr>
                <w:rFonts w:hint="eastAsia" w:ascii="宋体" w:hAnsi="宋体"/>
                <w:color w:val="auto"/>
                <w:szCs w:val="21"/>
                <w:highlight w:val="none"/>
              </w:rPr>
            </w:pPr>
            <w:r>
              <w:rPr>
                <w:rFonts w:hint="eastAsia" w:ascii="宋体" w:hAnsi="宋体" w:cs="宋体"/>
                <w:color w:val="auto"/>
                <w:highlight w:val="none"/>
              </w:rPr>
              <w:t>特定资格条件</w:t>
            </w:r>
          </w:p>
        </w:tc>
        <w:tc>
          <w:tcPr>
            <w:tcW w:w="1738" w:type="dxa"/>
            <w:vAlign w:val="center"/>
          </w:tcPr>
          <w:p w14:paraId="262FC0A3">
            <w:pPr>
              <w:jc w:val="center"/>
              <w:rPr>
                <w:rFonts w:hint="eastAsia" w:ascii="宋体" w:hAnsi="宋体" w:cs="宋体"/>
                <w:bCs/>
                <w:color w:val="auto"/>
                <w:highlight w:val="none"/>
              </w:rPr>
            </w:pPr>
            <w:r>
              <w:rPr>
                <w:rFonts w:hint="eastAsia" w:ascii="宋体" w:hAnsi="宋体" w:cs="宋体"/>
                <w:bCs/>
                <w:color w:val="auto"/>
                <w:highlight w:val="none"/>
              </w:rPr>
              <w:t>提供</w:t>
            </w:r>
            <w:r>
              <w:rPr>
                <w:rFonts w:hint="eastAsia" w:ascii="宋体" w:hAnsi="宋体" w:cs="宋体"/>
                <w:bCs/>
                <w:color w:val="auto"/>
                <w:highlight w:val="none"/>
                <w:lang w:val="en-US" w:eastAsia="zh-CN"/>
              </w:rPr>
              <w:t>相关证书扫描</w:t>
            </w:r>
            <w:r>
              <w:rPr>
                <w:rFonts w:hint="eastAsia" w:ascii="宋体" w:hAnsi="宋体" w:cs="宋体"/>
                <w:bCs/>
                <w:color w:val="auto"/>
                <w:highlight w:val="none"/>
              </w:rPr>
              <w:t>件并加盖公章</w:t>
            </w:r>
          </w:p>
        </w:tc>
        <w:tc>
          <w:tcPr>
            <w:tcW w:w="2327" w:type="dxa"/>
          </w:tcPr>
          <w:p w14:paraId="56E6AD2E">
            <w:pPr>
              <w:jc w:val="center"/>
              <w:rPr>
                <w:rFonts w:ascii="宋体" w:hAnsi="宋体" w:cs="宋体"/>
                <w:bCs/>
                <w:color w:val="auto"/>
                <w:highlight w:val="none"/>
              </w:rPr>
            </w:pPr>
          </w:p>
        </w:tc>
      </w:tr>
    </w:tbl>
    <w:p w14:paraId="4E625D51">
      <w:pPr>
        <w:pStyle w:val="5"/>
        <w:jc w:val="center"/>
        <w:rPr>
          <w:rFonts w:ascii="宋体" w:hAnsi="宋体"/>
          <w:color w:val="auto"/>
          <w:szCs w:val="21"/>
        </w:rPr>
      </w:pPr>
      <w:bookmarkStart w:id="63" w:name="_Toc30537"/>
      <w:r>
        <w:rPr>
          <w:rFonts w:hint="eastAsia" w:ascii="黑体" w:hAnsi="黑体" w:eastAsia="黑体"/>
          <w:color w:val="auto"/>
          <w:sz w:val="28"/>
          <w:szCs w:val="28"/>
        </w:rPr>
        <w:t>一、磋商响应声明</w:t>
      </w:r>
      <w:r>
        <w:rPr>
          <w:rFonts w:hint="eastAsia" w:ascii="黑体" w:hAnsi="黑体" w:eastAsia="黑体"/>
          <w:color w:val="auto"/>
          <w:sz w:val="28"/>
          <w:szCs w:val="28"/>
          <w:lang w:eastAsia="zh-CN"/>
        </w:rPr>
        <w:t>（</w:t>
      </w:r>
      <w:r>
        <w:rPr>
          <w:rFonts w:hint="eastAsia" w:ascii="黑体" w:hAnsi="黑体" w:eastAsia="黑体"/>
          <w:color w:val="auto"/>
          <w:sz w:val="28"/>
          <w:szCs w:val="28"/>
        </w:rPr>
        <w:t>格式</w:t>
      </w:r>
      <w:r>
        <w:rPr>
          <w:rFonts w:hint="eastAsia" w:ascii="黑体" w:hAnsi="黑体" w:eastAsia="黑体"/>
          <w:color w:val="auto"/>
          <w:sz w:val="28"/>
          <w:szCs w:val="28"/>
          <w:lang w:eastAsia="zh-CN"/>
        </w:rPr>
        <w:t>）</w:t>
      </w:r>
      <w:bookmarkEnd w:id="63"/>
    </w:p>
    <w:p w14:paraId="50CC9A7B">
      <w:pPr>
        <w:adjustRightInd w:val="0"/>
        <w:snapToGrid w:val="0"/>
        <w:spacing w:before="156" w:beforeLines="50" w:line="360" w:lineRule="auto"/>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w:t>
      </w:r>
      <w:r>
        <w:rPr>
          <w:rFonts w:hint="eastAsia" w:ascii="宋体" w:hAnsi="宋体"/>
          <w:color w:val="auto"/>
          <w:szCs w:val="21"/>
          <w:lang w:eastAsia="zh-CN"/>
        </w:rPr>
        <w:t>（</w:t>
      </w:r>
      <w:r>
        <w:rPr>
          <w:rFonts w:hint="eastAsia" w:ascii="宋体" w:hAnsi="宋体"/>
          <w:color w:val="auto"/>
          <w:szCs w:val="21"/>
        </w:rPr>
        <w:t>采购人、采购代理机构</w:t>
      </w:r>
      <w:r>
        <w:rPr>
          <w:rFonts w:hint="eastAsia" w:ascii="宋体" w:hAnsi="宋体"/>
          <w:color w:val="auto"/>
          <w:szCs w:val="21"/>
          <w:lang w:eastAsia="zh-CN"/>
        </w:rPr>
        <w:t>）</w:t>
      </w:r>
      <w:r>
        <w:rPr>
          <w:rFonts w:hint="eastAsia" w:ascii="宋体" w:hAnsi="宋体"/>
          <w:color w:val="auto"/>
          <w:szCs w:val="21"/>
        </w:rPr>
        <w:t>：</w:t>
      </w:r>
    </w:p>
    <w:p w14:paraId="5522D07D">
      <w:pPr>
        <w:adjustRightInd w:val="0"/>
        <w:snapToGrid w:val="0"/>
        <w:spacing w:before="156" w:beforeLines="50" w:line="360" w:lineRule="auto"/>
        <w:ind w:firstLine="435"/>
        <w:rPr>
          <w:rFonts w:ascii="宋体" w:hAnsi="宋体"/>
          <w:color w:val="auto"/>
          <w:szCs w:val="21"/>
        </w:rPr>
      </w:pPr>
      <w:r>
        <w:rPr>
          <w:rFonts w:hint="eastAsia" w:ascii="宋体" w:hAnsi="宋体"/>
          <w:color w:val="auto"/>
          <w:szCs w:val="21"/>
        </w:rPr>
        <w:t>根据贵方为</w:t>
      </w:r>
      <w:r>
        <w:rPr>
          <w:rFonts w:hint="eastAsia" w:ascii="宋体" w:hAnsi="宋体"/>
          <w:color w:val="auto"/>
          <w:szCs w:val="21"/>
          <w:u w:val="single"/>
        </w:rPr>
        <w:t xml:space="preserve">           </w:t>
      </w:r>
      <w:r>
        <w:rPr>
          <w:rFonts w:hint="eastAsia" w:ascii="宋体" w:hAnsi="宋体"/>
          <w:color w:val="auto"/>
          <w:szCs w:val="21"/>
        </w:rPr>
        <w:t>（项目名称）的磋商邀请（</w:t>
      </w:r>
      <w:r>
        <w:rPr>
          <w:rFonts w:hint="eastAsia" w:ascii="宋体" w:hAnsi="宋体"/>
          <w:color w:val="auto"/>
          <w:lang w:eastAsia="zh-CN"/>
        </w:rPr>
        <w:t>采购项目编号</w:t>
      </w:r>
      <w:r>
        <w:rPr>
          <w:rFonts w:hint="eastAsia" w:ascii="宋体" w:hAnsi="宋体"/>
          <w:iCs/>
          <w:color w:val="auto"/>
        </w:rPr>
        <w:t>：</w:t>
      </w:r>
      <w:r>
        <w:rPr>
          <w:rFonts w:hint="eastAsia" w:ascii="宋体" w:hAnsi="宋体"/>
          <w:iCs/>
          <w:color w:val="auto"/>
          <w:u w:val="single"/>
        </w:rPr>
        <w:t xml:space="preserve">      </w:t>
      </w:r>
      <w:r>
        <w:rPr>
          <w:rFonts w:hint="eastAsia" w:ascii="宋体" w:hAnsi="宋体"/>
          <w:iCs/>
          <w:color w:val="auto"/>
        </w:rPr>
        <w:t xml:space="preserve"> ，</w:t>
      </w:r>
      <w:r>
        <w:rPr>
          <w:rFonts w:hint="eastAsia" w:ascii="宋体" w:hAnsi="宋体"/>
          <w:color w:val="auto"/>
          <w:szCs w:val="21"/>
        </w:rPr>
        <w:t>代理机构编号：</w:t>
      </w:r>
      <w:r>
        <w:rPr>
          <w:rFonts w:hint="eastAsia" w:ascii="宋体" w:hAnsi="宋体"/>
          <w:color w:val="auto"/>
          <w:szCs w:val="21"/>
          <w:u w:val="single"/>
        </w:rPr>
        <w:t xml:space="preserve">         </w:t>
      </w:r>
      <w:r>
        <w:rPr>
          <w:rFonts w:hint="eastAsia" w:ascii="宋体" w:hAnsi="宋体"/>
          <w:color w:val="auto"/>
          <w:szCs w:val="21"/>
        </w:rPr>
        <w:t xml:space="preserve">），签字代表 </w:t>
      </w:r>
      <w:r>
        <w:rPr>
          <w:rFonts w:hint="eastAsia" w:ascii="宋体" w:hAnsi="宋体"/>
          <w:color w:val="auto"/>
          <w:szCs w:val="21"/>
          <w:u w:val="single"/>
        </w:rPr>
        <w:t xml:space="preserve">      </w:t>
      </w:r>
      <w:r>
        <w:rPr>
          <w:rFonts w:hint="eastAsia" w:ascii="宋体" w:hAnsi="宋体"/>
          <w:color w:val="auto"/>
          <w:szCs w:val="21"/>
        </w:rPr>
        <w:t>（姓名、职务）经正式授权并代表供应商</w:t>
      </w:r>
      <w:r>
        <w:rPr>
          <w:rFonts w:hint="eastAsia" w:ascii="宋体" w:hAnsi="宋体"/>
          <w:color w:val="auto"/>
          <w:szCs w:val="21"/>
          <w:u w:val="single"/>
        </w:rPr>
        <w:t xml:space="preserve">       </w:t>
      </w:r>
      <w:r>
        <w:rPr>
          <w:rFonts w:hint="eastAsia" w:ascii="宋体" w:hAnsi="宋体"/>
          <w:color w:val="auto"/>
          <w:szCs w:val="21"/>
        </w:rPr>
        <w:t xml:space="preserve"> （供应商名称）提交响应文件正本一份</w:t>
      </w:r>
      <w:r>
        <w:rPr>
          <w:rFonts w:hint="eastAsia" w:ascii="宋体" w:hAnsi="宋体"/>
          <w:color w:val="auto"/>
          <w:szCs w:val="21"/>
          <w:lang w:eastAsia="zh-CN"/>
        </w:rPr>
        <w:t>，</w:t>
      </w:r>
      <w:r>
        <w:rPr>
          <w:rFonts w:hint="eastAsia" w:ascii="宋体" w:hAnsi="宋体"/>
          <w:color w:val="auto"/>
          <w:szCs w:val="21"/>
        </w:rPr>
        <w:t>副本</w:t>
      </w:r>
      <w:r>
        <w:rPr>
          <w:rFonts w:hint="eastAsia" w:ascii="宋体" w:hAnsi="宋体"/>
          <w:color w:val="auto"/>
          <w:szCs w:val="21"/>
          <w:u w:val="single"/>
        </w:rPr>
        <w:t xml:space="preserve">     </w:t>
      </w:r>
      <w:r>
        <w:rPr>
          <w:rFonts w:hint="eastAsia" w:ascii="宋体" w:hAnsi="宋体"/>
          <w:color w:val="auto"/>
          <w:szCs w:val="21"/>
        </w:rPr>
        <w:t>份；响应文件电子文档：</w:t>
      </w:r>
      <w:r>
        <w:rPr>
          <w:rFonts w:hint="eastAsia" w:ascii="宋体" w:hAnsi="宋体"/>
          <w:color w:val="auto"/>
          <w:szCs w:val="21"/>
          <w:u w:val="single"/>
        </w:rPr>
        <w:t xml:space="preserve">  </w:t>
      </w:r>
      <w:r>
        <w:rPr>
          <w:rFonts w:hint="eastAsia" w:ascii="宋体" w:hAnsi="宋体"/>
          <w:color w:val="auto"/>
          <w:szCs w:val="21"/>
        </w:rPr>
        <w:t>份，参加该采购项目磋商，并在此声明，所递交的响应文件内容完整、真实。</w:t>
      </w:r>
    </w:p>
    <w:p w14:paraId="641D7FAB">
      <w:pPr>
        <w:pStyle w:val="11"/>
        <w:adjustRightInd w:val="0"/>
        <w:snapToGrid w:val="0"/>
        <w:spacing w:before="156" w:beforeLines="50" w:line="360" w:lineRule="auto"/>
        <w:ind w:firstLine="420" w:firstLineChars="200"/>
        <w:rPr>
          <w:rFonts w:hAnsi="宋体"/>
          <w:color w:val="auto"/>
        </w:rPr>
      </w:pPr>
      <w:r>
        <w:rPr>
          <w:rFonts w:hint="eastAsia" w:hAnsi="宋体"/>
          <w:color w:val="auto"/>
        </w:rPr>
        <w:t>一、我方已详细审查磋商文件。我们完全理解并同意放弃对这方面有不明及误解的权力。</w:t>
      </w:r>
    </w:p>
    <w:p w14:paraId="4BFED870">
      <w:pPr>
        <w:pStyle w:val="11"/>
        <w:adjustRightInd w:val="0"/>
        <w:snapToGrid w:val="0"/>
        <w:spacing w:before="156" w:beforeLines="50" w:line="360" w:lineRule="auto"/>
        <w:ind w:firstLine="420" w:firstLineChars="200"/>
        <w:rPr>
          <w:rFonts w:hAnsi="宋体"/>
          <w:bCs/>
          <w:color w:val="auto"/>
        </w:rPr>
      </w:pPr>
      <w:r>
        <w:rPr>
          <w:rFonts w:hint="eastAsia" w:hAnsi="宋体"/>
          <w:color w:val="auto"/>
        </w:rPr>
        <w:t>二、我方愿意向贵方提供任何与本项采购有关的数据、情况和技术资料。若贵方需要，我方愿意提供我方作出的一切承诺的证明材料。</w:t>
      </w:r>
    </w:p>
    <w:p w14:paraId="287CB9BE">
      <w:pPr>
        <w:pStyle w:val="11"/>
        <w:adjustRightInd w:val="0"/>
        <w:snapToGrid w:val="0"/>
        <w:spacing w:before="156" w:beforeLines="50" w:line="360" w:lineRule="auto"/>
        <w:ind w:firstLine="420" w:firstLineChars="200"/>
        <w:rPr>
          <w:rFonts w:hAnsi="宋体"/>
          <w:color w:val="auto"/>
        </w:rPr>
      </w:pPr>
      <w:r>
        <w:rPr>
          <w:rFonts w:hint="eastAsia" w:hAnsi="宋体"/>
          <w:color w:val="auto"/>
        </w:rPr>
        <w:t>三、我方愿意按磋商文件规定和磋商小组要求重新提交响应文件和最后报价。</w:t>
      </w:r>
    </w:p>
    <w:p w14:paraId="3787B63B">
      <w:pPr>
        <w:pStyle w:val="11"/>
        <w:adjustRightInd w:val="0"/>
        <w:snapToGrid w:val="0"/>
        <w:spacing w:before="156" w:beforeLines="50" w:line="360" w:lineRule="auto"/>
        <w:ind w:firstLine="420" w:firstLineChars="200"/>
        <w:rPr>
          <w:rFonts w:hAnsi="宋体"/>
          <w:color w:val="auto"/>
        </w:rPr>
      </w:pPr>
      <w:r>
        <w:rPr>
          <w:rFonts w:hint="eastAsia" w:hAnsi="宋体"/>
          <w:color w:val="auto"/>
        </w:rPr>
        <w:t>四、我方同意在磋商文件中规定的提交首次响应文件截止时间起</w:t>
      </w:r>
      <w:r>
        <w:rPr>
          <w:rFonts w:hint="eastAsia" w:hAnsi="宋体"/>
          <w:color w:val="auto"/>
          <w:u w:val="single"/>
        </w:rPr>
        <w:t xml:space="preserve">    </w:t>
      </w:r>
      <w:r>
        <w:rPr>
          <w:rFonts w:hint="eastAsia" w:hAnsi="宋体"/>
          <w:color w:val="auto"/>
        </w:rPr>
        <w:t>日内</w:t>
      </w:r>
      <w:r>
        <w:rPr>
          <w:rFonts w:hint="eastAsia" w:hAnsi="宋体"/>
          <w:color w:val="auto"/>
          <w:lang w:eastAsia="zh-CN"/>
        </w:rPr>
        <w:t>（</w:t>
      </w:r>
      <w:r>
        <w:rPr>
          <w:rFonts w:hint="eastAsia" w:hAnsi="宋体"/>
          <w:color w:val="auto"/>
        </w:rPr>
        <w:t>响应文件有效期</w:t>
      </w:r>
      <w:r>
        <w:rPr>
          <w:rFonts w:hint="eastAsia" w:hAnsi="宋体"/>
          <w:color w:val="auto"/>
          <w:lang w:eastAsia="zh-CN"/>
        </w:rPr>
        <w:t>）</w:t>
      </w:r>
      <w:r>
        <w:rPr>
          <w:rFonts w:hint="eastAsia" w:hAnsi="宋体"/>
          <w:color w:val="auto"/>
        </w:rPr>
        <w:t>遵守本响应文件中的承诺且在此期限期满之前均具有法律约束力。</w:t>
      </w:r>
    </w:p>
    <w:p w14:paraId="08CEF9D0">
      <w:pPr>
        <w:pStyle w:val="11"/>
        <w:adjustRightInd w:val="0"/>
        <w:snapToGrid w:val="0"/>
        <w:spacing w:before="156" w:beforeLines="50" w:line="360" w:lineRule="auto"/>
        <w:ind w:firstLine="420" w:firstLineChars="200"/>
        <w:rPr>
          <w:rFonts w:hAnsi="宋体"/>
          <w:color w:val="auto"/>
        </w:rPr>
      </w:pPr>
      <w:r>
        <w:rPr>
          <w:rFonts w:hint="eastAsia" w:hAnsi="宋体"/>
          <w:color w:val="auto"/>
        </w:rPr>
        <w:t>五、我方承诺遵守《政府采购法》及实施条例、《政府采购非招标方式管理办法》（财政部第74号令）的有关规定，保证在获得成交资格后，按照磋商文件确定的事项签订政府采购合同，履行双方所签订的合同，并承担合同规定的责任和义务。</w:t>
      </w:r>
    </w:p>
    <w:p w14:paraId="48FDB660">
      <w:pPr>
        <w:pStyle w:val="11"/>
        <w:adjustRightInd w:val="0"/>
        <w:snapToGrid w:val="0"/>
        <w:spacing w:before="156" w:beforeLines="50" w:line="360" w:lineRule="auto"/>
        <w:ind w:firstLine="420" w:firstLineChars="200"/>
        <w:rPr>
          <w:rFonts w:hAnsi="宋体"/>
          <w:color w:val="auto"/>
        </w:rPr>
      </w:pPr>
      <w:r>
        <w:rPr>
          <w:rFonts w:hint="eastAsia" w:hAnsi="宋体"/>
          <w:color w:val="auto"/>
        </w:rPr>
        <w:t>六、我方承诺在参与竞争性磋商过程中，若出现《政府采购法》第七十七条、《政府采购法实施条例》第七十二条和《政府采购非招标方式管理办法》第五十四条规定之情形，我方同意接受条款规定作出的处罚。</w:t>
      </w:r>
    </w:p>
    <w:p w14:paraId="1782EB9E">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七、我方的联系方式：</w:t>
      </w:r>
    </w:p>
    <w:p w14:paraId="5E819E9E">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地址：</w:t>
      </w:r>
      <w:r>
        <w:rPr>
          <w:rFonts w:hint="eastAsia" w:ascii="宋体" w:hAnsi="宋体"/>
          <w:color w:val="auto"/>
          <w:szCs w:val="21"/>
          <w:u w:val="single"/>
        </w:rPr>
        <w:t xml:space="preserve">    </w:t>
      </w:r>
      <w:r>
        <w:rPr>
          <w:rFonts w:hint="eastAsia" w:ascii="宋体" w:hAnsi="宋体"/>
          <w:color w:val="auto"/>
          <w:szCs w:val="21"/>
        </w:rPr>
        <w:t>；邮编：</w:t>
      </w:r>
      <w:r>
        <w:rPr>
          <w:rFonts w:hint="eastAsia" w:ascii="宋体" w:hAnsi="宋体"/>
          <w:color w:val="auto"/>
          <w:szCs w:val="21"/>
          <w:u w:val="single"/>
        </w:rPr>
        <w:t xml:space="preserve">     </w:t>
      </w:r>
      <w:r>
        <w:rPr>
          <w:rFonts w:hint="eastAsia" w:ascii="宋体" w:hAnsi="宋体"/>
          <w:color w:val="auto"/>
          <w:szCs w:val="21"/>
        </w:rPr>
        <w:t xml:space="preserve"> ；电话：</w:t>
      </w:r>
      <w:r>
        <w:rPr>
          <w:rFonts w:hint="eastAsia" w:ascii="宋体" w:hAnsi="宋体"/>
          <w:color w:val="auto"/>
          <w:szCs w:val="21"/>
          <w:u w:val="single"/>
        </w:rPr>
        <w:t xml:space="preserve">      </w:t>
      </w:r>
      <w:r>
        <w:rPr>
          <w:rFonts w:hint="eastAsia" w:ascii="宋体" w:hAnsi="宋体"/>
          <w:color w:val="auto"/>
          <w:szCs w:val="21"/>
        </w:rPr>
        <w:t>；电子邮箱：</w:t>
      </w:r>
      <w:r>
        <w:rPr>
          <w:rFonts w:hint="eastAsia" w:ascii="宋体" w:hAnsi="宋体"/>
          <w:color w:val="auto"/>
          <w:szCs w:val="21"/>
          <w:u w:val="single"/>
        </w:rPr>
        <w:t xml:space="preserve">        </w:t>
      </w:r>
      <w:r>
        <w:rPr>
          <w:rFonts w:hint="eastAsia" w:ascii="宋体" w:hAnsi="宋体"/>
          <w:color w:val="auto"/>
          <w:szCs w:val="21"/>
        </w:rPr>
        <w:t xml:space="preserve"> 。</w:t>
      </w:r>
    </w:p>
    <w:p w14:paraId="5FA17422">
      <w:pPr>
        <w:pStyle w:val="11"/>
        <w:adjustRightInd w:val="0"/>
        <w:snapToGrid w:val="0"/>
        <w:spacing w:before="156" w:beforeLines="50" w:line="360" w:lineRule="auto"/>
        <w:rPr>
          <w:rFonts w:hAnsi="宋体"/>
          <w:color w:val="auto"/>
        </w:rPr>
      </w:pPr>
    </w:p>
    <w:p w14:paraId="29D470EE">
      <w:pPr>
        <w:pStyle w:val="11"/>
        <w:adjustRightInd w:val="0"/>
        <w:snapToGrid w:val="0"/>
        <w:spacing w:before="156" w:beforeLines="50" w:line="360" w:lineRule="auto"/>
        <w:rPr>
          <w:rFonts w:hAnsi="宋体"/>
          <w:color w:val="auto"/>
        </w:rPr>
      </w:pPr>
      <w:r>
        <w:rPr>
          <w:rFonts w:hint="eastAsia" w:hAnsi="宋体"/>
          <w:color w:val="auto"/>
        </w:rPr>
        <w:t>供应商名称</w:t>
      </w:r>
      <w:r>
        <w:rPr>
          <w:rFonts w:hint="eastAsia" w:hAnsi="宋体"/>
          <w:color w:val="auto"/>
          <w:lang w:eastAsia="zh-CN"/>
        </w:rPr>
        <w:t>（</w:t>
      </w:r>
      <w:r>
        <w:rPr>
          <w:rFonts w:hint="eastAsia" w:hAnsi="宋体"/>
          <w:color w:val="auto"/>
        </w:rPr>
        <w:t>盖单位公章</w:t>
      </w:r>
      <w:r>
        <w:rPr>
          <w:rFonts w:hint="eastAsia" w:hAnsi="宋体"/>
          <w:color w:val="auto"/>
          <w:lang w:eastAsia="zh-CN"/>
        </w:rPr>
        <w:t>）</w:t>
      </w:r>
      <w:r>
        <w:rPr>
          <w:rFonts w:hint="eastAsia" w:hAnsi="宋体"/>
          <w:color w:val="auto"/>
        </w:rPr>
        <w:t>：</w:t>
      </w:r>
    </w:p>
    <w:p w14:paraId="116E6F64">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kern w:val="0"/>
          <w:szCs w:val="21"/>
        </w:rPr>
        <w:t>法定代表人（单位负责人）</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7D573826">
      <w:pPr>
        <w:adjustRightInd w:val="0"/>
        <w:snapToGrid w:val="0"/>
        <w:spacing w:before="156" w:beforeLines="50"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6DD5C786">
      <w:pPr>
        <w:widowControl/>
        <w:jc w:val="left"/>
        <w:rPr>
          <w:color w:val="auto"/>
        </w:rPr>
      </w:pPr>
      <w:r>
        <w:rPr>
          <w:color w:val="auto"/>
        </w:rPr>
        <w:br w:type="page"/>
      </w:r>
    </w:p>
    <w:p w14:paraId="3AD231C0">
      <w:pPr>
        <w:pStyle w:val="5"/>
        <w:jc w:val="center"/>
        <w:rPr>
          <w:rFonts w:ascii="黑体" w:hAnsi="黑体" w:eastAsia="黑体"/>
          <w:color w:val="auto"/>
          <w:sz w:val="28"/>
          <w:szCs w:val="28"/>
        </w:rPr>
      </w:pPr>
      <w:bookmarkStart w:id="64" w:name="_Toc14487"/>
      <w:bookmarkStart w:id="65" w:name="_Toc34637791"/>
      <w:r>
        <w:rPr>
          <w:rFonts w:hint="eastAsia" w:ascii="黑体" w:hAnsi="黑体" w:eastAsia="黑体"/>
          <w:color w:val="auto"/>
          <w:sz w:val="28"/>
          <w:szCs w:val="28"/>
        </w:rPr>
        <w:t>二、法定代表人（单位负责人）身份证明</w:t>
      </w:r>
      <w:r>
        <w:rPr>
          <w:rFonts w:hint="eastAsia" w:ascii="黑体" w:hAnsi="黑体" w:eastAsia="黑体"/>
          <w:color w:val="auto"/>
          <w:sz w:val="28"/>
          <w:szCs w:val="28"/>
          <w:lang w:eastAsia="zh-CN"/>
        </w:rPr>
        <w:t>（</w:t>
      </w:r>
      <w:r>
        <w:rPr>
          <w:rFonts w:hint="eastAsia" w:ascii="黑体" w:hAnsi="黑体" w:eastAsia="黑体"/>
          <w:color w:val="auto"/>
          <w:sz w:val="28"/>
          <w:szCs w:val="28"/>
        </w:rPr>
        <w:t>格式</w:t>
      </w:r>
      <w:r>
        <w:rPr>
          <w:rFonts w:hint="eastAsia" w:ascii="黑体" w:hAnsi="黑体" w:eastAsia="黑体"/>
          <w:color w:val="auto"/>
          <w:sz w:val="28"/>
          <w:szCs w:val="28"/>
          <w:lang w:eastAsia="zh-CN"/>
        </w:rPr>
        <w:t>）</w:t>
      </w:r>
      <w:bookmarkEnd w:id="64"/>
      <w:bookmarkEnd w:id="65"/>
    </w:p>
    <w:p w14:paraId="7B81E0DF">
      <w:pPr>
        <w:tabs>
          <w:tab w:val="left" w:pos="3880"/>
        </w:tabs>
        <w:autoSpaceDE w:val="0"/>
        <w:autoSpaceDN w:val="0"/>
        <w:adjustRightInd w:val="0"/>
        <w:snapToGrid w:val="0"/>
        <w:spacing w:before="156" w:beforeLines="50" w:line="360" w:lineRule="auto"/>
        <w:ind w:left="100" w:right="-20"/>
        <w:jc w:val="left"/>
        <w:rPr>
          <w:rFonts w:ascii="宋体" w:hAnsi="宋体" w:cs="微软雅黑"/>
          <w:color w:val="auto"/>
          <w:kern w:val="0"/>
          <w:szCs w:val="21"/>
        </w:rPr>
      </w:pPr>
    </w:p>
    <w:p w14:paraId="6062791B">
      <w:pPr>
        <w:tabs>
          <w:tab w:val="left" w:pos="3880"/>
        </w:tabs>
        <w:autoSpaceDE w:val="0"/>
        <w:autoSpaceDN w:val="0"/>
        <w:adjustRightInd w:val="0"/>
        <w:snapToGrid w:val="0"/>
        <w:spacing w:before="156" w:beforeLines="50" w:line="360" w:lineRule="auto"/>
        <w:ind w:left="100" w:right="-20"/>
        <w:jc w:val="left"/>
        <w:rPr>
          <w:rFonts w:ascii="宋体" w:hAnsi="宋体" w:cs="微软雅黑"/>
          <w:color w:val="auto"/>
          <w:kern w:val="0"/>
          <w:szCs w:val="21"/>
        </w:rPr>
      </w:pPr>
      <w:r>
        <w:rPr>
          <w:rFonts w:hint="eastAsia" w:ascii="宋体" w:hAnsi="宋体" w:cs="微软雅黑"/>
          <w:color w:val="auto"/>
          <w:kern w:val="0"/>
          <w:szCs w:val="21"/>
        </w:rPr>
        <w:t>供应商名称：</w:t>
      </w:r>
      <w:r>
        <w:rPr>
          <w:rFonts w:hint="eastAsia" w:ascii="宋体" w:hAnsi="宋体"/>
          <w:color w:val="auto"/>
          <w:szCs w:val="21"/>
          <w:u w:val="single"/>
        </w:rPr>
        <w:t xml:space="preserve">                 </w:t>
      </w:r>
    </w:p>
    <w:p w14:paraId="0D55A610">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auto"/>
          <w:kern w:val="0"/>
          <w:szCs w:val="21"/>
        </w:rPr>
      </w:pPr>
      <w:r>
        <w:rPr>
          <w:rFonts w:hint="eastAsia" w:ascii="宋体" w:hAnsi="宋体" w:cs="微软雅黑"/>
          <w:color w:val="auto"/>
          <w:kern w:val="0"/>
          <w:szCs w:val="21"/>
        </w:rPr>
        <w:t>统一社会信用代码：</w:t>
      </w:r>
      <w:r>
        <w:rPr>
          <w:rFonts w:hint="eastAsia" w:ascii="宋体" w:hAnsi="宋体"/>
          <w:color w:val="auto"/>
          <w:szCs w:val="21"/>
          <w:u w:val="single"/>
        </w:rPr>
        <w:t xml:space="preserve">                 </w:t>
      </w:r>
    </w:p>
    <w:p w14:paraId="12546310">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auto"/>
          <w:kern w:val="0"/>
          <w:szCs w:val="21"/>
        </w:rPr>
      </w:pPr>
      <w:r>
        <w:rPr>
          <w:rFonts w:hint="eastAsia" w:ascii="宋体" w:hAnsi="宋体" w:cs="微软雅黑"/>
          <w:color w:val="auto"/>
          <w:kern w:val="0"/>
          <w:szCs w:val="21"/>
        </w:rPr>
        <w:t>注册地址：</w:t>
      </w:r>
      <w:r>
        <w:rPr>
          <w:rFonts w:hint="eastAsia" w:ascii="宋体" w:hAnsi="宋体"/>
          <w:color w:val="auto"/>
          <w:szCs w:val="21"/>
          <w:u w:val="single"/>
        </w:rPr>
        <w:t xml:space="preserve">                 </w:t>
      </w:r>
    </w:p>
    <w:p w14:paraId="00D2B501">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auto"/>
          <w:kern w:val="0"/>
          <w:szCs w:val="21"/>
        </w:rPr>
      </w:pPr>
      <w:r>
        <w:rPr>
          <w:rFonts w:hint="eastAsia" w:ascii="宋体" w:hAnsi="宋体" w:cs="微软雅黑"/>
          <w:color w:val="auto"/>
          <w:kern w:val="0"/>
          <w:szCs w:val="21"/>
        </w:rPr>
        <w:t>姓名：</w:t>
      </w:r>
      <w:r>
        <w:rPr>
          <w:rFonts w:hint="eastAsia" w:ascii="宋体" w:hAnsi="宋体"/>
          <w:color w:val="auto"/>
          <w:szCs w:val="21"/>
          <w:u w:val="single"/>
        </w:rPr>
        <w:t xml:space="preserve">         </w:t>
      </w:r>
      <w:r>
        <w:rPr>
          <w:rFonts w:hint="eastAsia" w:ascii="宋体" w:hAnsi="宋体" w:cs="微软雅黑"/>
          <w:color w:val="auto"/>
          <w:kern w:val="0"/>
          <w:szCs w:val="21"/>
        </w:rPr>
        <w:t>性别：</w:t>
      </w:r>
      <w:r>
        <w:rPr>
          <w:rFonts w:hint="eastAsia" w:ascii="宋体" w:hAnsi="宋体"/>
          <w:color w:val="auto"/>
          <w:szCs w:val="21"/>
          <w:u w:val="single"/>
        </w:rPr>
        <w:t xml:space="preserve">         </w:t>
      </w:r>
      <w:r>
        <w:rPr>
          <w:rFonts w:hint="eastAsia" w:ascii="宋体" w:hAnsi="宋体" w:cs="微软雅黑"/>
          <w:color w:val="auto"/>
          <w:kern w:val="0"/>
          <w:szCs w:val="21"/>
        </w:rPr>
        <w:t>年龄：</w:t>
      </w:r>
      <w:r>
        <w:rPr>
          <w:rFonts w:hint="eastAsia" w:ascii="宋体" w:hAnsi="宋体"/>
          <w:color w:val="auto"/>
          <w:szCs w:val="21"/>
          <w:u w:val="single"/>
        </w:rPr>
        <w:t xml:space="preserve">         </w:t>
      </w:r>
      <w:r>
        <w:rPr>
          <w:rFonts w:hint="eastAsia" w:ascii="宋体" w:hAnsi="宋体" w:cs="微软雅黑"/>
          <w:color w:val="auto"/>
          <w:kern w:val="0"/>
          <w:szCs w:val="21"/>
        </w:rPr>
        <w:t>职务：</w:t>
      </w:r>
      <w:r>
        <w:rPr>
          <w:rFonts w:hint="eastAsia" w:ascii="宋体" w:hAnsi="宋体"/>
          <w:color w:val="auto"/>
          <w:szCs w:val="21"/>
          <w:u w:val="single"/>
        </w:rPr>
        <w:t xml:space="preserve">         </w:t>
      </w:r>
      <w:r>
        <w:rPr>
          <w:rFonts w:hint="eastAsia" w:ascii="宋体" w:hAnsi="宋体" w:cs="微软雅黑"/>
          <w:color w:val="auto"/>
          <w:kern w:val="0"/>
          <w:szCs w:val="21"/>
        </w:rPr>
        <w:t>系</w:t>
      </w:r>
      <w:r>
        <w:rPr>
          <w:rFonts w:hint="eastAsia" w:ascii="宋体" w:hAnsi="宋体"/>
          <w:color w:val="auto"/>
          <w:szCs w:val="21"/>
          <w:u w:val="single"/>
        </w:rPr>
        <w:t xml:space="preserve">         </w:t>
      </w:r>
      <w:r>
        <w:rPr>
          <w:rFonts w:hint="eastAsia" w:ascii="宋体" w:hAnsi="宋体" w:cs="微软雅黑"/>
          <w:color w:val="auto"/>
          <w:kern w:val="0"/>
          <w:szCs w:val="21"/>
        </w:rPr>
        <w:t>（供应商名称）的法定代表人（单位负责人）。</w:t>
      </w:r>
    </w:p>
    <w:p w14:paraId="2A6BB70F">
      <w:pPr>
        <w:autoSpaceDE w:val="0"/>
        <w:autoSpaceDN w:val="0"/>
        <w:adjustRightInd w:val="0"/>
        <w:snapToGrid w:val="0"/>
        <w:spacing w:before="156" w:beforeLines="50" w:line="360" w:lineRule="auto"/>
        <w:ind w:left="520" w:right="-20"/>
        <w:jc w:val="left"/>
        <w:rPr>
          <w:rFonts w:ascii="宋体" w:hAnsi="宋体" w:cs="微软雅黑"/>
          <w:color w:val="auto"/>
          <w:kern w:val="0"/>
          <w:szCs w:val="21"/>
        </w:rPr>
      </w:pPr>
      <w:r>
        <w:rPr>
          <w:rFonts w:hint="eastAsia" w:ascii="宋体" w:hAnsi="宋体" w:cs="微软雅黑"/>
          <w:color w:val="auto"/>
          <w:kern w:val="0"/>
          <w:szCs w:val="21"/>
        </w:rPr>
        <w:t>特此证明。</w:t>
      </w:r>
    </w:p>
    <w:p w14:paraId="65B9950D">
      <w:pPr>
        <w:autoSpaceDE w:val="0"/>
        <w:autoSpaceDN w:val="0"/>
        <w:adjustRightInd w:val="0"/>
        <w:snapToGrid w:val="0"/>
        <w:spacing w:before="156" w:beforeLines="50" w:line="360" w:lineRule="auto"/>
        <w:ind w:left="100" w:right="4231"/>
        <w:jc w:val="left"/>
        <w:rPr>
          <w:rFonts w:ascii="宋体" w:hAnsi="宋体" w:cs="微软雅黑"/>
          <w:color w:val="auto"/>
          <w:kern w:val="0"/>
          <w:szCs w:val="21"/>
        </w:rPr>
      </w:pPr>
      <w:r>
        <w:rPr>
          <w:rFonts w:hint="eastAsia" w:ascii="宋体" w:hAnsi="宋体" w:cs="微软雅黑"/>
          <w:color w:val="auto"/>
          <w:kern w:val="0"/>
          <w:szCs w:val="21"/>
        </w:rPr>
        <w:t>附：法定代表人（单位负责人）身份证复印件。</w:t>
      </w:r>
    </w:p>
    <w:tbl>
      <w:tblPr>
        <w:tblStyle w:val="1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6"/>
        <w:gridCol w:w="3907"/>
      </w:tblGrid>
      <w:tr w14:paraId="44FC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3906" w:type="dxa"/>
            <w:vAlign w:val="center"/>
          </w:tcPr>
          <w:p w14:paraId="27811F97">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kern w:val="0"/>
                <w:szCs w:val="21"/>
              </w:rPr>
              <w:t>复印件</w:t>
            </w:r>
          </w:p>
        </w:tc>
        <w:tc>
          <w:tcPr>
            <w:tcW w:w="3907" w:type="dxa"/>
            <w:vAlign w:val="center"/>
          </w:tcPr>
          <w:p w14:paraId="25B4031A">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kern w:val="0"/>
                <w:szCs w:val="21"/>
              </w:rPr>
              <w:t>复印件</w:t>
            </w:r>
          </w:p>
        </w:tc>
      </w:tr>
    </w:tbl>
    <w:p w14:paraId="78EFCB1D">
      <w:pPr>
        <w:adjustRightInd w:val="0"/>
        <w:snapToGrid w:val="0"/>
        <w:spacing w:before="156" w:beforeLines="50" w:line="360" w:lineRule="auto"/>
        <w:rPr>
          <w:rFonts w:ascii="宋体" w:hAnsi="宋体"/>
          <w:color w:val="auto"/>
          <w:szCs w:val="21"/>
        </w:rPr>
      </w:pPr>
    </w:p>
    <w:p w14:paraId="1079C1D6">
      <w:pPr>
        <w:adjustRightInd w:val="0"/>
        <w:snapToGrid w:val="0"/>
        <w:spacing w:before="156" w:beforeLines="50" w:line="360" w:lineRule="auto"/>
        <w:rPr>
          <w:rFonts w:ascii="宋体" w:hAnsi="宋体"/>
          <w:color w:val="auto"/>
          <w:szCs w:val="21"/>
        </w:rPr>
      </w:pPr>
      <w:r>
        <w:rPr>
          <w:rFonts w:hint="eastAsia" w:ascii="宋体" w:hAnsi="宋体"/>
          <w:color w:val="auto"/>
          <w:szCs w:val="21"/>
        </w:rPr>
        <w:t>注：供应商代表为法定代表人（单位负责人）的提供。供应商为自然人的无需提供。</w:t>
      </w:r>
    </w:p>
    <w:p w14:paraId="4DDA8D16">
      <w:pPr>
        <w:adjustRightInd w:val="0"/>
        <w:snapToGrid w:val="0"/>
        <w:spacing w:before="156" w:beforeLines="50" w:line="360" w:lineRule="auto"/>
        <w:rPr>
          <w:rFonts w:ascii="宋体" w:hAnsi="宋体"/>
          <w:color w:val="auto"/>
          <w:szCs w:val="21"/>
        </w:rPr>
      </w:pPr>
    </w:p>
    <w:p w14:paraId="25874AEA">
      <w:pPr>
        <w:pStyle w:val="11"/>
        <w:adjustRightInd w:val="0"/>
        <w:snapToGrid w:val="0"/>
        <w:spacing w:before="156" w:beforeLines="50" w:line="360" w:lineRule="auto"/>
        <w:rPr>
          <w:rFonts w:hAnsi="宋体"/>
          <w:color w:val="auto"/>
        </w:rPr>
      </w:pPr>
      <w:r>
        <w:rPr>
          <w:rFonts w:hint="eastAsia" w:hAnsi="宋体"/>
          <w:color w:val="auto"/>
        </w:rPr>
        <w:t>供应商名称</w:t>
      </w:r>
      <w:r>
        <w:rPr>
          <w:rFonts w:hint="eastAsia" w:hAnsi="宋体"/>
          <w:color w:val="auto"/>
          <w:lang w:eastAsia="zh-CN"/>
        </w:rPr>
        <w:t>（</w:t>
      </w:r>
      <w:r>
        <w:rPr>
          <w:rFonts w:hint="eastAsia" w:hAnsi="宋体"/>
          <w:color w:val="auto"/>
        </w:rPr>
        <w:t>盖单位公章</w:t>
      </w:r>
      <w:r>
        <w:rPr>
          <w:rFonts w:hint="eastAsia" w:hAnsi="宋体"/>
          <w:color w:val="auto"/>
          <w:lang w:eastAsia="zh-CN"/>
        </w:rPr>
        <w:t>）</w:t>
      </w:r>
      <w:r>
        <w:rPr>
          <w:rFonts w:hint="eastAsia" w:hAnsi="宋体"/>
          <w:color w:val="auto"/>
        </w:rPr>
        <w:t>：</w:t>
      </w:r>
    </w:p>
    <w:p w14:paraId="6A58325D">
      <w:pPr>
        <w:adjustRightInd w:val="0"/>
        <w:snapToGrid w:val="0"/>
        <w:spacing w:before="156" w:beforeLines="50" w:line="360" w:lineRule="auto"/>
        <w:ind w:right="24"/>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3F8AE5E0">
      <w:pPr>
        <w:adjustRightInd w:val="0"/>
        <w:snapToGrid w:val="0"/>
        <w:spacing w:before="156" w:beforeLines="50" w:line="360" w:lineRule="auto"/>
        <w:ind w:right="24"/>
        <w:rPr>
          <w:rFonts w:ascii="宋体" w:hAnsi="宋体"/>
          <w:color w:val="auto"/>
          <w:szCs w:val="21"/>
        </w:rPr>
      </w:pPr>
    </w:p>
    <w:p w14:paraId="65708B06">
      <w:pPr>
        <w:adjustRightInd w:val="0"/>
        <w:snapToGrid w:val="0"/>
        <w:spacing w:before="156" w:beforeLines="50" w:line="360" w:lineRule="auto"/>
        <w:ind w:right="24"/>
        <w:rPr>
          <w:rFonts w:ascii="宋体" w:hAnsi="宋体"/>
          <w:color w:val="auto"/>
          <w:szCs w:val="21"/>
        </w:rPr>
      </w:pPr>
    </w:p>
    <w:p w14:paraId="1CF69ECF">
      <w:pPr>
        <w:adjustRightInd w:val="0"/>
        <w:snapToGrid w:val="0"/>
        <w:spacing w:before="156" w:beforeLines="50" w:line="360" w:lineRule="auto"/>
        <w:ind w:right="24"/>
        <w:rPr>
          <w:b/>
          <w:color w:val="auto"/>
        </w:rPr>
      </w:pPr>
      <w:r>
        <w:rPr>
          <w:rFonts w:hint="eastAsia"/>
          <w:b/>
          <w:color w:val="auto"/>
        </w:rPr>
        <w:t>另备一份开标时现场查验</w:t>
      </w:r>
      <w:bookmarkStart w:id="66" w:name="_Toc34637792"/>
    </w:p>
    <w:p w14:paraId="703CF102">
      <w:pPr>
        <w:widowControl/>
        <w:jc w:val="left"/>
        <w:rPr>
          <w:color w:val="auto"/>
        </w:rPr>
      </w:pPr>
      <w:r>
        <w:rPr>
          <w:color w:val="auto"/>
        </w:rPr>
        <w:br w:type="page"/>
      </w:r>
    </w:p>
    <w:p w14:paraId="726E1461">
      <w:pPr>
        <w:pStyle w:val="5"/>
        <w:jc w:val="center"/>
        <w:rPr>
          <w:rFonts w:ascii="黑体" w:hAnsi="黑体" w:eastAsia="黑体"/>
          <w:color w:val="auto"/>
          <w:sz w:val="28"/>
          <w:szCs w:val="28"/>
        </w:rPr>
      </w:pPr>
      <w:bookmarkStart w:id="67" w:name="_Toc4935"/>
      <w:r>
        <w:rPr>
          <w:rFonts w:hint="eastAsia" w:ascii="黑体" w:hAnsi="黑体" w:eastAsia="黑体"/>
          <w:color w:val="auto"/>
          <w:sz w:val="28"/>
          <w:szCs w:val="28"/>
        </w:rPr>
        <w:t>三、授权委托书</w:t>
      </w:r>
      <w:r>
        <w:rPr>
          <w:rFonts w:hint="eastAsia" w:ascii="黑体" w:hAnsi="黑体" w:eastAsia="黑体"/>
          <w:color w:val="auto"/>
          <w:sz w:val="28"/>
          <w:szCs w:val="28"/>
          <w:lang w:eastAsia="zh-CN"/>
        </w:rPr>
        <w:t>（</w:t>
      </w:r>
      <w:r>
        <w:rPr>
          <w:rFonts w:hint="eastAsia" w:ascii="黑体" w:hAnsi="黑体" w:eastAsia="黑体"/>
          <w:color w:val="auto"/>
          <w:sz w:val="28"/>
          <w:szCs w:val="28"/>
        </w:rPr>
        <w:t>格式</w:t>
      </w:r>
      <w:r>
        <w:rPr>
          <w:rFonts w:hint="eastAsia" w:ascii="黑体" w:hAnsi="黑体" w:eastAsia="黑体"/>
          <w:color w:val="auto"/>
          <w:sz w:val="28"/>
          <w:szCs w:val="28"/>
          <w:lang w:eastAsia="zh-CN"/>
        </w:rPr>
        <w:t>）</w:t>
      </w:r>
      <w:bookmarkEnd w:id="66"/>
      <w:bookmarkEnd w:id="67"/>
    </w:p>
    <w:p w14:paraId="280E90FA">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p>
    <w:p w14:paraId="09F1BABF">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供应商</w:t>
      </w:r>
      <w:r>
        <w:rPr>
          <w:rFonts w:hint="eastAsia" w:ascii="宋体" w:hAnsi="宋体" w:cs="宋体"/>
          <w:color w:val="auto"/>
          <w:kern w:val="0"/>
          <w:szCs w:val="21"/>
        </w:rPr>
        <w:t>名称）的法定代表人</w:t>
      </w:r>
      <w:r>
        <w:rPr>
          <w:rFonts w:hint="eastAsia" w:ascii="宋体" w:hAnsi="宋体" w:cs="微软雅黑"/>
          <w:color w:val="auto"/>
          <w:kern w:val="0"/>
          <w:szCs w:val="21"/>
        </w:rPr>
        <w:t>（单位负责人）</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w:t>
      </w:r>
      <w:r>
        <w:rPr>
          <w:rFonts w:hint="eastAsia" w:ascii="宋体" w:hAnsi="宋体" w:cs="宋体"/>
          <w:color w:val="auto"/>
          <w:kern w:val="0"/>
          <w:szCs w:val="21"/>
          <w:lang w:eastAsia="zh-CN"/>
        </w:rPr>
        <w:t>（</w:t>
      </w:r>
      <w:r>
        <w:rPr>
          <w:rFonts w:hint="eastAsia" w:ascii="宋体" w:hAnsi="宋体" w:cs="宋体"/>
          <w:color w:val="auto"/>
          <w:kern w:val="0"/>
          <w:szCs w:val="21"/>
        </w:rPr>
        <w:t>1</w:t>
      </w:r>
      <w:r>
        <w:rPr>
          <w:rFonts w:hint="eastAsia" w:ascii="宋体" w:hAnsi="宋体" w:cs="宋体"/>
          <w:color w:val="auto"/>
          <w:kern w:val="0"/>
          <w:szCs w:val="21"/>
          <w:lang w:eastAsia="zh-CN"/>
        </w:rPr>
        <w:t>）</w:t>
      </w:r>
      <w:r>
        <w:rPr>
          <w:rFonts w:hint="eastAsia" w:ascii="宋体" w:hAnsi="宋体" w:cs="宋体"/>
          <w:color w:val="auto"/>
          <w:kern w:val="0"/>
          <w:szCs w:val="21"/>
        </w:rPr>
        <w:t>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olor w:val="auto"/>
          <w:szCs w:val="21"/>
          <w:lang w:eastAsia="zh-CN"/>
        </w:rPr>
        <w:t>采购项目编号</w:t>
      </w:r>
      <w:r>
        <w:rPr>
          <w:rFonts w:hint="eastAsia" w:ascii="宋体" w:hAnsi="宋体" w:cs="宋体"/>
          <w:color w:val="auto"/>
          <w:kern w:val="0"/>
          <w:szCs w:val="21"/>
        </w:rPr>
        <w:t>、代理机构编号）响应文件；</w:t>
      </w:r>
      <w:r>
        <w:rPr>
          <w:rFonts w:hint="eastAsia" w:ascii="宋体" w:hAnsi="宋体" w:cs="宋体"/>
          <w:color w:val="auto"/>
          <w:kern w:val="0"/>
          <w:szCs w:val="21"/>
          <w:lang w:eastAsia="zh-CN"/>
        </w:rPr>
        <w:t>（</w:t>
      </w:r>
      <w:r>
        <w:rPr>
          <w:rFonts w:hint="eastAsia" w:ascii="宋体" w:hAnsi="宋体" w:cs="宋体"/>
          <w:color w:val="auto"/>
          <w:kern w:val="0"/>
          <w:szCs w:val="21"/>
        </w:rPr>
        <w:t>2</w:t>
      </w:r>
      <w:r>
        <w:rPr>
          <w:rFonts w:hint="eastAsia" w:ascii="宋体" w:hAnsi="宋体" w:cs="宋体"/>
          <w:color w:val="auto"/>
          <w:kern w:val="0"/>
          <w:szCs w:val="21"/>
          <w:lang w:eastAsia="zh-CN"/>
        </w:rPr>
        <w:t>）</w:t>
      </w:r>
      <w:r>
        <w:rPr>
          <w:rFonts w:hint="eastAsia" w:ascii="宋体" w:hAnsi="宋体" w:cs="宋体"/>
          <w:color w:val="auto"/>
          <w:kern w:val="0"/>
          <w:szCs w:val="21"/>
        </w:rPr>
        <w:t>签署并重新提交响应文件及最后报价；</w:t>
      </w:r>
      <w:r>
        <w:rPr>
          <w:rFonts w:hint="eastAsia" w:ascii="宋体" w:hAnsi="宋体" w:cs="宋体"/>
          <w:color w:val="auto"/>
          <w:kern w:val="0"/>
          <w:szCs w:val="21"/>
          <w:lang w:eastAsia="zh-CN"/>
        </w:rPr>
        <w:t>（</w:t>
      </w:r>
      <w:r>
        <w:rPr>
          <w:rFonts w:hint="eastAsia" w:ascii="宋体" w:hAnsi="宋体" w:cs="宋体"/>
          <w:color w:val="auto"/>
          <w:kern w:val="0"/>
          <w:szCs w:val="21"/>
        </w:rPr>
        <w:t>3</w:t>
      </w:r>
      <w:r>
        <w:rPr>
          <w:rFonts w:hint="eastAsia" w:ascii="宋体" w:hAnsi="宋体" w:cs="宋体"/>
          <w:color w:val="auto"/>
          <w:kern w:val="0"/>
          <w:szCs w:val="21"/>
          <w:lang w:eastAsia="zh-CN"/>
        </w:rPr>
        <w:t>）</w:t>
      </w:r>
      <w:r>
        <w:rPr>
          <w:rFonts w:hint="eastAsia" w:ascii="宋体" w:hAnsi="宋体" w:cs="宋体"/>
          <w:color w:val="auto"/>
          <w:kern w:val="0"/>
          <w:szCs w:val="21"/>
        </w:rPr>
        <w:t>退出磋商（如可能）；</w:t>
      </w:r>
      <w:r>
        <w:rPr>
          <w:rFonts w:hint="eastAsia" w:ascii="宋体" w:hAnsi="宋体" w:cs="宋体"/>
          <w:color w:val="auto"/>
          <w:kern w:val="0"/>
          <w:szCs w:val="21"/>
          <w:lang w:eastAsia="zh-CN"/>
        </w:rPr>
        <w:t>（</w:t>
      </w:r>
      <w:r>
        <w:rPr>
          <w:rFonts w:hint="eastAsia" w:ascii="宋体" w:hAnsi="宋体" w:cs="宋体"/>
          <w:color w:val="auto"/>
          <w:kern w:val="0"/>
          <w:szCs w:val="21"/>
        </w:rPr>
        <w:t>4</w:t>
      </w:r>
      <w:r>
        <w:rPr>
          <w:rFonts w:hint="eastAsia" w:ascii="宋体" w:hAnsi="宋体" w:cs="宋体"/>
          <w:color w:val="auto"/>
          <w:kern w:val="0"/>
          <w:szCs w:val="21"/>
          <w:lang w:eastAsia="zh-CN"/>
        </w:rPr>
        <w:t>）</w:t>
      </w:r>
      <w:r>
        <w:rPr>
          <w:rFonts w:hint="eastAsia" w:ascii="宋体" w:hAnsi="宋体" w:cs="宋体"/>
          <w:color w:val="auto"/>
          <w:kern w:val="0"/>
          <w:szCs w:val="21"/>
        </w:rPr>
        <w:t>签订合同和处理有关事宜，其法律后果由我方承担。</w:t>
      </w:r>
    </w:p>
    <w:p w14:paraId="68A48AD1">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7AD32E32">
      <w:pPr>
        <w:adjustRightInd w:val="0"/>
        <w:snapToGrid w:val="0"/>
        <w:spacing w:before="156" w:beforeLines="50"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669CA6D8">
      <w:pPr>
        <w:adjustRightInd w:val="0"/>
        <w:snapToGrid w:val="0"/>
        <w:spacing w:before="156" w:beforeLines="50"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1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1"/>
        <w:gridCol w:w="3922"/>
      </w:tblGrid>
      <w:tr w14:paraId="4983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trPr>
        <w:tc>
          <w:tcPr>
            <w:tcW w:w="3921" w:type="dxa"/>
            <w:vAlign w:val="center"/>
          </w:tcPr>
          <w:p w14:paraId="2694C251">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kern w:val="0"/>
                <w:szCs w:val="21"/>
              </w:rPr>
              <w:t>复印件</w:t>
            </w:r>
          </w:p>
        </w:tc>
        <w:tc>
          <w:tcPr>
            <w:tcW w:w="3922" w:type="dxa"/>
            <w:vAlign w:val="center"/>
          </w:tcPr>
          <w:p w14:paraId="6F1414E1">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kern w:val="0"/>
                <w:szCs w:val="21"/>
              </w:rPr>
              <w:t>复印件</w:t>
            </w:r>
          </w:p>
        </w:tc>
      </w:tr>
    </w:tbl>
    <w:p w14:paraId="0CA01DFC">
      <w:pPr>
        <w:adjustRightInd w:val="0"/>
        <w:snapToGrid w:val="0"/>
        <w:spacing w:before="156" w:beforeLines="50" w:line="360" w:lineRule="auto"/>
        <w:ind w:firstLine="420" w:firstLineChars="200"/>
        <w:rPr>
          <w:rFonts w:ascii="宋体" w:hAnsi="宋体"/>
          <w:color w:val="auto"/>
          <w:szCs w:val="21"/>
        </w:rPr>
      </w:pPr>
    </w:p>
    <w:p w14:paraId="54401E0B">
      <w:pPr>
        <w:adjustRightInd w:val="0"/>
        <w:snapToGrid w:val="0"/>
        <w:spacing w:before="156" w:beforeLines="50" w:line="360" w:lineRule="auto"/>
        <w:rPr>
          <w:rFonts w:ascii="宋体" w:hAnsi="宋体"/>
          <w:color w:val="auto"/>
          <w:szCs w:val="21"/>
        </w:rPr>
      </w:pPr>
      <w:r>
        <w:rPr>
          <w:rFonts w:hint="eastAsia" w:ascii="宋体" w:hAnsi="宋体"/>
          <w:color w:val="auto"/>
          <w:szCs w:val="21"/>
        </w:rPr>
        <w:t>注：供应商代表不是供应商的法定代表人（单位负责人）的提供。供应商为自然人的无需提供。</w:t>
      </w:r>
    </w:p>
    <w:p w14:paraId="4965EA32">
      <w:pPr>
        <w:adjustRightInd w:val="0"/>
        <w:snapToGrid w:val="0"/>
        <w:spacing w:before="156" w:beforeLines="50" w:line="360" w:lineRule="auto"/>
        <w:ind w:firstLine="420" w:firstLineChars="200"/>
        <w:rPr>
          <w:rFonts w:ascii="宋体" w:hAnsi="宋体"/>
          <w:color w:val="auto"/>
          <w:szCs w:val="21"/>
        </w:rPr>
      </w:pPr>
    </w:p>
    <w:p w14:paraId="786EB99C">
      <w:pPr>
        <w:pStyle w:val="11"/>
        <w:adjustRightInd w:val="0"/>
        <w:snapToGrid w:val="0"/>
        <w:spacing w:before="156" w:beforeLines="50" w:line="360" w:lineRule="auto"/>
        <w:rPr>
          <w:rFonts w:hAnsi="宋体"/>
          <w:color w:val="auto"/>
        </w:rPr>
      </w:pPr>
      <w:r>
        <w:rPr>
          <w:rFonts w:hint="eastAsia" w:hAnsi="宋体"/>
          <w:color w:val="auto"/>
        </w:rPr>
        <w:t>供应商名称</w:t>
      </w:r>
      <w:r>
        <w:rPr>
          <w:rFonts w:hint="eastAsia" w:hAnsi="宋体"/>
          <w:color w:val="auto"/>
          <w:lang w:eastAsia="zh-CN"/>
        </w:rPr>
        <w:t>（</w:t>
      </w:r>
      <w:r>
        <w:rPr>
          <w:rFonts w:hint="eastAsia" w:hAnsi="宋体"/>
          <w:color w:val="auto"/>
        </w:rPr>
        <w:t>盖单位公章</w:t>
      </w:r>
      <w:r>
        <w:rPr>
          <w:rFonts w:hint="eastAsia" w:hAnsi="宋体"/>
          <w:color w:val="auto"/>
          <w:lang w:eastAsia="zh-CN"/>
        </w:rPr>
        <w:t>）</w:t>
      </w:r>
      <w:r>
        <w:rPr>
          <w:rFonts w:hint="eastAsia" w:hAnsi="宋体"/>
          <w:color w:val="auto"/>
        </w:rPr>
        <w:t>：</w:t>
      </w:r>
    </w:p>
    <w:p w14:paraId="12F1FE4C">
      <w:pPr>
        <w:adjustRightInd w:val="0"/>
        <w:snapToGrid w:val="0"/>
        <w:spacing w:before="156" w:beforeLines="50" w:line="360" w:lineRule="auto"/>
        <w:rPr>
          <w:rFonts w:hint="eastAsia" w:ascii="宋体" w:hAnsi="宋体"/>
          <w:color w:val="auto"/>
          <w:szCs w:val="21"/>
          <w:u w:val="single"/>
        </w:rPr>
      </w:pPr>
      <w:r>
        <w:rPr>
          <w:rFonts w:hint="eastAsia" w:ascii="宋体" w:hAnsi="宋体" w:cs="微软雅黑"/>
          <w:color w:val="auto"/>
          <w:kern w:val="0"/>
          <w:szCs w:val="21"/>
        </w:rPr>
        <w:t>法定代表人（单位负责人）</w:t>
      </w:r>
      <w:r>
        <w:rPr>
          <w:rFonts w:hint="eastAsia" w:ascii="宋体" w:hAnsi="宋体"/>
          <w:color w:val="auto"/>
          <w:szCs w:val="21"/>
        </w:rPr>
        <w:t>（签字或印章）：</w:t>
      </w:r>
      <w:r>
        <w:rPr>
          <w:rFonts w:hint="eastAsia" w:ascii="宋体" w:hAnsi="宋体"/>
          <w:color w:val="auto"/>
          <w:szCs w:val="21"/>
          <w:u w:val="single"/>
        </w:rPr>
        <w:t xml:space="preserve">               </w:t>
      </w:r>
    </w:p>
    <w:p w14:paraId="399EFEF6">
      <w:pPr>
        <w:adjustRightInd w:val="0"/>
        <w:snapToGrid w:val="0"/>
        <w:spacing w:before="156" w:beforeLines="50" w:line="360" w:lineRule="auto"/>
        <w:rPr>
          <w:rFonts w:hint="eastAsia" w:ascii="宋体" w:hAnsi="宋体" w:eastAsia="宋体" w:cs="微软雅黑"/>
          <w:color w:val="auto"/>
          <w:kern w:val="0"/>
          <w:sz w:val="21"/>
          <w:szCs w:val="21"/>
          <w:lang w:val="en-US" w:eastAsia="zh-CN" w:bidi="ar-SA"/>
        </w:rPr>
      </w:pPr>
      <w:r>
        <w:rPr>
          <w:rFonts w:hint="eastAsia" w:ascii="宋体" w:hAnsi="宋体" w:eastAsia="宋体" w:cs="微软雅黑"/>
          <w:color w:val="auto"/>
          <w:kern w:val="0"/>
          <w:sz w:val="21"/>
          <w:szCs w:val="21"/>
          <w:lang w:val="en-US" w:eastAsia="zh-CN" w:bidi="ar-SA"/>
        </w:rPr>
        <w:t>授权代理人（签字或印章）：</w:t>
      </w:r>
      <w:r>
        <w:rPr>
          <w:rFonts w:hint="eastAsia" w:ascii="宋体" w:hAnsi="宋体"/>
          <w:color w:val="auto"/>
          <w:szCs w:val="21"/>
          <w:u w:val="single"/>
        </w:rPr>
        <w:t xml:space="preserve">               </w:t>
      </w:r>
    </w:p>
    <w:p w14:paraId="0CE05854">
      <w:pPr>
        <w:adjustRightInd w:val="0"/>
        <w:snapToGrid w:val="0"/>
        <w:spacing w:before="156" w:beforeLines="50"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5A63885">
      <w:pPr>
        <w:adjustRightInd w:val="0"/>
        <w:snapToGrid w:val="0"/>
        <w:spacing w:before="156" w:beforeLines="50" w:line="360" w:lineRule="auto"/>
        <w:rPr>
          <w:b/>
          <w:color w:val="auto"/>
        </w:rPr>
      </w:pPr>
    </w:p>
    <w:p w14:paraId="7B368569">
      <w:pPr>
        <w:adjustRightInd w:val="0"/>
        <w:snapToGrid w:val="0"/>
        <w:spacing w:before="156" w:beforeLines="50" w:line="360" w:lineRule="auto"/>
        <w:rPr>
          <w:rFonts w:hint="eastAsia"/>
          <w:b/>
          <w:color w:val="auto"/>
        </w:rPr>
      </w:pPr>
      <w:r>
        <w:rPr>
          <w:rFonts w:hint="eastAsia"/>
          <w:b/>
          <w:color w:val="auto"/>
        </w:rPr>
        <w:t>另备一份开标时现场查验</w:t>
      </w:r>
    </w:p>
    <w:p w14:paraId="6403935F">
      <w:pPr>
        <w:rPr>
          <w:rFonts w:hint="eastAsia"/>
          <w:b/>
          <w:color w:val="auto"/>
        </w:rPr>
      </w:pPr>
      <w:r>
        <w:rPr>
          <w:rFonts w:hint="eastAsia"/>
          <w:b/>
          <w:color w:val="auto"/>
        </w:rPr>
        <w:br w:type="page"/>
      </w:r>
    </w:p>
    <w:p w14:paraId="362DD3AC">
      <w:pPr>
        <w:pStyle w:val="5"/>
        <w:jc w:val="center"/>
        <w:rPr>
          <w:rFonts w:ascii="黑体" w:hAnsi="黑体" w:eastAsia="黑体"/>
          <w:color w:val="auto"/>
          <w:sz w:val="28"/>
          <w:szCs w:val="28"/>
        </w:rPr>
      </w:pPr>
      <w:bookmarkStart w:id="68" w:name="_Toc11293"/>
      <w:r>
        <w:rPr>
          <w:rFonts w:hint="eastAsia" w:ascii="黑体" w:hAnsi="黑体" w:eastAsia="黑体"/>
          <w:color w:val="auto"/>
          <w:sz w:val="28"/>
          <w:szCs w:val="28"/>
          <w:lang w:val="en-US" w:eastAsia="zh-CN"/>
        </w:rPr>
        <w:t>四</w:t>
      </w:r>
      <w:r>
        <w:rPr>
          <w:rFonts w:hint="eastAsia" w:ascii="黑体" w:hAnsi="黑体" w:eastAsia="黑体"/>
          <w:color w:val="auto"/>
          <w:sz w:val="28"/>
          <w:szCs w:val="28"/>
        </w:rPr>
        <w:t>、供应商的资格证明材料</w:t>
      </w:r>
      <w:bookmarkEnd w:id="68"/>
    </w:p>
    <w:p w14:paraId="238C6138">
      <w:pPr>
        <w:adjustRightInd w:val="0"/>
        <w:snapToGrid w:val="0"/>
        <w:jc w:val="center"/>
        <w:rPr>
          <w:rFonts w:ascii="新宋体" w:hAnsi="新宋体" w:eastAsia="新宋体" w:cs="新宋体"/>
          <w:color w:val="auto"/>
          <w:sz w:val="24"/>
        </w:rPr>
      </w:pPr>
      <w:r>
        <w:rPr>
          <w:rFonts w:hint="eastAsia" w:ascii="新宋体" w:hAnsi="新宋体" w:eastAsia="新宋体" w:cs="新宋体"/>
          <w:color w:val="auto"/>
          <w:sz w:val="24"/>
        </w:rPr>
        <w:t>供应商基本情况表</w:t>
      </w:r>
    </w:p>
    <w:p w14:paraId="63A13225">
      <w:pPr>
        <w:adjustRightInd w:val="0"/>
        <w:snapToGrid w:val="0"/>
        <w:rPr>
          <w:rFonts w:ascii="新宋体" w:hAnsi="新宋体" w:eastAsia="新宋体" w:cs="新宋体"/>
          <w:color w:val="auto"/>
          <w:sz w:val="24"/>
        </w:rPr>
      </w:pPr>
      <w:r>
        <w:rPr>
          <w:rFonts w:hint="eastAsia" w:ascii="新宋体" w:hAnsi="新宋体" w:eastAsia="新宋体" w:cs="新宋体"/>
          <w:color w:val="auto"/>
          <w:sz w:val="24"/>
        </w:rPr>
        <w:t>盖供应商单位章</w:t>
      </w:r>
    </w:p>
    <w:tbl>
      <w:tblPr>
        <w:tblStyle w:val="19"/>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725"/>
        <w:gridCol w:w="780"/>
        <w:gridCol w:w="850"/>
        <w:gridCol w:w="590"/>
        <w:gridCol w:w="294"/>
        <w:gridCol w:w="1083"/>
        <w:gridCol w:w="1329"/>
        <w:gridCol w:w="2163"/>
      </w:tblGrid>
      <w:tr w14:paraId="400CA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83" w:type="dxa"/>
            <w:gridSpan w:val="3"/>
            <w:tcBorders>
              <w:top w:val="double" w:color="auto" w:sz="4" w:space="0"/>
              <w:left w:val="double" w:color="auto" w:sz="4" w:space="0"/>
              <w:bottom w:val="single" w:color="auto" w:sz="6" w:space="0"/>
              <w:right w:val="single" w:color="auto" w:sz="6" w:space="0"/>
            </w:tcBorders>
            <w:vAlign w:val="center"/>
          </w:tcPr>
          <w:p w14:paraId="6D6FEB5F">
            <w:pPr>
              <w:topLinePunct/>
              <w:jc w:val="center"/>
              <w:rPr>
                <w:rFonts w:ascii="新宋体" w:hAnsi="新宋体" w:eastAsia="新宋体" w:cs="新宋体"/>
                <w:color w:val="auto"/>
                <w:sz w:val="24"/>
              </w:rPr>
            </w:pPr>
            <w:r>
              <w:rPr>
                <w:rFonts w:hint="eastAsia" w:ascii="新宋体" w:hAnsi="新宋体" w:eastAsia="新宋体" w:cs="新宋体"/>
                <w:color w:val="auto"/>
                <w:sz w:val="24"/>
              </w:rPr>
              <w:t>供应商名称</w:t>
            </w:r>
          </w:p>
        </w:tc>
        <w:tc>
          <w:tcPr>
            <w:tcW w:w="3597" w:type="dxa"/>
            <w:gridSpan w:val="5"/>
            <w:tcBorders>
              <w:top w:val="double" w:color="auto" w:sz="4" w:space="0"/>
              <w:left w:val="single" w:color="auto" w:sz="6" w:space="0"/>
              <w:bottom w:val="single" w:color="auto" w:sz="6" w:space="0"/>
              <w:right w:val="single" w:color="auto" w:sz="6" w:space="0"/>
            </w:tcBorders>
            <w:vAlign w:val="center"/>
          </w:tcPr>
          <w:p w14:paraId="5370D244">
            <w:pPr>
              <w:topLinePunct/>
              <w:jc w:val="center"/>
              <w:rPr>
                <w:rFonts w:ascii="新宋体" w:hAnsi="新宋体" w:eastAsia="新宋体" w:cs="新宋体"/>
                <w:color w:val="auto"/>
                <w:sz w:val="24"/>
              </w:rPr>
            </w:pPr>
          </w:p>
        </w:tc>
        <w:tc>
          <w:tcPr>
            <w:tcW w:w="1329" w:type="dxa"/>
            <w:tcBorders>
              <w:top w:val="double" w:color="auto" w:sz="4" w:space="0"/>
              <w:left w:val="single" w:color="auto" w:sz="6" w:space="0"/>
              <w:bottom w:val="single" w:color="auto" w:sz="6" w:space="0"/>
              <w:right w:val="single" w:color="auto" w:sz="6" w:space="0"/>
            </w:tcBorders>
            <w:vAlign w:val="center"/>
          </w:tcPr>
          <w:p w14:paraId="2EB239AD">
            <w:pPr>
              <w:topLinePunct/>
              <w:jc w:val="center"/>
              <w:rPr>
                <w:rFonts w:ascii="新宋体" w:hAnsi="新宋体" w:eastAsia="新宋体" w:cs="新宋体"/>
                <w:color w:val="auto"/>
                <w:sz w:val="24"/>
              </w:rPr>
            </w:pPr>
            <w:r>
              <w:rPr>
                <w:rFonts w:hint="eastAsia" w:ascii="新宋体" w:hAnsi="新宋体" w:eastAsia="新宋体" w:cs="新宋体"/>
                <w:color w:val="auto"/>
                <w:sz w:val="24"/>
              </w:rPr>
              <w:t>法定代表人</w:t>
            </w:r>
          </w:p>
        </w:tc>
        <w:tc>
          <w:tcPr>
            <w:tcW w:w="2163" w:type="dxa"/>
            <w:tcBorders>
              <w:top w:val="double" w:color="auto" w:sz="4" w:space="0"/>
              <w:left w:val="single" w:color="auto" w:sz="6" w:space="0"/>
              <w:bottom w:val="single" w:color="auto" w:sz="6" w:space="0"/>
              <w:right w:val="double" w:color="auto" w:sz="4" w:space="0"/>
            </w:tcBorders>
            <w:vAlign w:val="center"/>
          </w:tcPr>
          <w:p w14:paraId="7F8F5A80">
            <w:pPr>
              <w:topLinePunct/>
              <w:jc w:val="center"/>
              <w:rPr>
                <w:rFonts w:ascii="新宋体" w:hAnsi="新宋体" w:eastAsia="新宋体" w:cs="新宋体"/>
                <w:color w:val="auto"/>
                <w:sz w:val="24"/>
              </w:rPr>
            </w:pPr>
          </w:p>
        </w:tc>
      </w:tr>
      <w:tr w14:paraId="435B5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83" w:type="dxa"/>
            <w:gridSpan w:val="3"/>
            <w:tcBorders>
              <w:top w:val="single" w:color="auto" w:sz="6" w:space="0"/>
              <w:left w:val="double" w:color="auto" w:sz="4" w:space="0"/>
              <w:bottom w:val="single" w:color="auto" w:sz="6" w:space="0"/>
              <w:right w:val="single" w:color="auto" w:sz="6" w:space="0"/>
            </w:tcBorders>
            <w:vAlign w:val="center"/>
          </w:tcPr>
          <w:p w14:paraId="6533D4F0">
            <w:pPr>
              <w:topLinePunct/>
              <w:jc w:val="center"/>
              <w:rPr>
                <w:rFonts w:ascii="新宋体" w:hAnsi="新宋体" w:eastAsia="新宋体" w:cs="新宋体"/>
                <w:color w:val="auto"/>
                <w:sz w:val="24"/>
              </w:rPr>
            </w:pPr>
            <w:r>
              <w:rPr>
                <w:rFonts w:hint="eastAsia" w:ascii="新宋体" w:hAnsi="新宋体" w:eastAsia="新宋体" w:cs="新宋体"/>
                <w:color w:val="auto"/>
                <w:sz w:val="24"/>
              </w:rPr>
              <w:t>组织机构代码</w:t>
            </w:r>
          </w:p>
        </w:tc>
        <w:tc>
          <w:tcPr>
            <w:tcW w:w="3597" w:type="dxa"/>
            <w:gridSpan w:val="5"/>
            <w:tcBorders>
              <w:top w:val="single" w:color="auto" w:sz="6" w:space="0"/>
              <w:left w:val="single" w:color="auto" w:sz="6" w:space="0"/>
              <w:bottom w:val="single" w:color="auto" w:sz="6" w:space="0"/>
              <w:right w:val="single" w:color="auto" w:sz="6" w:space="0"/>
            </w:tcBorders>
            <w:vAlign w:val="center"/>
          </w:tcPr>
          <w:p w14:paraId="14A54AFB">
            <w:pPr>
              <w:topLinePunct/>
              <w:jc w:val="center"/>
              <w:rPr>
                <w:rFonts w:ascii="新宋体" w:hAnsi="新宋体" w:eastAsia="新宋体" w:cs="新宋体"/>
                <w:color w:val="auto"/>
                <w:sz w:val="24"/>
              </w:rPr>
            </w:pPr>
          </w:p>
        </w:tc>
        <w:tc>
          <w:tcPr>
            <w:tcW w:w="1329" w:type="dxa"/>
            <w:tcBorders>
              <w:top w:val="single" w:color="auto" w:sz="6" w:space="0"/>
              <w:left w:val="single" w:color="auto" w:sz="6" w:space="0"/>
              <w:bottom w:val="single" w:color="auto" w:sz="6" w:space="0"/>
              <w:right w:val="single" w:color="auto" w:sz="6" w:space="0"/>
            </w:tcBorders>
            <w:vAlign w:val="center"/>
          </w:tcPr>
          <w:p w14:paraId="15530830">
            <w:pPr>
              <w:topLinePunct/>
              <w:jc w:val="center"/>
              <w:rPr>
                <w:rFonts w:ascii="新宋体" w:hAnsi="新宋体" w:eastAsia="新宋体" w:cs="新宋体"/>
                <w:color w:val="auto"/>
                <w:sz w:val="24"/>
              </w:rPr>
            </w:pPr>
            <w:r>
              <w:rPr>
                <w:rFonts w:hint="eastAsia" w:ascii="新宋体" w:hAnsi="新宋体" w:eastAsia="新宋体" w:cs="新宋体"/>
                <w:color w:val="auto"/>
                <w:sz w:val="24"/>
              </w:rPr>
              <w:t>邮政编码</w:t>
            </w:r>
          </w:p>
        </w:tc>
        <w:tc>
          <w:tcPr>
            <w:tcW w:w="2163" w:type="dxa"/>
            <w:tcBorders>
              <w:top w:val="single" w:color="auto" w:sz="6" w:space="0"/>
              <w:left w:val="single" w:color="auto" w:sz="6" w:space="0"/>
              <w:bottom w:val="single" w:color="auto" w:sz="6" w:space="0"/>
              <w:right w:val="double" w:color="auto" w:sz="4" w:space="0"/>
            </w:tcBorders>
            <w:vAlign w:val="center"/>
          </w:tcPr>
          <w:p w14:paraId="082901DC">
            <w:pPr>
              <w:topLinePunct/>
              <w:jc w:val="center"/>
              <w:rPr>
                <w:rFonts w:ascii="新宋体" w:hAnsi="新宋体" w:eastAsia="新宋体" w:cs="新宋体"/>
                <w:color w:val="auto"/>
                <w:sz w:val="24"/>
              </w:rPr>
            </w:pPr>
          </w:p>
        </w:tc>
      </w:tr>
      <w:tr w14:paraId="4AAD12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983" w:type="dxa"/>
            <w:gridSpan w:val="3"/>
            <w:tcBorders>
              <w:top w:val="single" w:color="auto" w:sz="6" w:space="0"/>
              <w:left w:val="double" w:color="auto" w:sz="4" w:space="0"/>
              <w:bottom w:val="single" w:color="auto" w:sz="6" w:space="0"/>
              <w:right w:val="single" w:color="auto" w:sz="6" w:space="0"/>
            </w:tcBorders>
            <w:vAlign w:val="center"/>
          </w:tcPr>
          <w:p w14:paraId="31371BF8">
            <w:pPr>
              <w:topLinePunct/>
              <w:jc w:val="center"/>
              <w:rPr>
                <w:rFonts w:ascii="新宋体" w:hAnsi="新宋体" w:eastAsia="新宋体" w:cs="新宋体"/>
                <w:color w:val="auto"/>
                <w:sz w:val="24"/>
              </w:rPr>
            </w:pPr>
            <w:r>
              <w:rPr>
                <w:rFonts w:hint="eastAsia" w:ascii="新宋体" w:hAnsi="新宋体" w:eastAsia="新宋体" w:cs="新宋体"/>
                <w:color w:val="auto"/>
                <w:sz w:val="24"/>
              </w:rPr>
              <w:t>委托代理人</w:t>
            </w:r>
          </w:p>
        </w:tc>
        <w:tc>
          <w:tcPr>
            <w:tcW w:w="3597" w:type="dxa"/>
            <w:gridSpan w:val="5"/>
            <w:tcBorders>
              <w:top w:val="single" w:color="auto" w:sz="6" w:space="0"/>
              <w:left w:val="single" w:color="auto" w:sz="6" w:space="0"/>
              <w:bottom w:val="single" w:color="auto" w:sz="6" w:space="0"/>
              <w:right w:val="single" w:color="auto" w:sz="6" w:space="0"/>
            </w:tcBorders>
            <w:vAlign w:val="center"/>
          </w:tcPr>
          <w:p w14:paraId="1474F5A8">
            <w:pPr>
              <w:topLinePunct/>
              <w:jc w:val="center"/>
              <w:rPr>
                <w:rFonts w:ascii="新宋体" w:hAnsi="新宋体" w:eastAsia="新宋体" w:cs="新宋体"/>
                <w:color w:val="auto"/>
                <w:sz w:val="24"/>
              </w:rPr>
            </w:pPr>
          </w:p>
        </w:tc>
        <w:tc>
          <w:tcPr>
            <w:tcW w:w="1329" w:type="dxa"/>
            <w:tcBorders>
              <w:top w:val="single" w:color="auto" w:sz="6" w:space="0"/>
              <w:left w:val="single" w:color="auto" w:sz="6" w:space="0"/>
              <w:bottom w:val="single" w:color="auto" w:sz="6" w:space="0"/>
              <w:right w:val="single" w:color="auto" w:sz="6" w:space="0"/>
            </w:tcBorders>
            <w:vAlign w:val="center"/>
          </w:tcPr>
          <w:p w14:paraId="1B2B2840">
            <w:pPr>
              <w:topLinePunct/>
              <w:jc w:val="center"/>
              <w:rPr>
                <w:rFonts w:ascii="新宋体" w:hAnsi="新宋体" w:eastAsia="新宋体" w:cs="新宋体"/>
                <w:color w:val="auto"/>
                <w:sz w:val="24"/>
              </w:rPr>
            </w:pPr>
            <w:r>
              <w:rPr>
                <w:rFonts w:hint="eastAsia" w:ascii="新宋体" w:hAnsi="新宋体" w:eastAsia="新宋体" w:cs="新宋体"/>
                <w:color w:val="auto"/>
                <w:sz w:val="24"/>
              </w:rPr>
              <w:t>电子邮箱</w:t>
            </w:r>
          </w:p>
        </w:tc>
        <w:tc>
          <w:tcPr>
            <w:tcW w:w="2163" w:type="dxa"/>
            <w:tcBorders>
              <w:top w:val="single" w:color="auto" w:sz="6" w:space="0"/>
              <w:left w:val="single" w:color="auto" w:sz="6" w:space="0"/>
              <w:bottom w:val="single" w:color="auto" w:sz="6" w:space="0"/>
              <w:right w:val="double" w:color="auto" w:sz="4" w:space="0"/>
            </w:tcBorders>
            <w:vAlign w:val="center"/>
          </w:tcPr>
          <w:p w14:paraId="4C63F922">
            <w:pPr>
              <w:topLinePunct/>
              <w:jc w:val="center"/>
              <w:rPr>
                <w:rFonts w:ascii="新宋体" w:hAnsi="新宋体" w:eastAsia="新宋体" w:cs="新宋体"/>
                <w:color w:val="auto"/>
                <w:sz w:val="24"/>
              </w:rPr>
            </w:pPr>
          </w:p>
        </w:tc>
      </w:tr>
      <w:tr w14:paraId="4C3A0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983" w:type="dxa"/>
            <w:gridSpan w:val="3"/>
            <w:tcBorders>
              <w:top w:val="single" w:color="auto" w:sz="6" w:space="0"/>
              <w:left w:val="double" w:color="auto" w:sz="4" w:space="0"/>
              <w:bottom w:val="single" w:color="auto" w:sz="6" w:space="0"/>
              <w:right w:val="single" w:color="auto" w:sz="6" w:space="0"/>
            </w:tcBorders>
            <w:vAlign w:val="center"/>
          </w:tcPr>
          <w:p w14:paraId="616AC060">
            <w:pPr>
              <w:topLinePunct/>
              <w:jc w:val="center"/>
              <w:rPr>
                <w:rFonts w:ascii="新宋体" w:hAnsi="新宋体" w:eastAsia="新宋体" w:cs="新宋体"/>
                <w:color w:val="auto"/>
                <w:sz w:val="24"/>
              </w:rPr>
            </w:pPr>
            <w:r>
              <w:rPr>
                <w:rFonts w:hint="eastAsia" w:ascii="新宋体" w:hAnsi="新宋体" w:eastAsia="新宋体" w:cs="新宋体"/>
                <w:color w:val="auto"/>
                <w:sz w:val="24"/>
              </w:rPr>
              <w:t>上年营业收入</w:t>
            </w:r>
          </w:p>
        </w:tc>
        <w:tc>
          <w:tcPr>
            <w:tcW w:w="3597" w:type="dxa"/>
            <w:gridSpan w:val="5"/>
            <w:tcBorders>
              <w:top w:val="single" w:color="auto" w:sz="6" w:space="0"/>
              <w:left w:val="single" w:color="auto" w:sz="6" w:space="0"/>
              <w:bottom w:val="single" w:color="auto" w:sz="6" w:space="0"/>
              <w:right w:val="single" w:color="auto" w:sz="6" w:space="0"/>
            </w:tcBorders>
            <w:vAlign w:val="center"/>
          </w:tcPr>
          <w:p w14:paraId="5A23BE43">
            <w:pPr>
              <w:topLinePunct/>
              <w:jc w:val="center"/>
              <w:rPr>
                <w:rFonts w:ascii="新宋体" w:hAnsi="新宋体" w:eastAsia="新宋体" w:cs="新宋体"/>
                <w:color w:val="auto"/>
                <w:sz w:val="24"/>
              </w:rPr>
            </w:pPr>
          </w:p>
        </w:tc>
        <w:tc>
          <w:tcPr>
            <w:tcW w:w="1329" w:type="dxa"/>
            <w:tcBorders>
              <w:top w:val="single" w:color="auto" w:sz="6" w:space="0"/>
              <w:left w:val="single" w:color="auto" w:sz="6" w:space="0"/>
              <w:bottom w:val="single" w:color="auto" w:sz="6" w:space="0"/>
              <w:right w:val="single" w:color="auto" w:sz="6" w:space="0"/>
            </w:tcBorders>
            <w:vAlign w:val="center"/>
          </w:tcPr>
          <w:p w14:paraId="2A338634">
            <w:pPr>
              <w:topLinePunct/>
              <w:jc w:val="center"/>
              <w:rPr>
                <w:rFonts w:ascii="新宋体" w:hAnsi="新宋体" w:eastAsia="新宋体" w:cs="新宋体"/>
                <w:color w:val="auto"/>
                <w:sz w:val="24"/>
              </w:rPr>
            </w:pPr>
            <w:r>
              <w:rPr>
                <w:rFonts w:hint="eastAsia" w:ascii="新宋体" w:hAnsi="新宋体" w:eastAsia="新宋体" w:cs="新宋体"/>
                <w:color w:val="auto"/>
                <w:sz w:val="24"/>
              </w:rPr>
              <w:t>员工总人数</w:t>
            </w:r>
          </w:p>
        </w:tc>
        <w:tc>
          <w:tcPr>
            <w:tcW w:w="2163" w:type="dxa"/>
            <w:tcBorders>
              <w:top w:val="single" w:color="auto" w:sz="6" w:space="0"/>
              <w:left w:val="single" w:color="auto" w:sz="6" w:space="0"/>
              <w:bottom w:val="single" w:color="auto" w:sz="6" w:space="0"/>
              <w:right w:val="double" w:color="auto" w:sz="4" w:space="0"/>
            </w:tcBorders>
            <w:vAlign w:val="center"/>
          </w:tcPr>
          <w:p w14:paraId="1BAEA9C5">
            <w:pPr>
              <w:topLinePunct/>
              <w:jc w:val="center"/>
              <w:rPr>
                <w:rFonts w:ascii="新宋体" w:hAnsi="新宋体" w:eastAsia="新宋体" w:cs="新宋体"/>
                <w:color w:val="auto"/>
                <w:sz w:val="24"/>
              </w:rPr>
            </w:pPr>
          </w:p>
        </w:tc>
      </w:tr>
      <w:tr w14:paraId="4E3754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448ACB4E">
            <w:pPr>
              <w:topLinePunct/>
              <w:jc w:val="center"/>
              <w:rPr>
                <w:rFonts w:ascii="新宋体" w:hAnsi="新宋体" w:eastAsia="新宋体" w:cs="新宋体"/>
                <w:color w:val="auto"/>
                <w:sz w:val="24"/>
              </w:rPr>
            </w:pPr>
            <w:r>
              <w:rPr>
                <w:rFonts w:hint="eastAsia" w:ascii="新宋体" w:hAnsi="新宋体" w:eastAsia="新宋体" w:cs="新宋体"/>
                <w:color w:val="auto"/>
                <w:sz w:val="24"/>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B5914F2">
            <w:pPr>
              <w:topLinePunct/>
              <w:jc w:val="center"/>
              <w:rPr>
                <w:rFonts w:ascii="新宋体" w:hAnsi="新宋体" w:eastAsia="新宋体" w:cs="新宋体"/>
                <w:color w:val="auto"/>
                <w:sz w:val="24"/>
              </w:rPr>
            </w:pPr>
            <w:r>
              <w:rPr>
                <w:rFonts w:hint="eastAsia" w:ascii="新宋体" w:hAnsi="新宋体" w:eastAsia="新宋体" w:cs="新宋体"/>
                <w:color w:val="auto"/>
                <w:sz w:val="24"/>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DEE2F28">
            <w:pPr>
              <w:topLinePunct/>
              <w:jc w:val="center"/>
              <w:rPr>
                <w:rFonts w:ascii="新宋体" w:hAnsi="新宋体" w:eastAsia="新宋体" w:cs="新宋体"/>
                <w:color w:val="auto"/>
                <w:sz w:val="24"/>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32DD9C23">
            <w:pPr>
              <w:topLinePunct/>
              <w:ind w:firstLine="120" w:firstLineChars="50"/>
              <w:jc w:val="center"/>
              <w:rPr>
                <w:rFonts w:ascii="新宋体" w:hAnsi="新宋体" w:eastAsia="新宋体" w:cs="新宋体"/>
                <w:color w:val="auto"/>
                <w:sz w:val="24"/>
              </w:rPr>
            </w:pPr>
            <w:r>
              <w:rPr>
                <w:rFonts w:hint="eastAsia" w:ascii="新宋体" w:hAnsi="新宋体" w:eastAsia="新宋体" w:cs="新宋体"/>
                <w:color w:val="auto"/>
                <w:sz w:val="24"/>
              </w:rPr>
              <w:t>注册地址</w:t>
            </w: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25ABDD93">
            <w:pPr>
              <w:topLinePunct/>
              <w:ind w:firstLine="120" w:firstLineChars="50"/>
              <w:jc w:val="center"/>
              <w:rPr>
                <w:rFonts w:ascii="新宋体" w:hAnsi="新宋体" w:eastAsia="新宋体" w:cs="新宋体"/>
                <w:color w:val="auto"/>
                <w:sz w:val="24"/>
              </w:rPr>
            </w:pPr>
          </w:p>
        </w:tc>
      </w:tr>
      <w:tr w14:paraId="24F502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36B2E148">
            <w:pPr>
              <w:topLinePunct/>
              <w:jc w:val="center"/>
              <w:rPr>
                <w:rFonts w:ascii="新宋体" w:hAnsi="新宋体" w:eastAsia="新宋体" w:cs="新宋体"/>
                <w:color w:val="auto"/>
                <w:sz w:val="24"/>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EFF2531">
            <w:pPr>
              <w:topLinePunct/>
              <w:jc w:val="center"/>
              <w:rPr>
                <w:rFonts w:ascii="新宋体" w:hAnsi="新宋体" w:eastAsia="新宋体" w:cs="新宋体"/>
                <w:color w:val="auto"/>
                <w:sz w:val="24"/>
              </w:rPr>
            </w:pPr>
            <w:r>
              <w:rPr>
                <w:rFonts w:hint="eastAsia" w:ascii="新宋体" w:hAnsi="新宋体" w:eastAsia="新宋体" w:cs="新宋体"/>
                <w:color w:val="auto"/>
                <w:sz w:val="24"/>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B847D74">
            <w:pPr>
              <w:topLinePunct/>
              <w:jc w:val="center"/>
              <w:rPr>
                <w:rFonts w:ascii="新宋体" w:hAnsi="新宋体" w:eastAsia="新宋体" w:cs="新宋体"/>
                <w:color w:val="auto"/>
                <w:sz w:val="24"/>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13BCC099">
            <w:pPr>
              <w:topLinePunct/>
              <w:ind w:firstLine="120" w:firstLineChars="50"/>
              <w:jc w:val="center"/>
              <w:rPr>
                <w:rFonts w:ascii="新宋体" w:hAnsi="新宋体" w:eastAsia="新宋体" w:cs="新宋体"/>
                <w:color w:val="auto"/>
                <w:sz w:val="24"/>
              </w:rPr>
            </w:pPr>
            <w:r>
              <w:rPr>
                <w:rFonts w:hint="eastAsia" w:ascii="新宋体" w:hAnsi="新宋体" w:eastAsia="新宋体" w:cs="新宋体"/>
                <w:color w:val="auto"/>
                <w:sz w:val="24"/>
              </w:rPr>
              <w:t>发证日期</w:t>
            </w: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62D38AFE">
            <w:pPr>
              <w:topLinePunct/>
              <w:ind w:firstLine="120" w:firstLineChars="50"/>
              <w:jc w:val="center"/>
              <w:rPr>
                <w:rFonts w:ascii="新宋体" w:hAnsi="新宋体" w:eastAsia="新宋体" w:cs="新宋体"/>
                <w:color w:val="auto"/>
                <w:sz w:val="24"/>
              </w:rPr>
            </w:pPr>
          </w:p>
        </w:tc>
      </w:tr>
      <w:tr w14:paraId="4635B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7FA60CAE">
            <w:pPr>
              <w:topLinePunct/>
              <w:jc w:val="center"/>
              <w:rPr>
                <w:rFonts w:ascii="新宋体" w:hAnsi="新宋体" w:eastAsia="新宋体" w:cs="新宋体"/>
                <w:color w:val="auto"/>
                <w:sz w:val="24"/>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E8926E6">
            <w:pPr>
              <w:topLinePunct/>
              <w:jc w:val="center"/>
              <w:rPr>
                <w:rFonts w:ascii="新宋体" w:hAnsi="新宋体" w:eastAsia="新宋体" w:cs="新宋体"/>
                <w:color w:val="auto"/>
                <w:sz w:val="24"/>
              </w:rPr>
            </w:pPr>
            <w:r>
              <w:rPr>
                <w:rFonts w:hint="eastAsia" w:ascii="新宋体" w:hAnsi="新宋体" w:eastAsia="新宋体" w:cs="新宋体"/>
                <w:color w:val="auto"/>
                <w:sz w:val="24"/>
              </w:rPr>
              <w:t>营业范围（主营）</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4D69C3E5">
            <w:pPr>
              <w:topLinePunct/>
              <w:ind w:firstLine="120" w:firstLineChars="50"/>
              <w:jc w:val="center"/>
              <w:rPr>
                <w:rFonts w:ascii="新宋体" w:hAnsi="新宋体" w:eastAsia="新宋体" w:cs="新宋体"/>
                <w:color w:val="auto"/>
                <w:sz w:val="24"/>
              </w:rPr>
            </w:pPr>
          </w:p>
        </w:tc>
      </w:tr>
      <w:tr w14:paraId="797003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618F0AC6">
            <w:pPr>
              <w:topLinePunct/>
              <w:jc w:val="center"/>
              <w:rPr>
                <w:rFonts w:ascii="新宋体" w:hAnsi="新宋体" w:eastAsia="新宋体" w:cs="新宋体"/>
                <w:color w:val="auto"/>
                <w:sz w:val="24"/>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4D9B08F3">
            <w:pPr>
              <w:topLinePunct/>
              <w:jc w:val="center"/>
              <w:rPr>
                <w:rFonts w:ascii="新宋体" w:hAnsi="新宋体" w:eastAsia="新宋体" w:cs="新宋体"/>
                <w:color w:val="auto"/>
                <w:sz w:val="24"/>
              </w:rPr>
            </w:pPr>
            <w:r>
              <w:rPr>
                <w:rFonts w:hint="eastAsia" w:ascii="新宋体" w:hAnsi="新宋体" w:eastAsia="新宋体" w:cs="新宋体"/>
                <w:color w:val="auto"/>
                <w:sz w:val="24"/>
              </w:rPr>
              <w:t>营业范围（兼营）</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0159BF35">
            <w:pPr>
              <w:topLinePunct/>
              <w:ind w:firstLine="120" w:firstLineChars="50"/>
              <w:jc w:val="center"/>
              <w:rPr>
                <w:rFonts w:ascii="新宋体" w:hAnsi="新宋体" w:eastAsia="新宋体" w:cs="新宋体"/>
                <w:color w:val="auto"/>
                <w:sz w:val="24"/>
              </w:rPr>
            </w:pPr>
          </w:p>
        </w:tc>
      </w:tr>
      <w:tr w14:paraId="58426E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6F148641">
            <w:pPr>
              <w:topLinePunct/>
              <w:jc w:val="center"/>
              <w:rPr>
                <w:rFonts w:ascii="新宋体" w:hAnsi="新宋体" w:eastAsia="新宋体" w:cs="新宋体"/>
                <w:color w:val="auto"/>
                <w:sz w:val="24"/>
              </w:rPr>
            </w:pPr>
            <w:r>
              <w:rPr>
                <w:rFonts w:hint="eastAsia" w:ascii="新宋体" w:hAnsi="新宋体" w:eastAsia="新宋体" w:cs="新宋体"/>
                <w:color w:val="auto"/>
                <w:sz w:val="24"/>
              </w:rPr>
              <w:t>基本账户开户行及帐号</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29B1B7F5">
            <w:pPr>
              <w:topLinePunct/>
              <w:jc w:val="center"/>
              <w:rPr>
                <w:rFonts w:ascii="新宋体" w:hAnsi="新宋体" w:eastAsia="新宋体" w:cs="新宋体"/>
                <w:color w:val="auto"/>
                <w:sz w:val="24"/>
              </w:rPr>
            </w:pPr>
          </w:p>
        </w:tc>
      </w:tr>
      <w:tr w14:paraId="53EE41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1ED00647">
            <w:pPr>
              <w:topLinePunct/>
              <w:jc w:val="center"/>
              <w:rPr>
                <w:rFonts w:ascii="新宋体" w:hAnsi="新宋体" w:eastAsia="新宋体" w:cs="新宋体"/>
                <w:color w:val="auto"/>
                <w:sz w:val="24"/>
              </w:rPr>
            </w:pPr>
            <w:r>
              <w:rPr>
                <w:rFonts w:hint="eastAsia" w:ascii="新宋体" w:hAnsi="新宋体" w:eastAsia="新宋体" w:cs="新宋体"/>
                <w:color w:val="auto"/>
                <w:sz w:val="24"/>
              </w:rPr>
              <w:t>税务登记机关</w:t>
            </w:r>
          </w:p>
        </w:tc>
        <w:tc>
          <w:tcPr>
            <w:tcW w:w="6309" w:type="dxa"/>
            <w:gridSpan w:val="6"/>
            <w:tcBorders>
              <w:top w:val="single" w:color="auto" w:sz="6" w:space="0"/>
              <w:left w:val="single" w:color="auto" w:sz="6" w:space="0"/>
              <w:bottom w:val="single" w:color="auto" w:sz="6" w:space="0"/>
              <w:right w:val="double" w:color="auto" w:sz="4" w:space="0"/>
            </w:tcBorders>
            <w:vAlign w:val="center"/>
          </w:tcPr>
          <w:p w14:paraId="4A76F0E8">
            <w:pPr>
              <w:topLinePunct/>
              <w:jc w:val="center"/>
              <w:rPr>
                <w:rFonts w:ascii="新宋体" w:hAnsi="新宋体" w:eastAsia="新宋体" w:cs="新宋体"/>
                <w:color w:val="auto"/>
                <w:sz w:val="24"/>
              </w:rPr>
            </w:pPr>
          </w:p>
        </w:tc>
      </w:tr>
      <w:tr w14:paraId="2A28FE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D224F3D">
            <w:pPr>
              <w:topLinePunct/>
              <w:jc w:val="center"/>
              <w:rPr>
                <w:rFonts w:ascii="新宋体" w:hAnsi="新宋体" w:eastAsia="新宋体" w:cs="新宋体"/>
                <w:color w:val="auto"/>
                <w:sz w:val="24"/>
              </w:rPr>
            </w:pPr>
            <w:r>
              <w:rPr>
                <w:rFonts w:hint="eastAsia" w:ascii="新宋体" w:hAnsi="新宋体" w:eastAsia="新宋体" w:cs="新宋体"/>
                <w:color w:val="auto"/>
                <w:sz w:val="24"/>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CA25726">
            <w:pPr>
              <w:topLinePunct/>
              <w:jc w:val="center"/>
              <w:rPr>
                <w:rFonts w:ascii="新宋体" w:hAnsi="新宋体" w:eastAsia="新宋体" w:cs="新宋体"/>
                <w:color w:val="auto"/>
                <w:sz w:val="24"/>
              </w:rPr>
            </w:pPr>
            <w:r>
              <w:rPr>
                <w:rFonts w:hint="eastAsia" w:ascii="新宋体" w:hAnsi="新宋体" w:eastAsia="新宋体" w:cs="新宋体"/>
                <w:color w:val="auto"/>
                <w:sz w:val="24"/>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61636E2D">
            <w:pPr>
              <w:topLinePunct/>
              <w:jc w:val="center"/>
              <w:rPr>
                <w:rFonts w:ascii="新宋体" w:hAnsi="新宋体" w:eastAsia="新宋体" w:cs="新宋体"/>
                <w:color w:val="auto"/>
                <w:sz w:val="24"/>
              </w:rPr>
            </w:pPr>
            <w:r>
              <w:rPr>
                <w:rFonts w:hint="eastAsia" w:ascii="新宋体" w:hAnsi="新宋体" w:eastAsia="新宋体" w:cs="新宋体"/>
                <w:color w:val="auto"/>
                <w:sz w:val="24"/>
              </w:rPr>
              <w:t>发证机关</w:t>
            </w: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3B309834">
            <w:pPr>
              <w:topLinePunct/>
              <w:jc w:val="center"/>
              <w:rPr>
                <w:rFonts w:ascii="新宋体" w:hAnsi="新宋体" w:eastAsia="新宋体" w:cs="新宋体"/>
                <w:color w:val="auto"/>
                <w:sz w:val="24"/>
              </w:rPr>
            </w:pPr>
            <w:r>
              <w:rPr>
                <w:rFonts w:hint="eastAsia" w:ascii="新宋体" w:hAnsi="新宋体" w:eastAsia="新宋体" w:cs="新宋体"/>
                <w:color w:val="auto"/>
                <w:sz w:val="24"/>
              </w:rPr>
              <w:t>有效期</w:t>
            </w:r>
          </w:p>
        </w:tc>
      </w:tr>
      <w:tr w14:paraId="10DB55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4DF2E55">
            <w:pPr>
              <w:topLinePunct/>
              <w:jc w:val="center"/>
              <w:rPr>
                <w:rFonts w:ascii="新宋体" w:hAnsi="新宋体" w:eastAsia="新宋体" w:cs="新宋体"/>
                <w:color w:val="auto"/>
                <w:sz w:val="24"/>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8BD2D4D">
            <w:pPr>
              <w:topLinePunct/>
              <w:jc w:val="center"/>
              <w:rPr>
                <w:rFonts w:ascii="新宋体" w:hAnsi="新宋体" w:eastAsia="新宋体" w:cs="新宋体"/>
                <w:color w:val="auto"/>
                <w:sz w:val="24"/>
              </w:rPr>
            </w:pPr>
          </w:p>
        </w:tc>
        <w:tc>
          <w:tcPr>
            <w:tcW w:w="1083" w:type="dxa"/>
            <w:tcBorders>
              <w:top w:val="single" w:color="auto" w:sz="6" w:space="0"/>
              <w:left w:val="single" w:color="auto" w:sz="6" w:space="0"/>
              <w:bottom w:val="single" w:color="auto" w:sz="6" w:space="0"/>
              <w:right w:val="single" w:color="auto" w:sz="6" w:space="0"/>
            </w:tcBorders>
            <w:vAlign w:val="center"/>
          </w:tcPr>
          <w:p w14:paraId="2ACD7995">
            <w:pPr>
              <w:topLinePunct/>
              <w:jc w:val="center"/>
              <w:rPr>
                <w:rFonts w:ascii="新宋体" w:hAnsi="新宋体" w:eastAsia="新宋体" w:cs="新宋体"/>
                <w:color w:val="auto"/>
                <w:sz w:val="24"/>
              </w:rPr>
            </w:pP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272107CB">
            <w:pPr>
              <w:topLinePunct/>
              <w:jc w:val="center"/>
              <w:rPr>
                <w:rFonts w:ascii="新宋体" w:hAnsi="新宋体" w:eastAsia="新宋体" w:cs="新宋体"/>
                <w:color w:val="auto"/>
                <w:sz w:val="24"/>
              </w:rPr>
            </w:pPr>
          </w:p>
        </w:tc>
      </w:tr>
      <w:tr w14:paraId="4B51B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65FDD8A">
            <w:pPr>
              <w:topLinePunct/>
              <w:jc w:val="center"/>
              <w:rPr>
                <w:rFonts w:ascii="新宋体" w:hAnsi="新宋体" w:eastAsia="新宋体" w:cs="新宋体"/>
                <w:color w:val="auto"/>
                <w:sz w:val="24"/>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D4CEE63">
            <w:pPr>
              <w:topLinePunct/>
              <w:jc w:val="center"/>
              <w:rPr>
                <w:rFonts w:ascii="新宋体" w:hAnsi="新宋体" w:eastAsia="新宋体" w:cs="新宋体"/>
                <w:color w:val="auto"/>
                <w:sz w:val="24"/>
              </w:rPr>
            </w:pPr>
          </w:p>
        </w:tc>
        <w:tc>
          <w:tcPr>
            <w:tcW w:w="1083" w:type="dxa"/>
            <w:tcBorders>
              <w:top w:val="single" w:color="auto" w:sz="6" w:space="0"/>
              <w:left w:val="single" w:color="auto" w:sz="6" w:space="0"/>
              <w:bottom w:val="single" w:color="auto" w:sz="6" w:space="0"/>
              <w:right w:val="single" w:color="auto" w:sz="6" w:space="0"/>
            </w:tcBorders>
            <w:vAlign w:val="center"/>
          </w:tcPr>
          <w:p w14:paraId="2AE2D061">
            <w:pPr>
              <w:topLinePunct/>
              <w:jc w:val="center"/>
              <w:rPr>
                <w:rFonts w:ascii="新宋体" w:hAnsi="新宋体" w:eastAsia="新宋体" w:cs="新宋体"/>
                <w:color w:val="auto"/>
                <w:sz w:val="24"/>
              </w:rPr>
            </w:pPr>
          </w:p>
        </w:tc>
        <w:tc>
          <w:tcPr>
            <w:tcW w:w="3492" w:type="dxa"/>
            <w:gridSpan w:val="2"/>
            <w:tcBorders>
              <w:top w:val="single" w:color="auto" w:sz="6" w:space="0"/>
              <w:left w:val="single" w:color="auto" w:sz="6" w:space="0"/>
              <w:bottom w:val="single" w:color="auto" w:sz="6" w:space="0"/>
              <w:right w:val="double" w:color="auto" w:sz="4" w:space="0"/>
            </w:tcBorders>
            <w:vAlign w:val="center"/>
          </w:tcPr>
          <w:p w14:paraId="0CEA3B94">
            <w:pPr>
              <w:topLinePunct/>
              <w:jc w:val="center"/>
              <w:rPr>
                <w:rFonts w:ascii="新宋体" w:hAnsi="新宋体" w:eastAsia="新宋体" w:cs="新宋体"/>
                <w:color w:val="auto"/>
                <w:sz w:val="24"/>
              </w:rPr>
            </w:pPr>
          </w:p>
        </w:tc>
      </w:tr>
      <w:tr w14:paraId="00375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47BFC341">
            <w:pPr>
              <w:topLinePunct/>
              <w:jc w:val="center"/>
              <w:rPr>
                <w:rFonts w:ascii="新宋体" w:hAnsi="新宋体" w:eastAsia="新宋体" w:cs="新宋体"/>
                <w:color w:val="auto"/>
                <w:sz w:val="24"/>
              </w:rPr>
            </w:pPr>
            <w:r>
              <w:rPr>
                <w:rFonts w:hint="eastAsia" w:ascii="新宋体" w:hAnsi="新宋体" w:eastAsia="新宋体" w:cs="新宋体"/>
                <w:color w:val="auto"/>
                <w:sz w:val="24"/>
              </w:rPr>
              <w:t>备注</w:t>
            </w:r>
          </w:p>
        </w:tc>
        <w:tc>
          <w:tcPr>
            <w:tcW w:w="7814" w:type="dxa"/>
            <w:gridSpan w:val="8"/>
            <w:tcBorders>
              <w:top w:val="single" w:color="auto" w:sz="6" w:space="0"/>
              <w:left w:val="single" w:color="auto" w:sz="6" w:space="0"/>
              <w:bottom w:val="double" w:color="auto" w:sz="4" w:space="0"/>
              <w:right w:val="double" w:color="auto" w:sz="4" w:space="0"/>
            </w:tcBorders>
            <w:vAlign w:val="center"/>
          </w:tcPr>
          <w:p w14:paraId="6FA8BB07">
            <w:pPr>
              <w:topLinePunct/>
              <w:ind w:firstLine="720" w:firstLineChars="300"/>
              <w:rPr>
                <w:rFonts w:ascii="新宋体" w:hAnsi="新宋体" w:eastAsia="新宋体" w:cs="新宋体"/>
                <w:color w:val="auto"/>
                <w:sz w:val="24"/>
              </w:rPr>
            </w:pPr>
            <w:r>
              <w:rPr>
                <w:rFonts w:hint="eastAsia" w:ascii="新宋体" w:hAnsi="新宋体" w:eastAsia="新宋体" w:cs="新宋体"/>
                <w:color w:val="auto"/>
                <w:sz w:val="24"/>
              </w:rPr>
              <w:t xml:space="preserve">         </w:t>
            </w:r>
          </w:p>
        </w:tc>
      </w:tr>
    </w:tbl>
    <w:p w14:paraId="49124D14">
      <w:pPr>
        <w:rPr>
          <w:rFonts w:ascii="Arial" w:hAnsi="Arial"/>
          <w:b/>
          <w:bCs/>
          <w:color w:val="auto"/>
          <w:sz w:val="24"/>
          <w:szCs w:val="32"/>
        </w:rPr>
      </w:pPr>
      <w:r>
        <w:rPr>
          <w:rFonts w:ascii="Arial" w:hAnsi="Arial"/>
          <w:b/>
          <w:bCs/>
          <w:color w:val="auto"/>
          <w:sz w:val="24"/>
          <w:szCs w:val="32"/>
        </w:rPr>
        <w:br w:type="page"/>
      </w:r>
    </w:p>
    <w:p w14:paraId="37BED921">
      <w:pPr>
        <w:spacing w:line="480" w:lineRule="exact"/>
        <w:rPr>
          <w:rStyle w:val="24"/>
          <w:rFonts w:ascii="黑体" w:eastAsia="黑体"/>
          <w:color w:val="auto"/>
          <w:sz w:val="26"/>
          <w:szCs w:val="30"/>
        </w:rPr>
      </w:pPr>
      <w:r>
        <w:rPr>
          <w:rStyle w:val="24"/>
          <w:rFonts w:hint="eastAsia" w:ascii="黑体" w:eastAsia="黑体"/>
          <w:color w:val="auto"/>
          <w:sz w:val="24"/>
          <w:szCs w:val="28"/>
        </w:rPr>
        <w:t>附件</w:t>
      </w:r>
      <w:r>
        <w:rPr>
          <w:rStyle w:val="24"/>
          <w:rFonts w:hint="eastAsia" w:ascii="黑体" w:eastAsia="黑体"/>
          <w:color w:val="auto"/>
          <w:sz w:val="24"/>
          <w:szCs w:val="28"/>
          <w:lang w:val="en-US" w:eastAsia="zh-CN"/>
        </w:rPr>
        <w:t>4</w:t>
      </w:r>
      <w:r>
        <w:rPr>
          <w:rStyle w:val="24"/>
          <w:rFonts w:hint="eastAsia" w:ascii="黑体" w:eastAsia="黑体"/>
          <w:color w:val="auto"/>
          <w:sz w:val="24"/>
          <w:szCs w:val="28"/>
        </w:rPr>
        <w:t>-1</w:t>
      </w:r>
      <w:r>
        <w:rPr>
          <w:rStyle w:val="24"/>
          <w:rFonts w:hint="eastAsia" w:ascii="黑体" w:eastAsia="黑体"/>
          <w:color w:val="auto"/>
          <w:sz w:val="26"/>
          <w:szCs w:val="30"/>
        </w:rPr>
        <w:t xml:space="preserve"> </w:t>
      </w:r>
    </w:p>
    <w:p w14:paraId="7D29574B">
      <w:pPr>
        <w:spacing w:line="480" w:lineRule="exact"/>
        <w:ind w:firstLine="1500" w:firstLineChars="500"/>
        <w:rPr>
          <w:rStyle w:val="24"/>
          <w:rFonts w:ascii="黑体" w:eastAsia="黑体"/>
          <w:color w:val="auto"/>
          <w:sz w:val="30"/>
          <w:szCs w:val="30"/>
        </w:rPr>
      </w:pPr>
      <w:r>
        <w:rPr>
          <w:rStyle w:val="24"/>
          <w:rFonts w:ascii="黑体" w:eastAsia="黑体"/>
          <w:color w:val="auto"/>
          <w:sz w:val="30"/>
          <w:szCs w:val="30"/>
        </w:rPr>
        <w:t>磋商文件规定的基本资格条件证明资料</w:t>
      </w:r>
    </w:p>
    <w:p w14:paraId="61B9C9C6">
      <w:pPr>
        <w:spacing w:line="480" w:lineRule="exact"/>
        <w:rPr>
          <w:rStyle w:val="24"/>
          <w:rFonts w:ascii="黑体" w:hAnsi="宋体" w:eastAsia="黑体"/>
          <w:color w:val="auto"/>
          <w:szCs w:val="21"/>
        </w:rPr>
      </w:pPr>
    </w:p>
    <w:p w14:paraId="218CD8B6">
      <w:pPr>
        <w:spacing w:line="480" w:lineRule="exact"/>
        <w:rPr>
          <w:rStyle w:val="24"/>
          <w:rFonts w:ascii="黑体" w:eastAsia="黑体"/>
          <w:color w:val="auto"/>
          <w:sz w:val="30"/>
          <w:szCs w:val="30"/>
        </w:rPr>
      </w:pPr>
    </w:p>
    <w:p w14:paraId="15DD296A">
      <w:pPr>
        <w:adjustRightInd w:val="0"/>
        <w:snapToGrid w:val="0"/>
        <w:spacing w:line="360" w:lineRule="auto"/>
        <w:ind w:right="23" w:rightChars="11"/>
        <w:rPr>
          <w:color w:val="auto"/>
          <w:kern w:val="0"/>
          <w:szCs w:val="21"/>
        </w:rPr>
      </w:pPr>
      <w:r>
        <w:rPr>
          <w:color w:val="auto"/>
          <w:kern w:val="0"/>
          <w:szCs w:val="21"/>
        </w:rPr>
        <w:t>备注：</w:t>
      </w:r>
    </w:p>
    <w:p w14:paraId="51B98BCA">
      <w:pPr>
        <w:spacing w:line="440" w:lineRule="exact"/>
        <w:ind w:firstLine="420" w:firstLineChars="200"/>
        <w:rPr>
          <w:color w:val="auto"/>
          <w:szCs w:val="21"/>
        </w:rPr>
      </w:pPr>
      <w:r>
        <w:rPr>
          <w:color w:val="auto"/>
          <w:szCs w:val="21"/>
        </w:rPr>
        <w:t>供应商基本资格条件：符合《中华人民共和国政府采购法》第二十二条规定的供应商条件；</w:t>
      </w:r>
    </w:p>
    <w:p w14:paraId="3DDE4B8A">
      <w:pPr>
        <w:spacing w:line="440" w:lineRule="exact"/>
        <w:ind w:firstLine="200"/>
        <w:rPr>
          <w:color w:val="auto"/>
          <w:szCs w:val="21"/>
        </w:rPr>
      </w:pPr>
      <w:r>
        <w:rPr>
          <w:color w:val="auto"/>
          <w:szCs w:val="21"/>
        </w:rPr>
        <w:t>（1）</w:t>
      </w:r>
      <w:r>
        <w:rPr>
          <w:rFonts w:hint="eastAsia"/>
          <w:color w:val="auto"/>
          <w:szCs w:val="21"/>
        </w:rPr>
        <w:t>具有独立承担民事责任的能力（法人提交营业执照副本或者法人登记证书）</w:t>
      </w:r>
      <w:r>
        <w:rPr>
          <w:color w:val="auto"/>
          <w:szCs w:val="21"/>
        </w:rPr>
        <w:t>；</w:t>
      </w:r>
    </w:p>
    <w:p w14:paraId="57431E92">
      <w:pPr>
        <w:spacing w:line="440" w:lineRule="exact"/>
        <w:ind w:firstLine="200"/>
        <w:rPr>
          <w:rFonts w:ascii="宋体" w:hAnsi="宋体"/>
          <w:color w:val="auto"/>
          <w:szCs w:val="21"/>
        </w:rPr>
      </w:pPr>
      <w:r>
        <w:rPr>
          <w:rFonts w:hint="eastAsia" w:ascii="宋体" w:hAnsi="宋体"/>
          <w:color w:val="auto"/>
          <w:szCs w:val="21"/>
        </w:rPr>
        <w:t>（2）具有良好的商业信誉和健全的财务会计制度；</w:t>
      </w:r>
    </w:p>
    <w:p w14:paraId="00EB8226">
      <w:pPr>
        <w:spacing w:line="440" w:lineRule="exact"/>
        <w:ind w:firstLine="200"/>
        <w:rPr>
          <w:rFonts w:ascii="宋体" w:hAnsi="宋体"/>
          <w:color w:val="auto"/>
          <w:szCs w:val="21"/>
        </w:rPr>
      </w:pPr>
      <w:r>
        <w:rPr>
          <w:rFonts w:hint="eastAsia" w:ascii="宋体" w:hAnsi="宋体"/>
          <w:color w:val="auto"/>
          <w:szCs w:val="21"/>
        </w:rPr>
        <w:t>（3）具有履行合同所必需的设备和专业技术能力；</w:t>
      </w:r>
    </w:p>
    <w:p w14:paraId="3DC05C7B">
      <w:pPr>
        <w:spacing w:line="440" w:lineRule="exact"/>
        <w:ind w:firstLine="200"/>
        <w:rPr>
          <w:rFonts w:ascii="宋体" w:hAnsi="宋体"/>
          <w:color w:val="auto"/>
          <w:szCs w:val="21"/>
        </w:rPr>
      </w:pPr>
      <w:r>
        <w:rPr>
          <w:rFonts w:hint="eastAsia" w:ascii="宋体" w:hAnsi="宋体"/>
          <w:color w:val="auto"/>
          <w:szCs w:val="21"/>
        </w:rPr>
        <w:t>（4）有依法缴纳税收和社会保障资金的良好记录；</w:t>
      </w:r>
    </w:p>
    <w:p w14:paraId="70498D6E">
      <w:pPr>
        <w:spacing w:line="440" w:lineRule="exact"/>
        <w:ind w:firstLine="200"/>
        <w:rPr>
          <w:rFonts w:ascii="宋体" w:hAnsi="宋体"/>
          <w:color w:val="auto"/>
          <w:szCs w:val="21"/>
        </w:rPr>
      </w:pPr>
      <w:r>
        <w:rPr>
          <w:rFonts w:hint="eastAsia" w:ascii="宋体" w:hAnsi="宋体"/>
          <w:color w:val="auto"/>
          <w:szCs w:val="21"/>
        </w:rPr>
        <w:t>（5）参加政府采购活动前三年内，在经营活动中没有重大违法记录。</w:t>
      </w:r>
    </w:p>
    <w:p w14:paraId="7EFD5B4C">
      <w:pPr>
        <w:spacing w:line="440" w:lineRule="exact"/>
        <w:ind w:firstLine="200"/>
        <w:rPr>
          <w:rFonts w:ascii="宋体" w:hAnsi="宋体"/>
          <w:color w:val="auto"/>
          <w:szCs w:val="21"/>
        </w:rPr>
      </w:pPr>
      <w:r>
        <w:rPr>
          <w:rFonts w:hint="eastAsia" w:ascii="宋体" w:hAnsi="宋体"/>
          <w:color w:val="auto"/>
          <w:szCs w:val="21"/>
        </w:rPr>
        <w:t>（6）法律、行政法规规定的其他条件。</w:t>
      </w:r>
    </w:p>
    <w:p w14:paraId="4436D6F4">
      <w:pPr>
        <w:spacing w:line="440" w:lineRule="exact"/>
        <w:ind w:firstLine="200"/>
        <w:rPr>
          <w:rFonts w:ascii="宋体" w:hAnsi="宋体"/>
          <w:color w:val="auto"/>
          <w:szCs w:val="21"/>
        </w:rPr>
      </w:pPr>
    </w:p>
    <w:p w14:paraId="40EBBF7D">
      <w:pPr>
        <w:spacing w:line="440" w:lineRule="exact"/>
        <w:ind w:firstLine="200"/>
        <w:rPr>
          <w:rFonts w:ascii="宋体" w:hAnsi="宋体"/>
          <w:b/>
          <w:bCs/>
          <w:color w:val="auto"/>
          <w:szCs w:val="21"/>
        </w:rPr>
      </w:pPr>
      <w:r>
        <w:rPr>
          <w:rFonts w:hint="eastAsia" w:ascii="宋体" w:hAnsi="宋体"/>
          <w:color w:val="auto"/>
          <w:szCs w:val="21"/>
        </w:rPr>
        <w:t>注：1、</w:t>
      </w:r>
      <w:r>
        <w:rPr>
          <w:rFonts w:hint="eastAsia" w:ascii="宋体" w:hAnsi="宋体"/>
          <w:b/>
          <w:bCs/>
          <w:color w:val="auto"/>
          <w:szCs w:val="21"/>
        </w:rPr>
        <w:t>依据湖南省财政厅《关于政府采购促进中小企业发展有关措施的通知》，符合法定条件的供应商</w:t>
      </w:r>
      <w:r>
        <w:rPr>
          <w:rFonts w:ascii="宋体" w:hAnsi="宋体"/>
          <w:b/>
          <w:bCs/>
          <w:color w:val="auto"/>
          <w:szCs w:val="21"/>
        </w:rPr>
        <w:t>凭</w:t>
      </w:r>
      <w:r>
        <w:rPr>
          <w:rFonts w:hint="eastAsia" w:ascii="宋体" w:hAnsi="宋体"/>
          <w:b/>
          <w:bCs/>
          <w:color w:val="auto"/>
          <w:szCs w:val="21"/>
        </w:rPr>
        <w:t>《湖南省政府采购供应商资格承诺函》（附件</w:t>
      </w:r>
      <w:r>
        <w:rPr>
          <w:rFonts w:hint="eastAsia" w:ascii="宋体" w:hAnsi="宋体"/>
          <w:b/>
          <w:bCs/>
          <w:color w:val="auto"/>
          <w:szCs w:val="21"/>
          <w:lang w:val="en-US" w:eastAsia="zh-CN"/>
        </w:rPr>
        <w:t>4</w:t>
      </w:r>
      <w:r>
        <w:rPr>
          <w:rFonts w:hint="eastAsia" w:ascii="宋体" w:hAnsi="宋体"/>
          <w:b/>
          <w:bCs/>
          <w:color w:val="auto"/>
          <w:szCs w:val="21"/>
        </w:rPr>
        <w:t>-1-2 ）</w:t>
      </w:r>
      <w:r>
        <w:rPr>
          <w:rFonts w:ascii="宋体" w:hAnsi="宋体"/>
          <w:b/>
          <w:bCs/>
          <w:color w:val="auto"/>
          <w:szCs w:val="21"/>
        </w:rPr>
        <w:t>参与政府采购活动，无需提供财务状况、缴纳税收和社会保障资金等资格证明材料。</w:t>
      </w:r>
    </w:p>
    <w:p w14:paraId="57286204">
      <w:pPr>
        <w:spacing w:line="440" w:lineRule="exact"/>
        <w:ind w:firstLine="200"/>
        <w:rPr>
          <w:rFonts w:ascii="宋体" w:hAnsi="宋体"/>
          <w:color w:val="auto"/>
          <w:szCs w:val="21"/>
        </w:rPr>
      </w:pPr>
      <w:r>
        <w:rPr>
          <w:rFonts w:hint="eastAsia" w:ascii="宋体" w:hAnsi="宋体"/>
          <w:color w:val="auto"/>
          <w:szCs w:val="21"/>
        </w:rPr>
        <w:t>2、投标人具有实行了“三证合一”登记制度改革的新证，视同为持有工商营业执照、组织机构代码证和税务登记证；如办理了“五证合一”， 视同为持有工商营业执照、组织机构代码证和税务登记证，社保登记证，符合基本资格条件的相关条款。</w:t>
      </w:r>
    </w:p>
    <w:p w14:paraId="10A82A41">
      <w:pPr>
        <w:rPr>
          <w:color w:val="auto"/>
        </w:rPr>
      </w:pPr>
    </w:p>
    <w:p w14:paraId="5CE689B3">
      <w:pPr>
        <w:spacing w:line="480" w:lineRule="exact"/>
        <w:rPr>
          <w:rStyle w:val="24"/>
          <w:rFonts w:ascii="黑体" w:eastAsia="黑体"/>
          <w:color w:val="auto"/>
          <w:sz w:val="30"/>
          <w:szCs w:val="30"/>
        </w:rPr>
      </w:pPr>
    </w:p>
    <w:p w14:paraId="1D4F6D00">
      <w:pPr>
        <w:pStyle w:val="2"/>
        <w:rPr>
          <w:color w:val="auto"/>
        </w:rPr>
      </w:pPr>
    </w:p>
    <w:p w14:paraId="6AD69FE6">
      <w:pPr>
        <w:rPr>
          <w:color w:val="auto"/>
        </w:rPr>
      </w:pPr>
    </w:p>
    <w:p w14:paraId="22613FB0">
      <w:pPr>
        <w:pStyle w:val="2"/>
        <w:rPr>
          <w:color w:val="auto"/>
        </w:rPr>
      </w:pPr>
    </w:p>
    <w:p w14:paraId="7CF6ACBD">
      <w:pPr>
        <w:rPr>
          <w:color w:val="auto"/>
        </w:rPr>
      </w:pPr>
    </w:p>
    <w:p w14:paraId="3FCBB4B0">
      <w:pPr>
        <w:spacing w:line="480" w:lineRule="exact"/>
        <w:rPr>
          <w:rStyle w:val="24"/>
          <w:rFonts w:ascii="黑体" w:eastAsia="黑体"/>
          <w:color w:val="auto"/>
          <w:sz w:val="30"/>
          <w:szCs w:val="30"/>
        </w:rPr>
      </w:pPr>
    </w:p>
    <w:p w14:paraId="0754819D">
      <w:pPr>
        <w:spacing w:line="480" w:lineRule="exact"/>
        <w:rPr>
          <w:rStyle w:val="24"/>
          <w:rFonts w:ascii="黑体" w:eastAsia="黑体"/>
          <w:color w:val="auto"/>
          <w:sz w:val="30"/>
          <w:szCs w:val="30"/>
        </w:rPr>
      </w:pPr>
    </w:p>
    <w:p w14:paraId="613157B3">
      <w:pPr>
        <w:pStyle w:val="2"/>
        <w:rPr>
          <w:rStyle w:val="24"/>
          <w:rFonts w:ascii="黑体" w:eastAsia="黑体"/>
          <w:color w:val="auto"/>
          <w:sz w:val="30"/>
          <w:szCs w:val="30"/>
        </w:rPr>
      </w:pPr>
    </w:p>
    <w:p w14:paraId="1BCFC8FA">
      <w:pPr>
        <w:pStyle w:val="2"/>
        <w:rPr>
          <w:rStyle w:val="24"/>
          <w:rFonts w:ascii="黑体" w:eastAsia="黑体"/>
          <w:color w:val="auto"/>
          <w:sz w:val="30"/>
          <w:szCs w:val="30"/>
        </w:rPr>
      </w:pPr>
    </w:p>
    <w:p w14:paraId="12316FA8">
      <w:pPr>
        <w:widowControl/>
        <w:adjustRightInd w:val="0"/>
        <w:snapToGrid w:val="0"/>
        <w:spacing w:before="156" w:beforeLines="50" w:line="360" w:lineRule="auto"/>
        <w:jc w:val="center"/>
        <w:rPr>
          <w:rFonts w:ascii="宋体" w:hAnsi="宋体" w:cs="宋体"/>
          <w:b/>
          <w:color w:val="auto"/>
          <w:sz w:val="28"/>
          <w:szCs w:val="28"/>
        </w:rPr>
      </w:pPr>
    </w:p>
    <w:p w14:paraId="1AE9DC30">
      <w:pPr>
        <w:widowControl/>
        <w:adjustRightInd w:val="0"/>
        <w:snapToGrid w:val="0"/>
        <w:spacing w:before="156" w:beforeLines="50" w:line="360" w:lineRule="auto"/>
        <w:jc w:val="center"/>
        <w:rPr>
          <w:rFonts w:ascii="宋体" w:hAnsi="宋体" w:cs="宋体"/>
          <w:b/>
          <w:color w:val="auto"/>
          <w:sz w:val="28"/>
          <w:szCs w:val="28"/>
        </w:rPr>
      </w:pPr>
    </w:p>
    <w:p w14:paraId="14B88AEB">
      <w:pPr>
        <w:spacing w:line="480" w:lineRule="exact"/>
        <w:rPr>
          <w:rStyle w:val="24"/>
          <w:rFonts w:ascii="黑体" w:eastAsia="黑体"/>
          <w:b/>
          <w:color w:val="auto"/>
          <w:sz w:val="26"/>
          <w:szCs w:val="30"/>
        </w:rPr>
      </w:pPr>
      <w:r>
        <w:rPr>
          <w:rStyle w:val="24"/>
          <w:rFonts w:hint="eastAsia" w:ascii="黑体" w:eastAsia="黑体"/>
          <w:b/>
          <w:color w:val="auto"/>
          <w:sz w:val="24"/>
          <w:szCs w:val="28"/>
        </w:rPr>
        <w:t>附件</w:t>
      </w:r>
      <w:r>
        <w:rPr>
          <w:rStyle w:val="24"/>
          <w:rFonts w:hint="eastAsia" w:ascii="黑体" w:eastAsia="黑体"/>
          <w:b/>
          <w:color w:val="auto"/>
          <w:sz w:val="24"/>
          <w:szCs w:val="28"/>
          <w:lang w:val="en-US" w:eastAsia="zh-CN"/>
        </w:rPr>
        <w:t>4</w:t>
      </w:r>
      <w:r>
        <w:rPr>
          <w:rStyle w:val="24"/>
          <w:rFonts w:hint="eastAsia" w:ascii="黑体" w:eastAsia="黑体"/>
          <w:b/>
          <w:color w:val="auto"/>
          <w:sz w:val="24"/>
          <w:szCs w:val="28"/>
        </w:rPr>
        <w:t>-1</w:t>
      </w:r>
      <w:r>
        <w:rPr>
          <w:rStyle w:val="24"/>
          <w:rFonts w:hint="eastAsia" w:ascii="黑体" w:eastAsia="黑体"/>
          <w:b/>
          <w:color w:val="auto"/>
          <w:sz w:val="26"/>
          <w:szCs w:val="30"/>
        </w:rPr>
        <w:t>-1</w:t>
      </w:r>
    </w:p>
    <w:p w14:paraId="4DAE063C">
      <w:pPr>
        <w:rPr>
          <w:color w:val="auto"/>
        </w:rPr>
      </w:pPr>
    </w:p>
    <w:p w14:paraId="034640A4">
      <w:pPr>
        <w:widowControl/>
        <w:adjustRightInd w:val="0"/>
        <w:snapToGrid w:val="0"/>
        <w:spacing w:before="156" w:beforeLines="50" w:line="360" w:lineRule="auto"/>
        <w:jc w:val="center"/>
        <w:rPr>
          <w:rFonts w:ascii="宋体" w:hAnsi="宋体" w:cs="宋体"/>
          <w:color w:val="auto"/>
          <w:szCs w:val="21"/>
        </w:rPr>
      </w:pPr>
      <w:r>
        <w:rPr>
          <w:rFonts w:hint="eastAsia" w:ascii="宋体" w:hAnsi="宋体" w:cs="宋体"/>
          <w:b/>
          <w:color w:val="auto"/>
          <w:sz w:val="28"/>
          <w:szCs w:val="28"/>
        </w:rPr>
        <w:t>供应商资格声明</w:t>
      </w:r>
      <w:r>
        <w:rPr>
          <w:rFonts w:hint="eastAsia" w:ascii="宋体" w:hAnsi="宋体" w:cs="宋体"/>
          <w:b/>
          <w:color w:val="auto"/>
          <w:sz w:val="28"/>
          <w:szCs w:val="28"/>
          <w:lang w:eastAsia="zh-CN"/>
        </w:rPr>
        <w:t>（</w:t>
      </w:r>
      <w:r>
        <w:rPr>
          <w:rFonts w:hint="eastAsia" w:ascii="宋体" w:hAnsi="宋体" w:cs="宋体"/>
          <w:b/>
          <w:color w:val="auto"/>
          <w:sz w:val="28"/>
          <w:szCs w:val="28"/>
        </w:rPr>
        <w:t>格式</w:t>
      </w:r>
      <w:r>
        <w:rPr>
          <w:rFonts w:hint="eastAsia" w:ascii="宋体" w:hAnsi="宋体" w:cs="宋体"/>
          <w:b/>
          <w:color w:val="auto"/>
          <w:sz w:val="28"/>
          <w:szCs w:val="28"/>
          <w:lang w:eastAsia="zh-CN"/>
        </w:rPr>
        <w:t>）</w:t>
      </w:r>
    </w:p>
    <w:p w14:paraId="5F29BB50">
      <w:pPr>
        <w:widowControl/>
        <w:adjustRightInd w:val="0"/>
        <w:snapToGrid w:val="0"/>
        <w:spacing w:before="156" w:beforeLines="50" w:line="360" w:lineRule="auto"/>
        <w:jc w:val="left"/>
        <w:rPr>
          <w:rFonts w:ascii="宋体" w:hAnsi="宋体" w:cs="宋体"/>
          <w:color w:val="auto"/>
          <w:kern w:val="0"/>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u w:val="single"/>
          <w:lang w:eastAsia="zh-CN"/>
        </w:rPr>
        <w:t>（</w:t>
      </w:r>
      <w:r>
        <w:rPr>
          <w:rFonts w:hint="eastAsia" w:ascii="宋体" w:hAnsi="宋体" w:cs="宋体"/>
          <w:color w:val="auto"/>
          <w:szCs w:val="21"/>
        </w:rPr>
        <w:t>采购人、采购代理机构</w:t>
      </w:r>
      <w:r>
        <w:rPr>
          <w:rFonts w:hint="eastAsia" w:ascii="宋体" w:hAnsi="宋体" w:cs="宋体"/>
          <w:color w:val="auto"/>
          <w:szCs w:val="21"/>
          <w:lang w:eastAsia="zh-CN"/>
        </w:rPr>
        <w:t>）</w:t>
      </w:r>
      <w:r>
        <w:rPr>
          <w:rFonts w:hint="eastAsia" w:ascii="宋体" w:hAnsi="宋体" w:cs="宋体"/>
          <w:color w:val="auto"/>
          <w:szCs w:val="21"/>
        </w:rPr>
        <w:t>：</w:t>
      </w:r>
    </w:p>
    <w:p w14:paraId="116DCF2A">
      <w:pPr>
        <w:widowControl/>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szCs w:val="21"/>
        </w:rPr>
        <w:t>按照《中华人民共和国政府采购法》第二十二条和招标文件的规定，我单位郑重声明如下：</w:t>
      </w:r>
    </w:p>
    <w:p w14:paraId="2D19287C">
      <w:pPr>
        <w:widowControl/>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szCs w:val="21"/>
        </w:rPr>
        <w:t>一、我单位是按照中华人民共和国法律规定登记注册的，注册地点为</w:t>
      </w:r>
      <w:r>
        <w:rPr>
          <w:rFonts w:hint="eastAsia" w:ascii="宋体" w:hAnsi="宋体" w:cs="宋体"/>
          <w:color w:val="auto"/>
          <w:szCs w:val="21"/>
          <w:u w:val="single"/>
        </w:rPr>
        <w:t xml:space="preserve">         </w:t>
      </w:r>
      <w:r>
        <w:rPr>
          <w:rFonts w:hint="eastAsia" w:ascii="宋体" w:hAnsi="宋体" w:cs="宋体"/>
          <w:color w:val="auto"/>
          <w:szCs w:val="21"/>
        </w:rPr>
        <w:t>，全称为</w:t>
      </w:r>
      <w:r>
        <w:rPr>
          <w:rFonts w:hint="eastAsia" w:ascii="宋体" w:hAnsi="宋体" w:cs="宋体"/>
          <w:color w:val="auto"/>
          <w:szCs w:val="21"/>
          <w:u w:val="single"/>
        </w:rPr>
        <w:t xml:space="preserve">        </w:t>
      </w:r>
      <w:r>
        <w:rPr>
          <w:rFonts w:hint="eastAsia" w:ascii="宋体" w:hAnsi="宋体" w:cs="宋体"/>
          <w:color w:val="auto"/>
          <w:szCs w:val="21"/>
        </w:rPr>
        <w:t>，统一社会信用代码为</w:t>
      </w:r>
      <w:r>
        <w:rPr>
          <w:rFonts w:hint="eastAsia" w:ascii="宋体" w:hAnsi="宋体" w:cs="宋体"/>
          <w:color w:val="auto"/>
          <w:szCs w:val="21"/>
          <w:u w:val="single"/>
        </w:rPr>
        <w:t xml:space="preserve">            </w:t>
      </w:r>
      <w:r>
        <w:rPr>
          <w:rFonts w:hint="eastAsia" w:ascii="宋体" w:hAnsi="宋体" w:cs="宋体"/>
          <w:color w:val="auto"/>
          <w:szCs w:val="21"/>
        </w:rPr>
        <w:t>，法定代表人</w:t>
      </w:r>
      <w:r>
        <w:rPr>
          <w:rFonts w:hint="eastAsia" w:ascii="宋体" w:hAnsi="宋体" w:cs="宋体"/>
          <w:color w:val="auto"/>
          <w:kern w:val="0"/>
          <w:szCs w:val="21"/>
        </w:rPr>
        <w:t>（</w:t>
      </w:r>
      <w:r>
        <w:rPr>
          <w:rFonts w:hint="eastAsia" w:ascii="宋体" w:hAnsi="宋体" w:cs="宋体"/>
          <w:color w:val="auto"/>
          <w:spacing w:val="-2"/>
          <w:kern w:val="0"/>
          <w:szCs w:val="21"/>
        </w:rPr>
        <w:t>单</w:t>
      </w:r>
      <w:r>
        <w:rPr>
          <w:rFonts w:hint="eastAsia" w:ascii="宋体" w:hAnsi="宋体" w:cs="宋体"/>
          <w:color w:val="auto"/>
          <w:kern w:val="0"/>
          <w:szCs w:val="21"/>
        </w:rPr>
        <w:t>位</w:t>
      </w:r>
      <w:r>
        <w:rPr>
          <w:rFonts w:hint="eastAsia" w:ascii="宋体" w:hAnsi="宋体" w:cs="宋体"/>
          <w:color w:val="auto"/>
          <w:spacing w:val="-2"/>
          <w:kern w:val="0"/>
          <w:szCs w:val="21"/>
        </w:rPr>
        <w:t>负</w:t>
      </w:r>
      <w:r>
        <w:rPr>
          <w:rFonts w:hint="eastAsia" w:ascii="宋体" w:hAnsi="宋体" w:cs="宋体"/>
          <w:color w:val="auto"/>
          <w:kern w:val="0"/>
          <w:szCs w:val="21"/>
        </w:rPr>
        <w:t>责人</w:t>
      </w:r>
      <w:r>
        <w:rPr>
          <w:rFonts w:hint="eastAsia" w:ascii="宋体" w:hAnsi="宋体" w:cs="宋体"/>
          <w:color w:val="auto"/>
          <w:spacing w:val="-2"/>
          <w:kern w:val="0"/>
          <w:szCs w:val="21"/>
        </w:rPr>
        <w:t>）</w:t>
      </w:r>
      <w:r>
        <w:rPr>
          <w:rFonts w:hint="eastAsia" w:ascii="宋体" w:hAnsi="宋体" w:cs="宋体"/>
          <w:color w:val="auto"/>
          <w:szCs w:val="21"/>
        </w:rPr>
        <w:t>为</w:t>
      </w:r>
      <w:r>
        <w:rPr>
          <w:rFonts w:hint="eastAsia" w:ascii="宋体" w:hAnsi="宋体" w:cs="宋体"/>
          <w:color w:val="auto"/>
          <w:szCs w:val="21"/>
          <w:u w:val="single"/>
        </w:rPr>
        <w:t xml:space="preserve">         </w:t>
      </w:r>
      <w:r>
        <w:rPr>
          <w:rFonts w:hint="eastAsia" w:ascii="宋体" w:hAnsi="宋体" w:cs="宋体"/>
          <w:color w:val="auto"/>
          <w:szCs w:val="21"/>
        </w:rPr>
        <w:t>，具有独立承担民事责任的能力。</w:t>
      </w:r>
    </w:p>
    <w:p w14:paraId="4CAF793D">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二、我单位未被“国家企业信用信息系统”列入经营异常名录或者严重违法企业名单。</w:t>
      </w:r>
    </w:p>
    <w:p w14:paraId="0BC58098">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kern w:val="0"/>
          <w:szCs w:val="21"/>
        </w:rPr>
        <w:t>三、</w:t>
      </w:r>
      <w:r>
        <w:rPr>
          <w:rFonts w:hint="eastAsia" w:ascii="宋体" w:hAnsi="宋体" w:cs="宋体"/>
          <w:color w:val="auto"/>
          <w:szCs w:val="21"/>
        </w:rPr>
        <w:t>我单位具有良好的商业信誉和健全的财务会计制度。</w:t>
      </w:r>
    </w:p>
    <w:p w14:paraId="03FF9B0B">
      <w:pPr>
        <w:widowControl/>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四、我</w:t>
      </w:r>
      <w:r>
        <w:rPr>
          <w:rFonts w:hint="eastAsia" w:ascii="宋体" w:hAnsi="宋体" w:cs="宋体"/>
          <w:color w:val="auto"/>
          <w:szCs w:val="21"/>
        </w:rPr>
        <w:t>单位</w:t>
      </w:r>
      <w:r>
        <w:rPr>
          <w:rFonts w:hint="eastAsia" w:ascii="宋体" w:hAnsi="宋体" w:cs="宋体"/>
          <w:color w:val="auto"/>
          <w:kern w:val="0"/>
          <w:szCs w:val="21"/>
        </w:rPr>
        <w:t>依法进行纳税和社会保险申报并实际履行了义务。</w:t>
      </w:r>
    </w:p>
    <w:p w14:paraId="7DB873FF">
      <w:pPr>
        <w:widowControl/>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szCs w:val="21"/>
        </w:rPr>
        <w:t>五、我单位具有履行本项目采购合同所必需的设备和专业技术能力，并具有履行合同的良好记录。</w:t>
      </w:r>
    </w:p>
    <w:p w14:paraId="2F981951">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6ADD2C72">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供应商在参加政府采购活动前3年内因违法经营被禁止在一定期限内参加政府采购活动，期限届满的，可以参加政府采购活动。</w:t>
      </w:r>
    </w:p>
    <w:p w14:paraId="79FECD90">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七、我单位具备法律、行政法规规定的其他条件。</w:t>
      </w:r>
    </w:p>
    <w:p w14:paraId="7E1017CD">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kern w:val="0"/>
          <w:szCs w:val="21"/>
        </w:rPr>
        <w:t>八、</w:t>
      </w:r>
      <w:r>
        <w:rPr>
          <w:rFonts w:hint="eastAsia" w:ascii="宋体" w:hAnsi="宋体" w:cs="宋体"/>
          <w:color w:val="auto"/>
          <w:szCs w:val="21"/>
        </w:rPr>
        <w:t>与我单位存在“单位负责人为同一人或者存在直接控股、管理关系”的其他单位信息如下（如无，填写“无”）：</w:t>
      </w:r>
    </w:p>
    <w:p w14:paraId="346AAF69">
      <w:pPr>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s="宋体"/>
          <w:color w:val="auto"/>
          <w:szCs w:val="21"/>
        </w:rPr>
        <w:t>1、与我单位的法定代表人（单位负责人）为同一人的其他单位如下：</w:t>
      </w:r>
      <w:r>
        <w:rPr>
          <w:rFonts w:hint="eastAsia" w:ascii="宋体" w:hAnsi="宋体" w:cs="宋体"/>
          <w:color w:val="auto"/>
          <w:szCs w:val="21"/>
          <w:u w:val="single"/>
        </w:rPr>
        <w:t xml:space="preserve">               </w:t>
      </w:r>
    </w:p>
    <w:p w14:paraId="27B5C140">
      <w:pPr>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s="宋体"/>
          <w:color w:val="auto"/>
          <w:szCs w:val="21"/>
        </w:rPr>
        <w:t>2、我单位直接控股的其他单位如下：</w:t>
      </w:r>
      <w:r>
        <w:rPr>
          <w:rFonts w:hint="eastAsia" w:ascii="宋体" w:hAnsi="宋体" w:cs="宋体"/>
          <w:color w:val="auto"/>
          <w:szCs w:val="21"/>
          <w:u w:val="single"/>
        </w:rPr>
        <w:t xml:space="preserve">               </w:t>
      </w:r>
    </w:p>
    <w:p w14:paraId="3E1AF469">
      <w:pPr>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s="宋体"/>
          <w:color w:val="auto"/>
          <w:szCs w:val="21"/>
        </w:rPr>
        <w:t>3、与我单位存在管理关系的其他单位如下：</w:t>
      </w:r>
      <w:r>
        <w:rPr>
          <w:rFonts w:hint="eastAsia" w:ascii="宋体" w:hAnsi="宋体" w:cs="宋体"/>
          <w:color w:val="auto"/>
          <w:szCs w:val="21"/>
          <w:u w:val="single"/>
        </w:rPr>
        <w:t xml:space="preserve">               </w:t>
      </w:r>
    </w:p>
    <w:p w14:paraId="0B228E4E">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九、我单位不属于为本项目提供整体设计、规范编制或者项目管理、监理、检测等服务的投标人。</w:t>
      </w:r>
    </w:p>
    <w:p w14:paraId="02239A67">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十、我单位无以下不良信用记录情形：</w:t>
      </w:r>
    </w:p>
    <w:p w14:paraId="58F2312C">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1、在“信用中国”网站被列入失信被执行人和重大税收违法案件当事人名单；</w:t>
      </w:r>
    </w:p>
    <w:p w14:paraId="66A61A59">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2、在“中国政府采购网”网站被列入政府采购严重违法失信行为记录名单；</w:t>
      </w:r>
    </w:p>
    <w:p w14:paraId="5145F249">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3、不符合《政府采购法》第二十二条规定的条件。</w:t>
      </w:r>
    </w:p>
    <w:p w14:paraId="4FDF2AD4">
      <w:pPr>
        <w:widowControl/>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szCs w:val="21"/>
        </w:rPr>
        <w:t>我单位保证上述声明的事项都是真实的，如有虚假，我单位愿意承担相应的法律责任，并承担因此所造成的一切损失。</w:t>
      </w:r>
    </w:p>
    <w:p w14:paraId="70DB0B23">
      <w:pPr>
        <w:widowControl/>
        <w:adjustRightInd w:val="0"/>
        <w:snapToGrid w:val="0"/>
        <w:spacing w:before="156" w:beforeLines="50" w:line="360" w:lineRule="auto"/>
        <w:jc w:val="left"/>
        <w:rPr>
          <w:rFonts w:ascii="宋体" w:hAnsi="宋体" w:cs="宋体"/>
          <w:color w:val="auto"/>
          <w:szCs w:val="21"/>
        </w:rPr>
      </w:pPr>
    </w:p>
    <w:p w14:paraId="21099CF5">
      <w:pPr>
        <w:widowControl/>
        <w:adjustRightInd w:val="0"/>
        <w:snapToGrid w:val="0"/>
        <w:spacing w:before="156" w:beforeLines="50" w:line="360" w:lineRule="auto"/>
        <w:jc w:val="left"/>
        <w:rPr>
          <w:rFonts w:ascii="宋体" w:hAnsi="宋体" w:cs="宋体"/>
          <w:color w:val="auto"/>
          <w:szCs w:val="21"/>
        </w:rPr>
      </w:pPr>
      <w:r>
        <w:rPr>
          <w:rFonts w:hint="eastAsia" w:ascii="宋体" w:hAnsi="宋体" w:cs="宋体"/>
          <w:color w:val="auto"/>
          <w:szCs w:val="21"/>
        </w:rPr>
        <w:t>注：第三条“良好的商业信誉”是指投标人经营状况良好，无本资格声明第十条情形。</w:t>
      </w:r>
    </w:p>
    <w:p w14:paraId="2C57B9FA">
      <w:pPr>
        <w:widowControl/>
        <w:adjustRightInd w:val="0"/>
        <w:snapToGrid w:val="0"/>
        <w:spacing w:before="156" w:beforeLines="50" w:line="360" w:lineRule="auto"/>
        <w:jc w:val="left"/>
        <w:rPr>
          <w:rFonts w:ascii="宋体" w:hAnsi="宋体" w:cs="宋体"/>
          <w:color w:val="auto"/>
          <w:szCs w:val="21"/>
        </w:rPr>
      </w:pPr>
    </w:p>
    <w:p w14:paraId="62DA1CFF">
      <w:pPr>
        <w:widowControl/>
        <w:adjustRightInd w:val="0"/>
        <w:snapToGrid w:val="0"/>
        <w:spacing w:line="360" w:lineRule="auto"/>
        <w:jc w:val="left"/>
        <w:rPr>
          <w:rFonts w:ascii="宋体" w:hAnsi="宋体" w:cs="宋体"/>
          <w:color w:val="auto"/>
          <w:kern w:val="0"/>
          <w:szCs w:val="21"/>
        </w:rPr>
      </w:pPr>
      <w:r>
        <w:rPr>
          <w:rFonts w:hint="eastAsia" w:ascii="宋体" w:hAnsi="宋体" w:cs="宋体"/>
          <w:color w:val="auto"/>
          <w:szCs w:val="21"/>
        </w:rPr>
        <w:t>供应商名称（盖单位公章）：</w:t>
      </w:r>
    </w:p>
    <w:p w14:paraId="33F4AC4C">
      <w:pPr>
        <w:widowControl/>
        <w:adjustRightInd w:val="0"/>
        <w:snapToGrid w:val="0"/>
        <w:spacing w:line="360" w:lineRule="auto"/>
        <w:jc w:val="left"/>
        <w:rPr>
          <w:rFonts w:ascii="宋体" w:hAnsi="宋体" w:cs="宋体"/>
          <w:b/>
          <w:bCs/>
          <w:color w:val="auto"/>
          <w:kern w:val="0"/>
          <w:sz w:val="44"/>
          <w:szCs w:val="44"/>
        </w:rPr>
      </w:pPr>
      <w:r>
        <w:rPr>
          <w:rFonts w:hint="eastAsia" w:ascii="宋体" w:hAnsi="宋体" w:cs="宋体"/>
          <w:color w:val="auto"/>
          <w:spacing w:val="-2"/>
          <w:kern w:val="0"/>
          <w:szCs w:val="21"/>
        </w:rPr>
        <w:t>法</w:t>
      </w:r>
      <w:r>
        <w:rPr>
          <w:rFonts w:hint="eastAsia" w:ascii="宋体" w:hAnsi="宋体" w:cs="宋体"/>
          <w:color w:val="auto"/>
          <w:kern w:val="0"/>
          <w:szCs w:val="21"/>
        </w:rPr>
        <w:t>定</w:t>
      </w:r>
      <w:r>
        <w:rPr>
          <w:rFonts w:hint="eastAsia" w:ascii="宋体" w:hAnsi="宋体" w:cs="宋体"/>
          <w:color w:val="auto"/>
          <w:spacing w:val="-2"/>
          <w:kern w:val="0"/>
          <w:szCs w:val="21"/>
        </w:rPr>
        <w:t>代</w:t>
      </w:r>
      <w:r>
        <w:rPr>
          <w:rFonts w:hint="eastAsia" w:ascii="宋体" w:hAnsi="宋体" w:cs="宋体"/>
          <w:color w:val="auto"/>
          <w:kern w:val="0"/>
          <w:szCs w:val="21"/>
        </w:rPr>
        <w:t>表</w:t>
      </w:r>
      <w:r>
        <w:rPr>
          <w:rFonts w:hint="eastAsia" w:ascii="宋体" w:hAnsi="宋体" w:cs="宋体"/>
          <w:color w:val="auto"/>
          <w:spacing w:val="-2"/>
          <w:kern w:val="0"/>
          <w:szCs w:val="21"/>
        </w:rPr>
        <w:t>人</w:t>
      </w:r>
      <w:r>
        <w:rPr>
          <w:rFonts w:hint="eastAsia" w:ascii="宋体" w:hAnsi="宋体" w:cs="宋体"/>
          <w:color w:val="auto"/>
          <w:kern w:val="0"/>
          <w:szCs w:val="21"/>
        </w:rPr>
        <w:t>（</w:t>
      </w:r>
      <w:r>
        <w:rPr>
          <w:rFonts w:hint="eastAsia" w:ascii="宋体" w:hAnsi="宋体" w:cs="宋体"/>
          <w:color w:val="auto"/>
          <w:spacing w:val="-2"/>
          <w:kern w:val="0"/>
          <w:szCs w:val="21"/>
        </w:rPr>
        <w:t>单</w:t>
      </w:r>
      <w:r>
        <w:rPr>
          <w:rFonts w:hint="eastAsia" w:ascii="宋体" w:hAnsi="宋体" w:cs="宋体"/>
          <w:color w:val="auto"/>
          <w:kern w:val="0"/>
          <w:szCs w:val="21"/>
        </w:rPr>
        <w:t>位</w:t>
      </w:r>
      <w:r>
        <w:rPr>
          <w:rFonts w:hint="eastAsia" w:ascii="宋体" w:hAnsi="宋体" w:cs="宋体"/>
          <w:color w:val="auto"/>
          <w:spacing w:val="-2"/>
          <w:kern w:val="0"/>
          <w:szCs w:val="21"/>
        </w:rPr>
        <w:t>负</w:t>
      </w:r>
      <w:r>
        <w:rPr>
          <w:rFonts w:hint="eastAsia" w:ascii="宋体" w:hAnsi="宋体" w:cs="宋体"/>
          <w:color w:val="auto"/>
          <w:kern w:val="0"/>
          <w:szCs w:val="21"/>
        </w:rPr>
        <w:t>责人</w:t>
      </w:r>
      <w:r>
        <w:rPr>
          <w:rFonts w:hint="eastAsia" w:ascii="宋体" w:hAnsi="宋体" w:cs="宋体"/>
          <w:color w:val="auto"/>
          <w:spacing w:val="-2"/>
          <w:kern w:val="0"/>
          <w:szCs w:val="21"/>
        </w:rPr>
        <w:t>）</w:t>
      </w:r>
      <w:r>
        <w:rPr>
          <w:rFonts w:hint="eastAsia" w:ascii="宋体" w:hAnsi="宋体" w:cs="宋体"/>
          <w:color w:val="auto"/>
        </w:rPr>
        <w:t>或委托代理人：</w:t>
      </w:r>
      <w:r>
        <w:rPr>
          <w:rFonts w:hint="eastAsia" w:ascii="宋体" w:hAnsi="宋体" w:cs="宋体"/>
          <w:color w:val="auto"/>
          <w:u w:val="single"/>
        </w:rPr>
        <w:t xml:space="preserve">       </w:t>
      </w:r>
      <w:r>
        <w:rPr>
          <w:rFonts w:hint="eastAsia" w:ascii="宋体" w:hAnsi="宋体" w:cs="宋体"/>
          <w:color w:val="auto"/>
        </w:rPr>
        <w:t>（签字）</w:t>
      </w:r>
    </w:p>
    <w:p w14:paraId="0616A213">
      <w:pPr>
        <w:spacing w:line="480" w:lineRule="exact"/>
        <w:rPr>
          <w:rFonts w:ascii="黑体" w:eastAsia="黑体"/>
          <w:color w:val="auto"/>
          <w:sz w:val="30"/>
          <w:szCs w:val="30"/>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621F81F6">
      <w:pPr>
        <w:rPr>
          <w:color w:val="auto"/>
        </w:rPr>
      </w:pPr>
    </w:p>
    <w:p w14:paraId="0AADF878">
      <w:pPr>
        <w:widowControl/>
        <w:jc w:val="left"/>
        <w:rPr>
          <w:rFonts w:ascii="黑体" w:eastAsia="黑体"/>
          <w:color w:val="auto"/>
          <w:sz w:val="30"/>
          <w:szCs w:val="30"/>
        </w:rPr>
      </w:pPr>
      <w:r>
        <w:rPr>
          <w:rStyle w:val="24"/>
          <w:rFonts w:ascii="黑体" w:eastAsia="黑体"/>
          <w:color w:val="auto"/>
          <w:sz w:val="30"/>
          <w:szCs w:val="30"/>
        </w:rPr>
        <w:br w:type="page"/>
      </w:r>
      <w:r>
        <w:rPr>
          <w:rFonts w:hint="eastAsia" w:ascii="宋体" w:hAnsi="宋体"/>
          <w:b/>
          <w:bCs/>
          <w:color w:val="auto"/>
          <w:szCs w:val="21"/>
        </w:rPr>
        <w:t>附件</w:t>
      </w:r>
      <w:r>
        <w:rPr>
          <w:rFonts w:hint="eastAsia" w:ascii="宋体" w:hAnsi="宋体"/>
          <w:b/>
          <w:bCs/>
          <w:color w:val="auto"/>
          <w:szCs w:val="21"/>
          <w:lang w:val="en-US" w:eastAsia="zh-CN"/>
        </w:rPr>
        <w:t>4</w:t>
      </w:r>
      <w:r>
        <w:rPr>
          <w:rFonts w:hint="eastAsia" w:ascii="宋体" w:hAnsi="宋体"/>
          <w:b/>
          <w:bCs/>
          <w:color w:val="auto"/>
          <w:szCs w:val="21"/>
        </w:rPr>
        <w:t>-1-2</w:t>
      </w:r>
    </w:p>
    <w:p w14:paraId="50438CCD">
      <w:pPr>
        <w:widowControl/>
        <w:adjustRightInd w:val="0"/>
        <w:snapToGrid w:val="0"/>
        <w:spacing w:line="360" w:lineRule="auto"/>
        <w:jc w:val="center"/>
        <w:rPr>
          <w:rFonts w:ascii="黑体" w:hAnsi="仿宋" w:eastAsia="黑体" w:cs="宋体"/>
          <w:b/>
          <w:color w:val="auto"/>
          <w:sz w:val="28"/>
          <w:szCs w:val="28"/>
        </w:rPr>
      </w:pPr>
    </w:p>
    <w:p w14:paraId="18F243FF">
      <w:pPr>
        <w:widowControl/>
        <w:adjustRightInd w:val="0"/>
        <w:snapToGrid w:val="0"/>
        <w:spacing w:line="360" w:lineRule="auto"/>
        <w:jc w:val="center"/>
        <w:rPr>
          <w:rFonts w:ascii="宋体" w:hAnsi="宋体" w:cs="宋体"/>
          <w:color w:val="auto"/>
          <w:szCs w:val="21"/>
        </w:rPr>
      </w:pPr>
      <w:r>
        <w:rPr>
          <w:rFonts w:hint="eastAsia" w:ascii="黑体" w:hAnsi="仿宋" w:eastAsia="黑体" w:cs="宋体"/>
          <w:b/>
          <w:color w:val="auto"/>
          <w:sz w:val="28"/>
          <w:szCs w:val="28"/>
        </w:rPr>
        <w:t>湖南省政府采购供应商资格承诺函（格式）</w:t>
      </w:r>
    </w:p>
    <w:p w14:paraId="1B12D51A">
      <w:pPr>
        <w:widowControl/>
        <w:adjustRightInd w:val="0"/>
        <w:snapToGrid w:val="0"/>
        <w:spacing w:before="156" w:beforeLines="50" w:line="360" w:lineRule="auto"/>
        <w:jc w:val="center"/>
        <w:rPr>
          <w:rFonts w:ascii="宋体" w:hAnsi="宋体" w:cs="宋体"/>
          <w:b/>
          <w:bCs/>
          <w:color w:val="auto"/>
          <w:sz w:val="28"/>
          <w:szCs w:val="28"/>
        </w:rPr>
      </w:pPr>
    </w:p>
    <w:p w14:paraId="2C9E4B69">
      <w:pPr>
        <w:widowControl/>
        <w:adjustRightInd w:val="0"/>
        <w:snapToGrid w:val="0"/>
        <w:spacing w:before="156" w:beforeLines="50" w:line="360" w:lineRule="auto"/>
        <w:jc w:val="center"/>
        <w:rPr>
          <w:rFonts w:ascii="宋体" w:hAnsi="宋体" w:cs="宋体"/>
          <w:color w:val="auto"/>
          <w:szCs w:val="21"/>
        </w:rPr>
      </w:pPr>
      <w:r>
        <w:rPr>
          <w:rFonts w:hint="eastAsia" w:ascii="宋体" w:hAnsi="宋体" w:cs="宋体"/>
          <w:b/>
          <w:bCs/>
          <w:color w:val="auto"/>
          <w:sz w:val="28"/>
          <w:szCs w:val="28"/>
        </w:rPr>
        <w:t>湖南省政府采购供应商资格承诺函</w:t>
      </w:r>
    </w:p>
    <w:p w14:paraId="4CE9A088">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w:t>
      </w:r>
      <w:r>
        <w:rPr>
          <w:rFonts w:hint="eastAsia" w:ascii="宋体" w:hAnsi="宋体" w:cs="宋体"/>
          <w:color w:val="auto"/>
          <w:szCs w:val="21"/>
          <w:lang w:eastAsia="zh-CN"/>
        </w:rPr>
        <w:t>，</w:t>
      </w:r>
      <w:r>
        <w:rPr>
          <w:rFonts w:hint="eastAsia" w:ascii="宋体" w:hAnsi="宋体" w:cs="宋体"/>
          <w:color w:val="auto"/>
          <w:szCs w:val="21"/>
        </w:rPr>
        <w:t>未列入严重失信行为名单</w:t>
      </w:r>
      <w:r>
        <w:rPr>
          <w:rFonts w:hint="eastAsia" w:ascii="宋体" w:hAnsi="宋体" w:cs="宋体"/>
          <w:color w:val="auto"/>
          <w:szCs w:val="21"/>
          <w:lang w:eastAsia="zh-CN"/>
        </w:rPr>
        <w:t>，</w:t>
      </w:r>
      <w:r>
        <w:rPr>
          <w:rFonts w:hint="eastAsia" w:ascii="宋体" w:hAnsi="宋体" w:cs="宋体"/>
          <w:color w:val="auto"/>
          <w:szCs w:val="21"/>
        </w:rPr>
        <w:t>符合政府采购供应商的基本资格要求。</w:t>
      </w:r>
    </w:p>
    <w:p w14:paraId="115EB0B0">
      <w:pPr>
        <w:widowControl/>
        <w:adjustRightInd w:val="0"/>
        <w:snapToGrid w:val="0"/>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w:t>
      </w:r>
      <w:r>
        <w:rPr>
          <w:rFonts w:hint="eastAsia" w:ascii="宋体" w:hAnsi="宋体" w:cs="宋体"/>
          <w:color w:val="auto"/>
          <w:szCs w:val="21"/>
          <w:lang w:eastAsia="zh-CN"/>
        </w:rPr>
        <w:t>（</w:t>
      </w:r>
      <w:r>
        <w:rPr>
          <w:rFonts w:hint="eastAsia" w:ascii="宋体" w:hAnsi="宋体" w:cs="宋体"/>
          <w:color w:val="auto"/>
          <w:szCs w:val="21"/>
        </w:rPr>
        <w:t>财库[2020]46号),本公司企业规模为</w:t>
      </w:r>
      <w:r>
        <w:rPr>
          <w:rFonts w:hint="eastAsia" w:ascii="宋体" w:hAnsi="宋体" w:cs="宋体"/>
          <w:color w:val="auto"/>
          <w:szCs w:val="21"/>
          <w:lang w:eastAsia="zh-CN"/>
        </w:rPr>
        <w:t>：</w:t>
      </w:r>
      <w:r>
        <w:rPr>
          <w:rFonts w:hint="eastAsia" w:ascii="宋体" w:hAnsi="宋体" w:cs="宋体"/>
          <w:color w:val="auto"/>
          <w:szCs w:val="21"/>
        </w:rPr>
        <w:t>大型</w:t>
      </w:r>
      <w:r>
        <w:rPr>
          <w:rFonts w:ascii="Segoe UI Symbol" w:hAnsi="Segoe UI Symbol" w:cs="Segoe UI Symbol"/>
          <w:color w:val="auto"/>
          <w:szCs w:val="21"/>
        </w:rPr>
        <w:t>☐</w:t>
      </w:r>
      <w:r>
        <w:rPr>
          <w:rFonts w:hint="eastAsia" w:ascii="宋体" w:hAnsi="宋体" w:cs="宋体"/>
          <w:color w:val="auto"/>
          <w:szCs w:val="21"/>
        </w:rPr>
        <w:t xml:space="preserve">   中型</w:t>
      </w:r>
      <w:r>
        <w:rPr>
          <w:rFonts w:ascii="Segoe UI Symbol" w:hAnsi="Segoe UI Symbol" w:cs="Segoe UI Symbol"/>
          <w:color w:val="auto"/>
          <w:szCs w:val="21"/>
        </w:rPr>
        <w:t>☐</w:t>
      </w:r>
      <w:r>
        <w:rPr>
          <w:rFonts w:hint="eastAsia" w:ascii="宋体" w:hAnsi="宋体" w:cs="宋体"/>
          <w:color w:val="auto"/>
          <w:szCs w:val="21"/>
        </w:rPr>
        <w:t xml:space="preserve">   小型</w:t>
      </w:r>
      <w:r>
        <w:rPr>
          <w:rFonts w:ascii="Segoe UI Symbol" w:hAnsi="Segoe UI Symbol" w:cs="Segoe UI Symbol"/>
          <w:color w:val="auto"/>
          <w:szCs w:val="21"/>
        </w:rPr>
        <w:t>☐</w:t>
      </w:r>
      <w:r>
        <w:rPr>
          <w:rFonts w:hint="eastAsia" w:ascii="宋体" w:hAnsi="宋体" w:cs="宋体"/>
          <w:color w:val="auto"/>
          <w:szCs w:val="21"/>
        </w:rPr>
        <w:t xml:space="preserve">   微型</w:t>
      </w:r>
      <w:r>
        <w:rPr>
          <w:rFonts w:ascii="Segoe UI Symbol" w:hAnsi="Segoe UI Symbol" w:cs="Segoe UI Symbol"/>
          <w:color w:val="auto"/>
          <w:szCs w:val="21"/>
        </w:rPr>
        <w:t>☐</w:t>
      </w:r>
    </w:p>
    <w:p w14:paraId="6EFA94C9">
      <w:pPr>
        <w:widowControl/>
        <w:adjustRightInd w:val="0"/>
        <w:snapToGrid w:val="0"/>
        <w:spacing w:before="156" w:beforeLines="50" w:line="360" w:lineRule="auto"/>
        <w:ind w:firstLine="420" w:firstLineChars="200"/>
        <w:jc w:val="left"/>
        <w:rPr>
          <w:rFonts w:ascii="宋体" w:hAnsi="宋体" w:cs="宋体"/>
          <w:color w:val="auto"/>
          <w:szCs w:val="21"/>
        </w:rPr>
      </w:pPr>
      <w:r>
        <w:rPr>
          <w:rFonts w:ascii="Segoe UI Symbol" w:hAnsi="Segoe UI Symbol" w:cs="Segoe UI Symbol"/>
          <w:color w:val="auto"/>
          <w:szCs w:val="21"/>
        </w:rPr>
        <w:t>☐</w:t>
      </w:r>
      <w:r>
        <w:rPr>
          <w:rFonts w:hint="eastAsia" w:ascii="宋体" w:hAnsi="宋体" w:cs="宋体"/>
          <w:color w:val="auto"/>
          <w:szCs w:val="21"/>
        </w:rPr>
        <w:t>本公司自愿入驻湖南省政府采购电子卖场</w:t>
      </w:r>
      <w:r>
        <w:rPr>
          <w:rFonts w:hint="eastAsia" w:ascii="宋体" w:hAnsi="宋体" w:cs="宋体"/>
          <w:color w:val="auto"/>
          <w:szCs w:val="21"/>
          <w:lang w:eastAsia="zh-CN"/>
        </w:rPr>
        <w:t>，</w:t>
      </w:r>
      <w:r>
        <w:rPr>
          <w:rFonts w:hint="eastAsia" w:ascii="宋体" w:hAnsi="宋体" w:cs="宋体"/>
          <w:color w:val="auto"/>
          <w:szCs w:val="21"/>
        </w:rPr>
        <w:t>遵守《湖南省政府采购电子卖场管理办法》</w:t>
      </w:r>
      <w:r>
        <w:rPr>
          <w:rFonts w:hint="eastAsia" w:ascii="宋体" w:hAnsi="宋体" w:cs="宋体"/>
          <w:color w:val="auto"/>
          <w:szCs w:val="21"/>
          <w:lang w:eastAsia="zh-CN"/>
        </w:rPr>
        <w:t>（</w:t>
      </w:r>
      <w:r>
        <w:rPr>
          <w:rFonts w:hint="eastAsia" w:ascii="宋体" w:hAnsi="宋体" w:cs="宋体"/>
          <w:color w:val="auto"/>
          <w:szCs w:val="21"/>
        </w:rPr>
        <w:t>湘财购[2019] 27号),如违反承诺，同意金融机构将增信保证划缴国库</w:t>
      </w:r>
      <w:r>
        <w:rPr>
          <w:rFonts w:hint="eastAsia" w:ascii="宋体" w:hAnsi="宋体" w:cs="宋体"/>
          <w:color w:val="auto"/>
          <w:szCs w:val="21"/>
          <w:lang w:eastAsia="zh-CN"/>
        </w:rPr>
        <w:t>（</w:t>
      </w:r>
      <w:r>
        <w:rPr>
          <w:rFonts w:hint="eastAsia" w:ascii="宋体" w:hAnsi="宋体" w:cs="宋体"/>
          <w:color w:val="auto"/>
          <w:szCs w:val="21"/>
        </w:rPr>
        <w:t>非电子卖场采购活动项目不需勾选</w:t>
      </w:r>
      <w:r>
        <w:rPr>
          <w:rFonts w:hint="eastAsia" w:ascii="宋体" w:hAnsi="宋体" w:cs="宋体"/>
          <w:color w:val="auto"/>
          <w:szCs w:val="21"/>
          <w:lang w:eastAsia="zh-CN"/>
        </w:rPr>
        <w:t>）</w:t>
      </w:r>
      <w:r>
        <w:rPr>
          <w:rFonts w:hint="eastAsia" w:ascii="宋体" w:hAnsi="宋体" w:cs="宋体"/>
          <w:color w:val="auto"/>
          <w:szCs w:val="21"/>
        </w:rPr>
        <w:t>。</w:t>
      </w:r>
    </w:p>
    <w:p w14:paraId="46DDC095">
      <w:pPr>
        <w:widowControl/>
        <w:adjustRightInd w:val="0"/>
        <w:snapToGrid w:val="0"/>
        <w:spacing w:before="156" w:beforeLines="50" w:line="360" w:lineRule="auto"/>
        <w:jc w:val="right"/>
        <w:rPr>
          <w:rFonts w:ascii="宋体" w:hAnsi="宋体" w:cs="宋体"/>
          <w:color w:val="auto"/>
          <w:szCs w:val="21"/>
        </w:rPr>
      </w:pPr>
      <w:r>
        <w:rPr>
          <w:rFonts w:hint="eastAsia" w:ascii="宋体" w:hAnsi="宋体" w:cs="宋体"/>
          <w:color w:val="auto"/>
          <w:szCs w:val="21"/>
        </w:rPr>
        <w:t>公司</w:t>
      </w:r>
      <w:r>
        <w:rPr>
          <w:rFonts w:hint="eastAsia" w:ascii="宋体" w:hAnsi="宋体" w:cs="宋体"/>
          <w:color w:val="auto"/>
          <w:szCs w:val="21"/>
          <w:lang w:eastAsia="zh-CN"/>
        </w:rPr>
        <w:t>（</w:t>
      </w:r>
      <w:r>
        <w:rPr>
          <w:rFonts w:hint="eastAsia" w:ascii="宋体" w:hAnsi="宋体" w:cs="宋体"/>
          <w:color w:val="auto"/>
          <w:szCs w:val="21"/>
        </w:rPr>
        <w:t>单位</w:t>
      </w:r>
      <w:r>
        <w:rPr>
          <w:rFonts w:hint="eastAsia" w:ascii="宋体" w:hAnsi="宋体" w:cs="宋体"/>
          <w:color w:val="auto"/>
          <w:szCs w:val="21"/>
          <w:lang w:eastAsia="zh-CN"/>
        </w:rPr>
        <w:t>）</w:t>
      </w:r>
      <w:r>
        <w:rPr>
          <w:rFonts w:hint="eastAsia" w:ascii="宋体" w:hAnsi="宋体" w:cs="宋体"/>
          <w:color w:val="auto"/>
          <w:szCs w:val="21"/>
        </w:rPr>
        <w:t>名称</w:t>
      </w:r>
      <w:r>
        <w:rPr>
          <w:rFonts w:hint="eastAsia" w:ascii="宋体" w:hAnsi="宋体" w:cs="宋体"/>
          <w:color w:val="auto"/>
          <w:szCs w:val="21"/>
          <w:lang w:eastAsia="zh-CN"/>
        </w:rPr>
        <w:t>（</w:t>
      </w:r>
      <w:r>
        <w:rPr>
          <w:rFonts w:hint="eastAsia" w:ascii="宋体" w:hAnsi="宋体" w:cs="宋体"/>
          <w:color w:val="auto"/>
          <w:szCs w:val="21"/>
        </w:rPr>
        <w:t>盖章</w:t>
      </w:r>
      <w:r>
        <w:rPr>
          <w:rFonts w:hint="eastAsia" w:ascii="宋体" w:hAnsi="宋体" w:cs="宋体"/>
          <w:color w:val="auto"/>
          <w:szCs w:val="21"/>
          <w:lang w:eastAsia="zh-CN"/>
        </w:rPr>
        <w:t>）</w:t>
      </w:r>
    </w:p>
    <w:p w14:paraId="6AD16454">
      <w:pPr>
        <w:widowControl/>
        <w:adjustRightInd w:val="0"/>
        <w:snapToGrid w:val="0"/>
        <w:spacing w:before="156" w:beforeLines="50" w:line="360" w:lineRule="auto"/>
        <w:jc w:val="right"/>
        <w:rPr>
          <w:rFonts w:ascii="宋体" w:hAnsi="宋体" w:cs="宋体"/>
          <w:color w:val="auto"/>
          <w:szCs w:val="21"/>
        </w:rPr>
      </w:pPr>
      <w:r>
        <w:rPr>
          <w:rFonts w:hint="eastAsia" w:ascii="宋体" w:hAnsi="宋体" w:cs="宋体"/>
          <w:color w:val="auto"/>
          <w:szCs w:val="21"/>
        </w:rPr>
        <w:t xml:space="preserve">   </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832119A">
      <w:pPr>
        <w:widowControl/>
        <w:adjustRightInd w:val="0"/>
        <w:snapToGrid w:val="0"/>
        <w:spacing w:before="156" w:beforeLines="50" w:line="360" w:lineRule="auto"/>
        <w:jc w:val="left"/>
        <w:rPr>
          <w:rFonts w:ascii="宋体" w:hAnsi="宋体" w:cs="宋体"/>
          <w:color w:val="auto"/>
          <w:szCs w:val="21"/>
        </w:rPr>
      </w:pPr>
    </w:p>
    <w:p w14:paraId="40B927F8">
      <w:pPr>
        <w:adjustRightInd w:val="0"/>
        <w:snapToGrid w:val="0"/>
        <w:spacing w:line="360" w:lineRule="auto"/>
        <w:ind w:left="420" w:leftChars="200"/>
        <w:rPr>
          <w:rFonts w:ascii="宋体" w:hAnsi="宋体" w:cs="宋体"/>
          <w:color w:val="auto"/>
          <w:szCs w:val="21"/>
        </w:rPr>
      </w:pPr>
      <w:r>
        <w:rPr>
          <w:rFonts w:hint="eastAsia" w:ascii="宋体" w:hAnsi="宋体" w:cs="宋体"/>
          <w:color w:val="auto"/>
          <w:szCs w:val="21"/>
        </w:rPr>
        <w:t>机构代码：</w:t>
      </w:r>
      <w:r>
        <w:rPr>
          <w:rFonts w:hint="eastAsia" w:ascii="宋体" w:hAnsi="宋体" w:cs="宋体"/>
          <w:color w:val="auto"/>
          <w:szCs w:val="21"/>
          <w:u w:val="single"/>
        </w:rPr>
        <w:t xml:space="preserve">         </w:t>
      </w:r>
      <w:r>
        <w:rPr>
          <w:rFonts w:hint="eastAsia" w:ascii="宋体" w:hAnsi="宋体" w:cs="宋体"/>
          <w:color w:val="auto"/>
          <w:szCs w:val="21"/>
        </w:rPr>
        <w:t>注册登记机构：</w:t>
      </w:r>
      <w:r>
        <w:rPr>
          <w:rFonts w:hint="eastAsia" w:ascii="宋体" w:hAnsi="宋体" w:cs="宋体"/>
          <w:color w:val="auto"/>
          <w:szCs w:val="21"/>
          <w:u w:val="single"/>
        </w:rPr>
        <w:t xml:space="preserve">          </w:t>
      </w: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有效期：</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27D001BA">
      <w:pPr>
        <w:adjustRightInd w:val="0"/>
        <w:snapToGrid w:val="0"/>
        <w:spacing w:line="360" w:lineRule="auto"/>
        <w:ind w:left="420" w:leftChars="200"/>
        <w:rPr>
          <w:rFonts w:ascii="宋体" w:hAnsi="宋体" w:cs="宋体"/>
          <w:color w:val="auto"/>
          <w:szCs w:val="21"/>
        </w:rPr>
      </w:pPr>
      <w:r>
        <w:rPr>
          <w:rFonts w:hint="eastAsia" w:ascii="宋体" w:hAnsi="宋体" w:cs="宋体"/>
          <w:color w:val="auto"/>
          <w:szCs w:val="21"/>
        </w:rPr>
        <w:t>注册资本：</w:t>
      </w:r>
      <w:r>
        <w:rPr>
          <w:rFonts w:hint="eastAsia" w:ascii="宋体" w:hAnsi="宋体" w:cs="宋体"/>
          <w:color w:val="auto"/>
          <w:szCs w:val="21"/>
          <w:u w:val="single"/>
        </w:rPr>
        <w:t xml:space="preserve">         </w:t>
      </w:r>
      <w:r>
        <w:rPr>
          <w:rFonts w:hint="eastAsia" w:ascii="宋体" w:hAnsi="宋体" w:cs="宋体"/>
          <w:color w:val="auto"/>
          <w:szCs w:val="21"/>
        </w:rPr>
        <w:t>地 址：</w:t>
      </w:r>
      <w:r>
        <w:rPr>
          <w:rFonts w:hint="eastAsia" w:ascii="宋体" w:hAnsi="宋体" w:cs="宋体"/>
          <w:color w:val="auto"/>
          <w:szCs w:val="21"/>
          <w:u w:val="single"/>
        </w:rPr>
        <w:t xml:space="preserve">          </w:t>
      </w:r>
      <w:r>
        <w:rPr>
          <w:rFonts w:hint="eastAsia" w:ascii="宋体" w:hAnsi="宋体" w:cs="宋体"/>
          <w:color w:val="auto"/>
          <w:szCs w:val="21"/>
        </w:rPr>
        <w:t>经济行业：</w:t>
      </w:r>
      <w:r>
        <w:rPr>
          <w:rFonts w:hint="eastAsia" w:ascii="宋体" w:hAnsi="宋体" w:cs="宋体"/>
          <w:color w:val="auto"/>
          <w:szCs w:val="21"/>
          <w:u w:val="single"/>
        </w:rPr>
        <w:t xml:space="preserve">         </w:t>
      </w:r>
      <w:r>
        <w:rPr>
          <w:rFonts w:hint="eastAsia" w:ascii="宋体" w:hAnsi="宋体" w:cs="宋体"/>
          <w:color w:val="auto"/>
          <w:szCs w:val="21"/>
        </w:rPr>
        <w:t xml:space="preserve"> 经济性质：</w:t>
      </w:r>
      <w:r>
        <w:rPr>
          <w:rFonts w:hint="eastAsia" w:ascii="宋体" w:hAnsi="宋体" w:cs="宋体"/>
          <w:color w:val="auto"/>
          <w:szCs w:val="21"/>
          <w:u w:val="single"/>
        </w:rPr>
        <w:t xml:space="preserve">        </w:t>
      </w:r>
    </w:p>
    <w:p w14:paraId="29EF8A62">
      <w:pPr>
        <w:adjustRightInd w:val="0"/>
        <w:snapToGrid w:val="0"/>
        <w:spacing w:line="360" w:lineRule="auto"/>
        <w:ind w:firstLine="420" w:firstLineChars="200"/>
        <w:rPr>
          <w:rFonts w:ascii="宋体" w:hAnsi="宋体" w:cs="宋体"/>
          <w:color w:val="auto"/>
          <w:szCs w:val="21"/>
        </w:rPr>
      </w:pPr>
    </w:p>
    <w:p w14:paraId="23E8FC64">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法定代表人</w:t>
      </w:r>
      <w:r>
        <w:rPr>
          <w:rFonts w:hint="eastAsia" w:ascii="宋体" w:hAnsi="宋体" w:cs="宋体"/>
          <w:color w:val="auto"/>
          <w:szCs w:val="21"/>
          <w:lang w:eastAsia="zh-CN"/>
        </w:rPr>
        <w:t>（</w:t>
      </w:r>
      <w:r>
        <w:rPr>
          <w:rFonts w:hint="eastAsia" w:ascii="宋体" w:hAnsi="宋体" w:cs="宋体"/>
          <w:color w:val="auto"/>
          <w:szCs w:val="21"/>
        </w:rPr>
        <w:t>负责人</w:t>
      </w:r>
      <w:r>
        <w:rPr>
          <w:rFonts w:hint="eastAsia" w:ascii="宋体" w:hAnsi="宋体" w:cs="宋体"/>
          <w:color w:val="auto"/>
          <w:szCs w:val="21"/>
          <w:lang w:eastAsia="zh-CN"/>
        </w:rPr>
        <w:t>）</w:t>
      </w:r>
      <w:r>
        <w:rPr>
          <w:rFonts w:hint="eastAsia" w:ascii="宋体" w:hAnsi="宋体" w:cs="宋体"/>
          <w:color w:val="auto"/>
          <w:szCs w:val="21"/>
        </w:rPr>
        <w:t>姓名</w:t>
      </w:r>
      <w:r>
        <w:rPr>
          <w:rFonts w:hint="eastAsia" w:ascii="宋体" w:hAnsi="宋体" w:cs="宋体"/>
          <w:color w:val="auto"/>
          <w:szCs w:val="21"/>
          <w:lang w:eastAsia="zh-CN"/>
        </w:rPr>
        <w:t>（</w:t>
      </w:r>
      <w:r>
        <w:rPr>
          <w:rFonts w:hint="eastAsia" w:ascii="宋体" w:hAnsi="宋体" w:cs="宋体"/>
          <w:color w:val="auto"/>
          <w:szCs w:val="21"/>
        </w:rPr>
        <w:t>签字</w:t>
      </w:r>
      <w:r>
        <w:rPr>
          <w:rFonts w:hint="eastAsia" w:ascii="宋体" w:hAnsi="宋体" w:cs="宋体"/>
          <w:color w:val="auto"/>
          <w:szCs w:val="21"/>
          <w:lang w:eastAsia="zh-CN"/>
        </w:rPr>
        <w:t>）</w:t>
      </w:r>
      <w:r>
        <w:rPr>
          <w:rFonts w:hint="eastAsia" w:ascii="宋体" w:hAnsi="宋体" w:cs="宋体"/>
          <w:color w:val="auto"/>
          <w:szCs w:val="21"/>
        </w:rPr>
        <w:t>：</w:t>
      </w:r>
    </w:p>
    <w:p w14:paraId="0C13F3B1">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身份证号：</w:t>
      </w:r>
    </w:p>
    <w:p w14:paraId="0857ABEE">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手机号</w:t>
      </w:r>
      <w:r>
        <w:rPr>
          <w:rFonts w:hint="eastAsia" w:ascii="宋体" w:hAnsi="宋体" w:cs="宋体"/>
          <w:color w:val="auto"/>
          <w:szCs w:val="21"/>
          <w:lang w:eastAsia="zh-CN"/>
        </w:rPr>
        <w:t>：</w:t>
      </w:r>
    </w:p>
    <w:p w14:paraId="24EA4BDB">
      <w:pPr>
        <w:adjustRightInd w:val="0"/>
        <w:snapToGrid w:val="0"/>
        <w:spacing w:line="360" w:lineRule="auto"/>
        <w:ind w:firstLine="420" w:firstLineChars="200"/>
        <w:rPr>
          <w:rFonts w:ascii="宋体" w:hAnsi="宋体" w:cs="宋体"/>
          <w:color w:val="auto"/>
          <w:szCs w:val="21"/>
        </w:rPr>
      </w:pPr>
    </w:p>
    <w:p w14:paraId="6C6E42CC">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授权代表人姓名</w:t>
      </w:r>
      <w:r>
        <w:rPr>
          <w:rFonts w:hint="eastAsia" w:ascii="宋体" w:hAnsi="宋体" w:cs="宋体"/>
          <w:color w:val="auto"/>
          <w:szCs w:val="21"/>
          <w:lang w:eastAsia="zh-CN"/>
        </w:rPr>
        <w:t>（</w:t>
      </w:r>
      <w:r>
        <w:rPr>
          <w:rFonts w:hint="eastAsia" w:ascii="宋体" w:hAnsi="宋体" w:cs="宋体"/>
          <w:color w:val="auto"/>
          <w:szCs w:val="21"/>
        </w:rPr>
        <w:t>签字</w:t>
      </w:r>
      <w:r>
        <w:rPr>
          <w:rFonts w:hint="eastAsia" w:ascii="宋体" w:hAnsi="宋体" w:cs="宋体"/>
          <w:color w:val="auto"/>
          <w:szCs w:val="21"/>
          <w:lang w:eastAsia="zh-CN"/>
        </w:rPr>
        <w:t>）</w:t>
      </w:r>
      <w:r>
        <w:rPr>
          <w:rFonts w:hint="eastAsia" w:ascii="宋体" w:hAnsi="宋体" w:cs="宋体"/>
          <w:color w:val="auto"/>
          <w:szCs w:val="21"/>
        </w:rPr>
        <w:t>：</w:t>
      </w:r>
    </w:p>
    <w:p w14:paraId="4D2C8C4E">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身份证号：</w:t>
      </w:r>
    </w:p>
    <w:p w14:paraId="17621F94">
      <w:pPr>
        <w:adjustRightInd w:val="0"/>
        <w:snapToGrid w:val="0"/>
        <w:spacing w:line="360" w:lineRule="auto"/>
        <w:ind w:right="24" w:firstLine="420" w:firstLineChars="200"/>
        <w:rPr>
          <w:rFonts w:ascii="宋体" w:hAnsi="宋体"/>
          <w:bCs/>
          <w:color w:val="auto"/>
          <w:sz w:val="24"/>
        </w:rPr>
      </w:pPr>
      <w:r>
        <w:rPr>
          <w:rFonts w:hint="eastAsia" w:ascii="宋体" w:hAnsi="宋体" w:cs="宋体"/>
          <w:color w:val="auto"/>
          <w:szCs w:val="21"/>
        </w:rPr>
        <w:t>手机号</w:t>
      </w:r>
      <w:r>
        <w:rPr>
          <w:rFonts w:hint="eastAsia" w:ascii="宋体" w:hAnsi="宋体" w:cs="宋体"/>
          <w:color w:val="auto"/>
          <w:szCs w:val="21"/>
          <w:lang w:eastAsia="zh-CN"/>
        </w:rPr>
        <w:t>：</w:t>
      </w:r>
    </w:p>
    <w:p w14:paraId="08176EC1">
      <w:pPr>
        <w:spacing w:line="480" w:lineRule="exact"/>
        <w:ind w:right="23" w:rightChars="11"/>
        <w:rPr>
          <w:rFonts w:ascii="宋体" w:hAnsi="宋体"/>
          <w:b/>
          <w:bCs/>
          <w:color w:val="auto"/>
          <w:szCs w:val="21"/>
        </w:rPr>
      </w:pPr>
    </w:p>
    <w:p w14:paraId="26D449C8">
      <w:pPr>
        <w:widowControl/>
        <w:jc w:val="left"/>
        <w:rPr>
          <w:rFonts w:ascii="宋体" w:hAnsi="宋体"/>
          <w:b/>
          <w:bCs/>
          <w:color w:val="auto"/>
          <w:szCs w:val="21"/>
        </w:rPr>
      </w:pPr>
      <w:r>
        <w:rPr>
          <w:rFonts w:ascii="宋体" w:hAnsi="宋体"/>
          <w:b/>
          <w:bCs/>
          <w:color w:val="auto"/>
          <w:szCs w:val="21"/>
        </w:rPr>
        <w:br w:type="page"/>
      </w:r>
      <w:r>
        <w:rPr>
          <w:rFonts w:hint="eastAsia" w:ascii="宋体" w:hAnsi="宋体"/>
          <w:b/>
          <w:bCs/>
          <w:color w:val="auto"/>
          <w:szCs w:val="21"/>
        </w:rPr>
        <w:t>附件</w:t>
      </w:r>
      <w:r>
        <w:rPr>
          <w:rFonts w:hint="eastAsia" w:ascii="宋体" w:hAnsi="宋体"/>
          <w:b/>
          <w:bCs/>
          <w:color w:val="auto"/>
          <w:szCs w:val="21"/>
          <w:lang w:val="en-US" w:eastAsia="zh-CN"/>
        </w:rPr>
        <w:t>4</w:t>
      </w:r>
      <w:r>
        <w:rPr>
          <w:rFonts w:hint="eastAsia" w:ascii="宋体" w:hAnsi="宋体"/>
          <w:b/>
          <w:bCs/>
          <w:color w:val="auto"/>
          <w:szCs w:val="21"/>
        </w:rPr>
        <w:t>-1-3</w:t>
      </w:r>
    </w:p>
    <w:p w14:paraId="51AAF00A">
      <w:pPr>
        <w:adjustRightInd w:val="0"/>
        <w:snapToGrid w:val="0"/>
        <w:spacing w:line="360" w:lineRule="auto"/>
        <w:jc w:val="center"/>
        <w:rPr>
          <w:rFonts w:eastAsia="黑体"/>
          <w:b/>
          <w:color w:val="auto"/>
          <w:sz w:val="28"/>
          <w:szCs w:val="28"/>
        </w:rPr>
      </w:pPr>
      <w:r>
        <w:rPr>
          <w:rFonts w:eastAsia="黑体"/>
          <w:bCs/>
          <w:color w:val="auto"/>
          <w:sz w:val="28"/>
          <w:szCs w:val="28"/>
        </w:rPr>
        <w:t xml:space="preserve"> </w:t>
      </w:r>
      <w:r>
        <w:rPr>
          <w:rFonts w:eastAsia="黑体"/>
          <w:b/>
          <w:color w:val="auto"/>
          <w:sz w:val="28"/>
          <w:szCs w:val="28"/>
        </w:rPr>
        <w:t>参加政府采购活动前三年内在经营活动中</w:t>
      </w:r>
    </w:p>
    <w:p w14:paraId="1BA13E2A">
      <w:pPr>
        <w:adjustRightInd w:val="0"/>
        <w:snapToGrid w:val="0"/>
        <w:spacing w:line="360" w:lineRule="auto"/>
        <w:jc w:val="center"/>
        <w:rPr>
          <w:rFonts w:eastAsia="黑体"/>
          <w:b/>
          <w:color w:val="auto"/>
          <w:sz w:val="28"/>
          <w:szCs w:val="28"/>
        </w:rPr>
      </w:pPr>
      <w:r>
        <w:rPr>
          <w:rFonts w:eastAsia="黑体"/>
          <w:b/>
          <w:color w:val="auto"/>
          <w:sz w:val="28"/>
          <w:szCs w:val="28"/>
        </w:rPr>
        <w:t>没有重大违法记录的书面声明</w:t>
      </w:r>
    </w:p>
    <w:p w14:paraId="5B54CB7C">
      <w:pPr>
        <w:spacing w:line="480" w:lineRule="exact"/>
        <w:ind w:right="23" w:rightChars="11"/>
        <w:rPr>
          <w:rFonts w:eastAsia="黑体"/>
          <w:color w:val="auto"/>
          <w:sz w:val="24"/>
        </w:rPr>
      </w:pPr>
    </w:p>
    <w:p w14:paraId="3E938661">
      <w:pPr>
        <w:adjustRightInd w:val="0"/>
        <w:snapToGrid w:val="0"/>
        <w:spacing w:before="156" w:beforeLines="50" w:line="360" w:lineRule="auto"/>
        <w:ind w:firstLine="420" w:firstLineChars="200"/>
        <w:rPr>
          <w:bCs/>
          <w:color w:val="auto"/>
          <w:szCs w:val="21"/>
        </w:rPr>
      </w:pPr>
      <w:r>
        <w:rPr>
          <w:bCs/>
          <w:color w:val="auto"/>
          <w:szCs w:val="21"/>
        </w:rPr>
        <w:t>致</w:t>
      </w:r>
      <w:r>
        <w:rPr>
          <w:bCs/>
          <w:color w:val="auto"/>
          <w:szCs w:val="21"/>
          <w:u w:val="single"/>
        </w:rPr>
        <w:t xml:space="preserve">              </w:t>
      </w:r>
      <w:r>
        <w:rPr>
          <w:rFonts w:hint="eastAsia"/>
          <w:bCs/>
          <w:color w:val="auto"/>
          <w:szCs w:val="21"/>
          <w:u w:val="single"/>
          <w:lang w:eastAsia="zh-CN"/>
        </w:rPr>
        <w:t>（</w:t>
      </w:r>
      <w:r>
        <w:rPr>
          <w:bCs/>
          <w:color w:val="auto"/>
          <w:szCs w:val="21"/>
          <w:u w:val="single"/>
        </w:rPr>
        <w:t>采购代理机构</w:t>
      </w:r>
      <w:r>
        <w:rPr>
          <w:rFonts w:hint="eastAsia"/>
          <w:bCs/>
          <w:color w:val="auto"/>
          <w:szCs w:val="21"/>
          <w:u w:val="single"/>
          <w:lang w:eastAsia="zh-CN"/>
        </w:rPr>
        <w:t>）</w:t>
      </w:r>
      <w:r>
        <w:rPr>
          <w:bCs/>
          <w:color w:val="auto"/>
          <w:szCs w:val="21"/>
        </w:rPr>
        <w:t>：</w:t>
      </w:r>
    </w:p>
    <w:p w14:paraId="5B7D8F7A">
      <w:pPr>
        <w:adjustRightInd w:val="0"/>
        <w:snapToGrid w:val="0"/>
        <w:spacing w:before="156" w:beforeLines="50" w:line="360" w:lineRule="auto"/>
        <w:ind w:firstLine="420" w:firstLineChars="200"/>
        <w:rPr>
          <w:bCs/>
          <w:color w:val="auto"/>
          <w:szCs w:val="21"/>
        </w:rPr>
      </w:pPr>
    </w:p>
    <w:p w14:paraId="14F04DD4">
      <w:pPr>
        <w:topLinePunct/>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我单位在参加采购活动前三年内在经营活动中没有政府采购法第二十二条第一款第（五）项所称重大违法记录，包括：</w:t>
      </w:r>
    </w:p>
    <w:p w14:paraId="450111C0">
      <w:pPr>
        <w:spacing w:line="360" w:lineRule="auto"/>
        <w:ind w:firstLine="420" w:firstLineChars="200"/>
        <w:jc w:val="left"/>
        <w:outlineLvl w:val="9"/>
        <w:rPr>
          <w:rFonts w:hint="eastAsia" w:ascii="宋体" w:hAnsi="宋体" w:cs="宋体"/>
          <w:b w:val="0"/>
          <w:bCs w:val="0"/>
          <w:color w:val="auto"/>
          <w:sz w:val="21"/>
          <w:szCs w:val="21"/>
        </w:rPr>
      </w:pPr>
      <w:r>
        <w:rPr>
          <w:rFonts w:hint="eastAsia" w:ascii="宋体" w:hAnsi="宋体" w:cs="宋体"/>
          <w:b w:val="0"/>
          <w:bCs w:val="0"/>
          <w:color w:val="auto"/>
          <w:sz w:val="21"/>
          <w:szCs w:val="21"/>
        </w:rPr>
        <w:t>（一）我单位或者其法定代表人、董事、监事、高级管理人员因经营活动中的违法行为受到行政处罚，但警告和罚款额在 200 万元以下的行政处罚除外；法律、行政法规以及国务院有关部门明确规定相关领域“较大数额罚款”标准高于200万元的，从其规定。【依据财库〔2022〕3号“财政部关于《中华人民共和国政府采购法实施条例》第十九条第一款“较大数额罚款”具体适用问题的意见”】</w:t>
      </w:r>
    </w:p>
    <w:p w14:paraId="3877F34A">
      <w:pPr>
        <w:spacing w:line="360" w:lineRule="auto"/>
        <w:ind w:firstLine="420" w:firstLineChars="200"/>
        <w:rPr>
          <w:rStyle w:val="24"/>
          <w:rFonts w:hint="eastAsia" w:ascii="宋体" w:hAnsi="宋体" w:cs="宋体"/>
          <w:color w:val="auto"/>
          <w:szCs w:val="21"/>
        </w:rPr>
      </w:pPr>
      <w:r>
        <w:rPr>
          <w:rFonts w:hint="eastAsia" w:ascii="宋体" w:hAnsi="宋体" w:cs="宋体"/>
          <w:color w:val="auto"/>
          <w:szCs w:val="21"/>
        </w:rPr>
        <w:t>（二）我单位或者其法定代表人、董事、监事、高级管理人员因经营活动中的违法行为受到刑事处罚。</w:t>
      </w:r>
    </w:p>
    <w:p w14:paraId="4B857B1F">
      <w:pPr>
        <w:spacing w:line="480" w:lineRule="exact"/>
        <w:rPr>
          <w:rStyle w:val="24"/>
          <w:rFonts w:hint="eastAsia" w:ascii="宋体" w:hAnsi="宋体" w:cs="宋体"/>
          <w:color w:val="auto"/>
          <w:szCs w:val="21"/>
        </w:rPr>
      </w:pPr>
    </w:p>
    <w:p w14:paraId="1F99C8D4">
      <w:pPr>
        <w:outlineLvl w:val="9"/>
        <w:rPr>
          <w:rStyle w:val="24"/>
          <w:rFonts w:hint="eastAsia" w:ascii="宋体" w:hAnsi="宋体" w:cs="宋体"/>
          <w:color w:val="auto"/>
          <w:sz w:val="21"/>
          <w:szCs w:val="21"/>
        </w:rPr>
      </w:pPr>
    </w:p>
    <w:p w14:paraId="2EFAC1CE">
      <w:pPr>
        <w:spacing w:line="480" w:lineRule="exact"/>
        <w:ind w:firstLine="420" w:firstLineChars="200"/>
        <w:rPr>
          <w:rFonts w:hint="eastAsia" w:ascii="宋体" w:hAnsi="宋体" w:cs="宋体"/>
          <w:color w:val="auto"/>
          <w:szCs w:val="21"/>
        </w:rPr>
      </w:pPr>
      <w:r>
        <w:rPr>
          <w:rFonts w:hint="eastAsia" w:ascii="宋体" w:hAnsi="宋体" w:cs="宋体"/>
          <w:color w:val="auto"/>
          <w:szCs w:val="21"/>
        </w:rPr>
        <w:t>特此声明！</w:t>
      </w:r>
    </w:p>
    <w:p w14:paraId="0046202A">
      <w:pPr>
        <w:adjustRightInd w:val="0"/>
        <w:snapToGrid w:val="0"/>
        <w:spacing w:before="156" w:beforeLines="50" w:line="360" w:lineRule="auto"/>
        <w:ind w:firstLine="420" w:firstLineChars="200"/>
        <w:rPr>
          <w:bCs/>
          <w:color w:val="auto"/>
          <w:szCs w:val="21"/>
        </w:rPr>
      </w:pPr>
    </w:p>
    <w:p w14:paraId="59C9335E">
      <w:pPr>
        <w:adjustRightInd w:val="0"/>
        <w:snapToGrid w:val="0"/>
        <w:spacing w:before="156" w:beforeLines="50" w:line="360" w:lineRule="auto"/>
        <w:ind w:firstLine="420" w:firstLineChars="200"/>
        <w:rPr>
          <w:bCs/>
          <w:color w:val="auto"/>
          <w:szCs w:val="21"/>
        </w:rPr>
      </w:pPr>
    </w:p>
    <w:p w14:paraId="372F022E">
      <w:pPr>
        <w:adjustRightInd w:val="0"/>
        <w:snapToGrid w:val="0"/>
        <w:spacing w:before="156" w:beforeLines="50" w:line="360" w:lineRule="auto"/>
        <w:ind w:firstLine="420" w:firstLineChars="200"/>
        <w:rPr>
          <w:bCs/>
          <w:color w:val="auto"/>
          <w:szCs w:val="21"/>
        </w:rPr>
      </w:pPr>
      <w:r>
        <w:rPr>
          <w:bCs/>
          <w:color w:val="auto"/>
          <w:szCs w:val="21"/>
        </w:rPr>
        <w:t xml:space="preserve">供应商名称（单位章）： </w:t>
      </w:r>
    </w:p>
    <w:p w14:paraId="6F3A2D11">
      <w:pPr>
        <w:adjustRightInd w:val="0"/>
        <w:snapToGrid w:val="0"/>
        <w:spacing w:before="156" w:beforeLines="50" w:line="360" w:lineRule="auto"/>
        <w:ind w:firstLine="420" w:firstLineChars="200"/>
        <w:rPr>
          <w:bCs/>
          <w:color w:val="auto"/>
          <w:szCs w:val="21"/>
        </w:rPr>
      </w:pPr>
      <w:r>
        <w:rPr>
          <w:bCs/>
          <w:color w:val="auto"/>
          <w:szCs w:val="21"/>
        </w:rPr>
        <w:t xml:space="preserve">法定代表人（签字）：              </w:t>
      </w:r>
    </w:p>
    <w:p w14:paraId="7EC9DCCA">
      <w:pPr>
        <w:adjustRightInd w:val="0"/>
        <w:snapToGrid w:val="0"/>
        <w:spacing w:before="156" w:beforeLines="50" w:line="360" w:lineRule="auto"/>
        <w:ind w:firstLine="420" w:firstLineChars="200"/>
        <w:rPr>
          <w:bCs/>
          <w:color w:val="auto"/>
          <w:szCs w:val="21"/>
        </w:rPr>
      </w:pPr>
      <w:r>
        <w:rPr>
          <w:bCs/>
          <w:color w:val="auto"/>
          <w:szCs w:val="21"/>
        </w:rPr>
        <w:t>日期：</w:t>
      </w:r>
      <w:r>
        <w:rPr>
          <w:bCs/>
          <w:color w:val="auto"/>
          <w:szCs w:val="21"/>
          <w:u w:val="single"/>
        </w:rPr>
        <w:t xml:space="preserve">        </w:t>
      </w:r>
      <w:r>
        <w:rPr>
          <w:bCs/>
          <w:color w:val="auto"/>
          <w:szCs w:val="21"/>
        </w:rPr>
        <w:t>年</w:t>
      </w:r>
      <w:r>
        <w:rPr>
          <w:bCs/>
          <w:color w:val="auto"/>
          <w:szCs w:val="21"/>
          <w:u w:val="single"/>
        </w:rPr>
        <w:t xml:space="preserve">    </w:t>
      </w:r>
      <w:r>
        <w:rPr>
          <w:bCs/>
          <w:color w:val="auto"/>
          <w:szCs w:val="21"/>
        </w:rPr>
        <w:t>月</w:t>
      </w:r>
      <w:r>
        <w:rPr>
          <w:bCs/>
          <w:color w:val="auto"/>
          <w:szCs w:val="21"/>
          <w:u w:val="single"/>
        </w:rPr>
        <w:t xml:space="preserve">     </w:t>
      </w:r>
      <w:r>
        <w:rPr>
          <w:bCs/>
          <w:color w:val="auto"/>
          <w:szCs w:val="21"/>
        </w:rPr>
        <w:t>日</w:t>
      </w:r>
    </w:p>
    <w:p w14:paraId="7A470562">
      <w:pPr>
        <w:widowControl/>
        <w:jc w:val="left"/>
        <w:rPr>
          <w:rStyle w:val="24"/>
          <w:rFonts w:ascii="黑体" w:eastAsia="黑体"/>
          <w:color w:val="auto"/>
          <w:sz w:val="30"/>
          <w:szCs w:val="30"/>
        </w:rPr>
      </w:pPr>
      <w:r>
        <w:rPr>
          <w:rStyle w:val="24"/>
          <w:rFonts w:ascii="黑体" w:eastAsia="黑体"/>
          <w:color w:val="auto"/>
          <w:sz w:val="30"/>
          <w:szCs w:val="30"/>
        </w:rPr>
        <w:br w:type="page"/>
      </w:r>
    </w:p>
    <w:p w14:paraId="7C009ABD">
      <w:pPr>
        <w:spacing w:line="480" w:lineRule="exact"/>
        <w:rPr>
          <w:rStyle w:val="24"/>
          <w:rFonts w:ascii="黑体" w:eastAsia="黑体"/>
          <w:color w:val="auto"/>
          <w:sz w:val="24"/>
          <w:szCs w:val="28"/>
        </w:rPr>
      </w:pPr>
      <w:r>
        <w:rPr>
          <w:rStyle w:val="24"/>
          <w:rFonts w:hint="eastAsia" w:ascii="黑体" w:eastAsia="黑体"/>
          <w:color w:val="auto"/>
          <w:sz w:val="24"/>
          <w:szCs w:val="28"/>
        </w:rPr>
        <w:t>附件</w:t>
      </w:r>
      <w:r>
        <w:rPr>
          <w:rStyle w:val="24"/>
          <w:rFonts w:hint="eastAsia" w:ascii="黑体" w:eastAsia="黑体"/>
          <w:color w:val="auto"/>
          <w:sz w:val="24"/>
          <w:szCs w:val="28"/>
          <w:lang w:val="en-US" w:eastAsia="zh-CN"/>
        </w:rPr>
        <w:t>4</w:t>
      </w:r>
      <w:r>
        <w:rPr>
          <w:rStyle w:val="24"/>
          <w:rFonts w:hint="eastAsia" w:ascii="黑体" w:eastAsia="黑体"/>
          <w:color w:val="auto"/>
          <w:sz w:val="24"/>
          <w:szCs w:val="28"/>
        </w:rPr>
        <w:t>-2</w:t>
      </w:r>
    </w:p>
    <w:p w14:paraId="775BE481">
      <w:pPr>
        <w:spacing w:line="480" w:lineRule="exact"/>
        <w:ind w:firstLine="1500" w:firstLineChars="500"/>
        <w:rPr>
          <w:rStyle w:val="24"/>
          <w:rFonts w:ascii="黑体" w:eastAsia="黑体"/>
          <w:color w:val="auto"/>
          <w:sz w:val="30"/>
          <w:szCs w:val="30"/>
        </w:rPr>
      </w:pPr>
      <w:r>
        <w:rPr>
          <w:rStyle w:val="24"/>
          <w:rFonts w:ascii="黑体" w:eastAsia="黑体"/>
          <w:color w:val="auto"/>
          <w:sz w:val="30"/>
          <w:szCs w:val="30"/>
        </w:rPr>
        <w:t>磋商文件规定的特定资格条件证明资料</w:t>
      </w:r>
    </w:p>
    <w:p w14:paraId="0912381E">
      <w:pPr>
        <w:spacing w:line="480" w:lineRule="exact"/>
        <w:rPr>
          <w:rStyle w:val="24"/>
          <w:rFonts w:ascii="宋体" w:hAnsi="宋体"/>
          <w:color w:val="auto"/>
          <w:szCs w:val="21"/>
        </w:rPr>
      </w:pPr>
    </w:p>
    <w:p w14:paraId="6F927572">
      <w:pPr>
        <w:spacing w:line="480" w:lineRule="exact"/>
        <w:rPr>
          <w:rStyle w:val="24"/>
          <w:rFonts w:ascii="宋体" w:hAnsi="宋体"/>
          <w:color w:val="auto"/>
          <w:szCs w:val="21"/>
        </w:rPr>
      </w:pPr>
      <w:r>
        <w:rPr>
          <w:rStyle w:val="24"/>
          <w:rFonts w:ascii="宋体" w:hAnsi="宋体"/>
          <w:color w:val="auto"/>
          <w:szCs w:val="21"/>
        </w:rPr>
        <w:t>备注：提供第二章 磋商须知第3.1款供应商特定资格条件证明资料的复印件。</w:t>
      </w:r>
    </w:p>
    <w:p w14:paraId="71C73CC8">
      <w:pPr>
        <w:spacing w:line="480" w:lineRule="exact"/>
        <w:rPr>
          <w:rStyle w:val="24"/>
          <w:rFonts w:ascii="宋体" w:hAnsi="宋体"/>
          <w:color w:val="auto"/>
          <w:szCs w:val="21"/>
        </w:rPr>
      </w:pPr>
    </w:p>
    <w:p w14:paraId="7BC5A7CC">
      <w:pPr>
        <w:spacing w:line="480" w:lineRule="exact"/>
        <w:rPr>
          <w:rStyle w:val="24"/>
          <w:rFonts w:ascii="宋体" w:hAnsi="宋体"/>
          <w:color w:val="auto"/>
          <w:szCs w:val="21"/>
        </w:rPr>
      </w:pPr>
    </w:p>
    <w:p w14:paraId="56F7EA29">
      <w:pPr>
        <w:spacing w:line="480" w:lineRule="exact"/>
        <w:rPr>
          <w:rStyle w:val="24"/>
          <w:rFonts w:ascii="宋体" w:hAnsi="宋体"/>
          <w:color w:val="auto"/>
          <w:szCs w:val="21"/>
        </w:rPr>
      </w:pPr>
    </w:p>
    <w:p w14:paraId="2F057A1F">
      <w:pPr>
        <w:spacing w:line="480" w:lineRule="exact"/>
        <w:rPr>
          <w:rStyle w:val="24"/>
          <w:rFonts w:ascii="宋体" w:hAnsi="宋体"/>
          <w:color w:val="auto"/>
          <w:szCs w:val="21"/>
        </w:rPr>
      </w:pPr>
    </w:p>
    <w:p w14:paraId="45AD3CDD">
      <w:pPr>
        <w:spacing w:line="480" w:lineRule="exact"/>
        <w:rPr>
          <w:rStyle w:val="24"/>
          <w:rFonts w:ascii="宋体" w:hAnsi="宋体"/>
          <w:color w:val="auto"/>
          <w:szCs w:val="21"/>
        </w:rPr>
      </w:pPr>
    </w:p>
    <w:p w14:paraId="6A0C7B7B">
      <w:pPr>
        <w:spacing w:line="480" w:lineRule="exact"/>
        <w:ind w:firstLine="1500" w:firstLineChars="500"/>
        <w:rPr>
          <w:rStyle w:val="24"/>
          <w:rFonts w:ascii="黑体" w:eastAsia="黑体"/>
          <w:color w:val="auto"/>
          <w:sz w:val="30"/>
          <w:szCs w:val="30"/>
        </w:rPr>
      </w:pPr>
      <w:r>
        <w:rPr>
          <w:rStyle w:val="24"/>
          <w:rFonts w:hint="eastAsia" w:ascii="黑体" w:eastAsia="黑体"/>
          <w:color w:val="auto"/>
          <w:sz w:val="30"/>
          <w:szCs w:val="30"/>
        </w:rPr>
        <w:t>以上资料复印件需加盖供应商单位公章</w:t>
      </w:r>
    </w:p>
    <w:p w14:paraId="6A134C58">
      <w:pPr>
        <w:snapToGrid w:val="0"/>
        <w:spacing w:line="360" w:lineRule="auto"/>
        <w:rPr>
          <w:rStyle w:val="24"/>
          <w:rFonts w:ascii="黑体" w:eastAsia="黑体"/>
          <w:color w:val="auto"/>
          <w:szCs w:val="21"/>
        </w:rPr>
      </w:pPr>
      <w:r>
        <w:rPr>
          <w:color w:val="auto"/>
        </w:rPr>
        <w:br w:type="page"/>
      </w:r>
    </w:p>
    <w:p w14:paraId="09924291">
      <w:pPr>
        <w:spacing w:line="480" w:lineRule="exact"/>
        <w:rPr>
          <w:rStyle w:val="24"/>
          <w:rFonts w:ascii="黑体" w:eastAsia="黑体"/>
          <w:color w:val="auto"/>
          <w:sz w:val="28"/>
          <w:szCs w:val="28"/>
        </w:rPr>
      </w:pPr>
      <w:r>
        <w:rPr>
          <w:rStyle w:val="24"/>
          <w:rFonts w:hint="eastAsia" w:ascii="黑体" w:eastAsia="黑体"/>
          <w:color w:val="auto"/>
          <w:sz w:val="28"/>
          <w:szCs w:val="28"/>
        </w:rPr>
        <w:t>附件</w:t>
      </w:r>
      <w:r>
        <w:rPr>
          <w:rStyle w:val="24"/>
          <w:rFonts w:hint="eastAsia" w:ascii="黑体" w:eastAsia="黑体"/>
          <w:color w:val="auto"/>
          <w:sz w:val="28"/>
          <w:szCs w:val="28"/>
          <w:lang w:val="en-US" w:eastAsia="zh-CN"/>
        </w:rPr>
        <w:t>4</w:t>
      </w:r>
      <w:r>
        <w:rPr>
          <w:rStyle w:val="24"/>
          <w:rFonts w:hint="eastAsia" w:ascii="黑体" w:eastAsia="黑体"/>
          <w:color w:val="auto"/>
          <w:sz w:val="28"/>
          <w:szCs w:val="28"/>
        </w:rPr>
        <w:t>-3</w:t>
      </w:r>
    </w:p>
    <w:p w14:paraId="3F9F5D6A">
      <w:pPr>
        <w:snapToGrid w:val="0"/>
        <w:spacing w:line="360" w:lineRule="auto"/>
        <w:jc w:val="center"/>
        <w:rPr>
          <w:rStyle w:val="24"/>
          <w:rFonts w:ascii="黑体" w:eastAsia="黑体"/>
          <w:b/>
          <w:color w:val="auto"/>
          <w:sz w:val="30"/>
          <w:szCs w:val="30"/>
        </w:rPr>
      </w:pPr>
      <w:r>
        <w:rPr>
          <w:rStyle w:val="24"/>
          <w:rFonts w:ascii="黑体" w:eastAsia="黑体"/>
          <w:b/>
          <w:color w:val="auto"/>
          <w:sz w:val="30"/>
          <w:szCs w:val="30"/>
        </w:rPr>
        <w:t>其他证明资料或说明</w:t>
      </w:r>
    </w:p>
    <w:p w14:paraId="02ED1368">
      <w:pPr>
        <w:snapToGrid w:val="0"/>
        <w:spacing w:line="360" w:lineRule="auto"/>
        <w:rPr>
          <w:rStyle w:val="24"/>
          <w:rFonts w:ascii="宋体" w:hAnsi="宋体"/>
          <w:color w:val="auto"/>
          <w:szCs w:val="21"/>
        </w:rPr>
      </w:pPr>
    </w:p>
    <w:p w14:paraId="45DCE8CF">
      <w:pPr>
        <w:widowControl/>
        <w:jc w:val="center"/>
        <w:rPr>
          <w:color w:val="auto"/>
        </w:rPr>
      </w:pPr>
      <w:r>
        <w:rPr>
          <w:rFonts w:hint="eastAsia"/>
          <w:color w:val="auto"/>
          <w:lang w:eastAsia="zh-CN"/>
        </w:rPr>
        <w:t>（</w:t>
      </w:r>
      <w:r>
        <w:rPr>
          <w:rFonts w:hint="eastAsia"/>
          <w:color w:val="auto"/>
          <w:lang w:val="en-US" w:eastAsia="zh-CN"/>
        </w:rPr>
        <w:t>如有）</w:t>
      </w:r>
      <w:r>
        <w:rPr>
          <w:color w:val="auto"/>
        </w:rPr>
        <w:br w:type="page"/>
      </w:r>
    </w:p>
    <w:p w14:paraId="4C516F7F">
      <w:pPr>
        <w:pStyle w:val="5"/>
        <w:jc w:val="center"/>
        <w:rPr>
          <w:rFonts w:ascii="黑体" w:hAnsi="黑体" w:eastAsia="黑体"/>
          <w:color w:val="auto"/>
          <w:sz w:val="28"/>
          <w:szCs w:val="28"/>
        </w:rPr>
      </w:pPr>
      <w:bookmarkStart w:id="69" w:name="_Toc6366"/>
      <w:bookmarkStart w:id="70" w:name="_Toc34637795"/>
      <w:r>
        <w:rPr>
          <w:rFonts w:hint="eastAsia" w:ascii="黑体" w:hAnsi="黑体" w:eastAsia="黑体"/>
          <w:color w:val="auto"/>
          <w:sz w:val="28"/>
          <w:szCs w:val="28"/>
          <w:lang w:val="en-US" w:eastAsia="zh-CN"/>
        </w:rPr>
        <w:t>五</w:t>
      </w:r>
      <w:r>
        <w:rPr>
          <w:rFonts w:hint="eastAsia" w:ascii="黑体" w:hAnsi="黑体" w:eastAsia="黑体"/>
          <w:color w:val="auto"/>
          <w:sz w:val="28"/>
          <w:szCs w:val="28"/>
        </w:rPr>
        <w:t>、报价表及报价文件</w:t>
      </w:r>
      <w:r>
        <w:rPr>
          <w:rFonts w:hint="eastAsia" w:ascii="黑体" w:hAnsi="黑体" w:eastAsia="黑体"/>
          <w:color w:val="auto"/>
          <w:sz w:val="28"/>
          <w:szCs w:val="28"/>
          <w:lang w:eastAsia="zh-CN"/>
        </w:rPr>
        <w:t>（</w:t>
      </w:r>
      <w:r>
        <w:rPr>
          <w:rFonts w:hint="eastAsia" w:ascii="黑体" w:hAnsi="黑体" w:eastAsia="黑体"/>
          <w:color w:val="auto"/>
          <w:sz w:val="28"/>
          <w:szCs w:val="28"/>
        </w:rPr>
        <w:t>格式</w:t>
      </w:r>
      <w:r>
        <w:rPr>
          <w:rFonts w:hint="eastAsia" w:ascii="黑体" w:hAnsi="黑体" w:eastAsia="黑体"/>
          <w:color w:val="auto"/>
          <w:sz w:val="28"/>
          <w:szCs w:val="28"/>
          <w:lang w:eastAsia="zh-CN"/>
        </w:rPr>
        <w:t>）</w:t>
      </w:r>
      <w:bookmarkEnd w:id="69"/>
      <w:bookmarkEnd w:id="70"/>
    </w:p>
    <w:p w14:paraId="0BCAFFED">
      <w:pPr>
        <w:pStyle w:val="7"/>
        <w:rPr>
          <w:rFonts w:ascii="宋体" w:hAnsi="宋体"/>
          <w:color w:val="auto"/>
          <w:sz w:val="21"/>
          <w:szCs w:val="21"/>
        </w:rPr>
      </w:pPr>
      <w:bookmarkStart w:id="71" w:name="_Toc22269"/>
      <w:bookmarkStart w:id="72" w:name="_Toc34637796"/>
      <w:r>
        <w:rPr>
          <w:rFonts w:hint="eastAsia" w:ascii="宋体" w:hAnsi="宋体"/>
          <w:color w:val="auto"/>
          <w:sz w:val="21"/>
          <w:szCs w:val="21"/>
        </w:rPr>
        <w:t>附件</w:t>
      </w:r>
      <w:r>
        <w:rPr>
          <w:rFonts w:hint="eastAsia" w:ascii="宋体" w:hAnsi="宋体"/>
          <w:color w:val="auto"/>
          <w:sz w:val="21"/>
          <w:szCs w:val="21"/>
          <w:lang w:val="en-US" w:eastAsia="zh-CN"/>
        </w:rPr>
        <w:t>5</w:t>
      </w:r>
      <w:r>
        <w:rPr>
          <w:rFonts w:hint="eastAsia" w:ascii="宋体" w:hAnsi="宋体"/>
          <w:color w:val="auto"/>
          <w:sz w:val="21"/>
          <w:szCs w:val="21"/>
        </w:rPr>
        <w:t>-1 报价表</w:t>
      </w:r>
      <w:bookmarkEnd w:id="71"/>
      <w:bookmarkEnd w:id="72"/>
    </w:p>
    <w:p w14:paraId="4F3CB9EA">
      <w:pPr>
        <w:jc w:val="center"/>
        <w:rPr>
          <w:rFonts w:ascii="黑体" w:hAnsi="黑体" w:eastAsia="黑体"/>
          <w:b/>
          <w:color w:val="auto"/>
          <w:sz w:val="28"/>
          <w:szCs w:val="28"/>
        </w:rPr>
      </w:pPr>
      <w:r>
        <w:rPr>
          <w:rFonts w:hint="eastAsia" w:ascii="黑体" w:hAnsi="黑体" w:eastAsia="黑体"/>
          <w:b/>
          <w:color w:val="auto"/>
          <w:sz w:val="28"/>
          <w:szCs w:val="28"/>
        </w:rPr>
        <w:t>报价表</w:t>
      </w:r>
    </w:p>
    <w:p w14:paraId="50EDB7F3">
      <w:pPr>
        <w:adjustRightInd w:val="0"/>
        <w:snapToGrid w:val="0"/>
        <w:spacing w:line="360" w:lineRule="auto"/>
        <w:ind w:left="-88" w:leftChars="-42"/>
        <w:jc w:val="center"/>
        <w:rPr>
          <w:rFonts w:ascii="仿宋_GB2312" w:hAnsi="宋体" w:eastAsia="仿宋_GB2312"/>
          <w:color w:val="auto"/>
          <w:sz w:val="24"/>
        </w:rPr>
      </w:pPr>
    </w:p>
    <w:tbl>
      <w:tblPr>
        <w:tblStyle w:val="19"/>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799"/>
        <w:gridCol w:w="1642"/>
        <w:gridCol w:w="2554"/>
      </w:tblGrid>
      <w:tr w14:paraId="0F1276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944" w:type="dxa"/>
            <w:vMerge w:val="restart"/>
            <w:tcBorders>
              <w:tl2br w:val="nil"/>
              <w:tr2bl w:val="nil"/>
            </w:tcBorders>
            <w:vAlign w:val="center"/>
          </w:tcPr>
          <w:p w14:paraId="3EBEB2B0">
            <w:pPr>
              <w:tabs>
                <w:tab w:val="left" w:pos="403"/>
                <w:tab w:val="center" w:pos="3781"/>
              </w:tabs>
              <w:spacing w:line="420" w:lineRule="exact"/>
              <w:ind w:right="-5205" w:rightChars="-2479" w:firstLine="210" w:firstLineChars="100"/>
              <w:rPr>
                <w:rFonts w:ascii="宋体" w:hAnsi="宋体" w:cs="宋体"/>
                <w:color w:val="auto"/>
                <w:szCs w:val="21"/>
              </w:rPr>
            </w:pPr>
            <w:r>
              <w:rPr>
                <w:rFonts w:hint="eastAsia" w:ascii="宋体" w:hAnsi="宋体" w:cs="宋体"/>
                <w:color w:val="auto"/>
                <w:szCs w:val="21"/>
              </w:rPr>
              <w:t>项目名称</w:t>
            </w:r>
            <w:r>
              <w:rPr>
                <w:rFonts w:hint="eastAsia" w:ascii="宋体" w:hAnsi="宋体" w:cs="宋体"/>
                <w:color w:val="auto"/>
                <w:szCs w:val="21"/>
              </w:rPr>
              <w:tab/>
            </w:r>
            <w:r>
              <w:rPr>
                <w:rFonts w:hint="eastAsia" w:ascii="宋体" w:hAnsi="宋体" w:cs="宋体"/>
                <w:color w:val="auto"/>
                <w:szCs w:val="21"/>
              </w:rPr>
              <w:t>项目名称</w:t>
            </w:r>
          </w:p>
        </w:tc>
        <w:tc>
          <w:tcPr>
            <w:tcW w:w="2799" w:type="dxa"/>
            <w:vMerge w:val="restart"/>
            <w:tcBorders>
              <w:tl2br w:val="nil"/>
              <w:tr2bl w:val="nil"/>
            </w:tcBorders>
            <w:vAlign w:val="center"/>
          </w:tcPr>
          <w:p w14:paraId="58CE5633">
            <w:pPr>
              <w:spacing w:line="420" w:lineRule="exact"/>
              <w:jc w:val="center"/>
              <w:rPr>
                <w:rFonts w:ascii="宋体" w:hAnsi="宋体" w:cs="宋体"/>
                <w:color w:val="auto"/>
                <w:szCs w:val="21"/>
              </w:rPr>
            </w:pPr>
          </w:p>
        </w:tc>
        <w:tc>
          <w:tcPr>
            <w:tcW w:w="1642" w:type="dxa"/>
            <w:tcBorders>
              <w:tl2br w:val="nil"/>
              <w:tr2bl w:val="nil"/>
            </w:tcBorders>
            <w:vAlign w:val="center"/>
          </w:tcPr>
          <w:p w14:paraId="766E4479">
            <w:pPr>
              <w:spacing w:line="420" w:lineRule="exact"/>
              <w:jc w:val="center"/>
              <w:rPr>
                <w:rFonts w:hint="eastAsia" w:ascii="宋体" w:hAnsi="宋体" w:eastAsia="宋体" w:cs="宋体"/>
                <w:color w:val="auto"/>
                <w:szCs w:val="21"/>
                <w:lang w:eastAsia="zh-CN"/>
              </w:rPr>
            </w:pPr>
            <w:r>
              <w:rPr>
                <w:rFonts w:hint="eastAsia" w:ascii="宋体" w:hAnsi="宋体" w:cs="宋体"/>
                <w:color w:val="auto"/>
                <w:szCs w:val="21"/>
                <w:lang w:eastAsia="zh-CN"/>
              </w:rPr>
              <w:t>采购项目编号</w:t>
            </w:r>
          </w:p>
        </w:tc>
        <w:tc>
          <w:tcPr>
            <w:tcW w:w="2554" w:type="dxa"/>
            <w:tcBorders>
              <w:tl2br w:val="nil"/>
              <w:tr2bl w:val="nil"/>
            </w:tcBorders>
            <w:vAlign w:val="center"/>
          </w:tcPr>
          <w:p w14:paraId="78D95F2E">
            <w:pPr>
              <w:spacing w:line="420" w:lineRule="exact"/>
              <w:jc w:val="center"/>
              <w:rPr>
                <w:rFonts w:ascii="宋体" w:hAnsi="宋体" w:cs="宋体"/>
                <w:color w:val="auto"/>
                <w:szCs w:val="21"/>
              </w:rPr>
            </w:pPr>
          </w:p>
        </w:tc>
      </w:tr>
      <w:tr w14:paraId="1B037C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944" w:type="dxa"/>
            <w:vMerge w:val="continue"/>
            <w:tcBorders>
              <w:tl2br w:val="nil"/>
              <w:tr2bl w:val="nil"/>
            </w:tcBorders>
            <w:vAlign w:val="center"/>
          </w:tcPr>
          <w:p w14:paraId="23CE1E25">
            <w:pPr>
              <w:tabs>
                <w:tab w:val="left" w:pos="403"/>
                <w:tab w:val="center" w:pos="3781"/>
              </w:tabs>
              <w:spacing w:line="420" w:lineRule="exact"/>
              <w:ind w:right="-5205" w:rightChars="-2479"/>
              <w:rPr>
                <w:rFonts w:ascii="宋体" w:hAnsi="宋体" w:cs="宋体"/>
                <w:color w:val="auto"/>
                <w:szCs w:val="21"/>
              </w:rPr>
            </w:pPr>
          </w:p>
        </w:tc>
        <w:tc>
          <w:tcPr>
            <w:tcW w:w="2799" w:type="dxa"/>
            <w:vMerge w:val="continue"/>
            <w:tcBorders>
              <w:tl2br w:val="nil"/>
              <w:tr2bl w:val="nil"/>
            </w:tcBorders>
            <w:vAlign w:val="center"/>
          </w:tcPr>
          <w:p w14:paraId="650E6B9A">
            <w:pPr>
              <w:spacing w:line="420" w:lineRule="exact"/>
              <w:jc w:val="center"/>
              <w:rPr>
                <w:rFonts w:ascii="宋体" w:hAnsi="宋体" w:cs="宋体"/>
                <w:color w:val="auto"/>
                <w:szCs w:val="21"/>
              </w:rPr>
            </w:pPr>
          </w:p>
        </w:tc>
        <w:tc>
          <w:tcPr>
            <w:tcW w:w="1642" w:type="dxa"/>
            <w:tcBorders>
              <w:tl2br w:val="nil"/>
              <w:tr2bl w:val="nil"/>
            </w:tcBorders>
            <w:vAlign w:val="center"/>
          </w:tcPr>
          <w:p w14:paraId="7B9736AC">
            <w:pPr>
              <w:spacing w:line="420" w:lineRule="exact"/>
              <w:jc w:val="center"/>
              <w:rPr>
                <w:rFonts w:hint="eastAsia" w:ascii="宋体" w:hAnsi="宋体" w:eastAsia="宋体" w:cs="宋体"/>
                <w:color w:val="auto"/>
                <w:szCs w:val="21"/>
                <w:lang w:eastAsia="zh-CN"/>
              </w:rPr>
            </w:pPr>
            <w:r>
              <w:rPr>
                <w:rFonts w:hint="eastAsia" w:ascii="宋体" w:hAnsi="宋体" w:cs="宋体"/>
                <w:color w:val="auto"/>
                <w:szCs w:val="21"/>
                <w:lang w:eastAsia="zh-CN"/>
              </w:rPr>
              <w:t>代理机构编号</w:t>
            </w:r>
          </w:p>
        </w:tc>
        <w:tc>
          <w:tcPr>
            <w:tcW w:w="2554" w:type="dxa"/>
            <w:tcBorders>
              <w:tl2br w:val="nil"/>
              <w:tr2bl w:val="nil"/>
            </w:tcBorders>
            <w:vAlign w:val="center"/>
          </w:tcPr>
          <w:p w14:paraId="3245FA64">
            <w:pPr>
              <w:spacing w:line="420" w:lineRule="exact"/>
              <w:jc w:val="center"/>
              <w:rPr>
                <w:rFonts w:ascii="宋体" w:hAnsi="宋体" w:cs="宋体"/>
                <w:color w:val="auto"/>
                <w:szCs w:val="21"/>
              </w:rPr>
            </w:pPr>
          </w:p>
        </w:tc>
      </w:tr>
      <w:tr w14:paraId="2A8D72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944" w:type="dxa"/>
            <w:tcBorders>
              <w:tl2br w:val="nil"/>
              <w:tr2bl w:val="nil"/>
            </w:tcBorders>
            <w:vAlign w:val="center"/>
          </w:tcPr>
          <w:p w14:paraId="1FD3A8B7">
            <w:pPr>
              <w:spacing w:line="420" w:lineRule="exact"/>
              <w:jc w:val="center"/>
              <w:rPr>
                <w:rFonts w:ascii="宋体" w:hAnsi="宋体" w:cs="宋体"/>
                <w:color w:val="auto"/>
                <w:szCs w:val="21"/>
              </w:rPr>
            </w:pPr>
            <w:r>
              <w:rPr>
                <w:rFonts w:hint="eastAsia" w:ascii="宋体" w:hAnsi="宋体" w:cs="宋体"/>
                <w:color w:val="auto"/>
                <w:szCs w:val="21"/>
              </w:rPr>
              <w:t>报价</w:t>
            </w:r>
          </w:p>
        </w:tc>
        <w:tc>
          <w:tcPr>
            <w:tcW w:w="6995" w:type="dxa"/>
            <w:gridSpan w:val="3"/>
            <w:tcBorders>
              <w:tl2br w:val="nil"/>
              <w:tr2bl w:val="nil"/>
            </w:tcBorders>
            <w:vAlign w:val="center"/>
          </w:tcPr>
          <w:p w14:paraId="1C6C69AF">
            <w:pPr>
              <w:rPr>
                <w:rFonts w:ascii="宋体" w:hAnsi="宋体" w:cs="宋体"/>
                <w:color w:val="auto"/>
                <w:szCs w:val="21"/>
              </w:rPr>
            </w:pPr>
            <w:r>
              <w:rPr>
                <w:rFonts w:hint="eastAsia" w:ascii="宋体" w:hAnsi="宋体" w:cs="宋体"/>
                <w:color w:val="auto"/>
                <w:szCs w:val="21"/>
              </w:rPr>
              <w:t>大写：</w:t>
            </w:r>
            <w:r>
              <w:rPr>
                <w:rFonts w:hint="eastAsia" w:ascii="宋体" w:hAnsi="宋体" w:cs="宋体"/>
                <w:color w:val="auto"/>
                <w:szCs w:val="21"/>
                <w:u w:val="single"/>
              </w:rPr>
              <w:t xml:space="preserve">                    </w:t>
            </w:r>
            <w:r>
              <w:rPr>
                <w:rFonts w:hint="eastAsia" w:ascii="宋体" w:hAnsi="宋体" w:cs="宋体"/>
                <w:color w:val="auto"/>
                <w:szCs w:val="21"/>
              </w:rPr>
              <w:t>（人民币）</w:t>
            </w:r>
          </w:p>
          <w:p w14:paraId="7BD3E09D">
            <w:pPr>
              <w:spacing w:line="420" w:lineRule="exact"/>
              <w:rPr>
                <w:rFonts w:ascii="宋体" w:hAnsi="宋体" w:cs="宋体"/>
                <w:color w:val="auto"/>
                <w:szCs w:val="21"/>
              </w:rPr>
            </w:pPr>
            <w:r>
              <w:rPr>
                <w:rFonts w:hint="eastAsia" w:ascii="宋体" w:hAnsi="宋体" w:cs="宋体"/>
                <w:color w:val="auto"/>
                <w:szCs w:val="21"/>
              </w:rPr>
              <w:t>小写：</w:t>
            </w:r>
            <w:r>
              <w:rPr>
                <w:rFonts w:hint="eastAsia" w:ascii="宋体" w:hAnsi="宋体" w:cs="宋体"/>
                <w:color w:val="auto"/>
                <w:szCs w:val="21"/>
                <w:u w:val="single"/>
              </w:rPr>
              <w:t xml:space="preserve">                    </w:t>
            </w:r>
            <w:r>
              <w:rPr>
                <w:rFonts w:hint="eastAsia" w:ascii="宋体" w:hAnsi="宋体" w:cs="宋体"/>
                <w:color w:val="auto"/>
                <w:szCs w:val="21"/>
              </w:rPr>
              <w:t>（人民币）</w:t>
            </w:r>
          </w:p>
        </w:tc>
      </w:tr>
      <w:tr w14:paraId="20E3F9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54" w:hRule="atLeast"/>
          <w:jc w:val="center"/>
        </w:trPr>
        <w:tc>
          <w:tcPr>
            <w:tcW w:w="1944" w:type="dxa"/>
            <w:tcBorders>
              <w:tl2br w:val="nil"/>
              <w:tr2bl w:val="nil"/>
            </w:tcBorders>
            <w:noWrap w:val="0"/>
            <w:tcMar>
              <w:top w:w="0" w:type="dxa"/>
              <w:left w:w="108" w:type="dxa"/>
              <w:bottom w:w="0" w:type="dxa"/>
              <w:right w:w="108" w:type="dxa"/>
            </w:tcMar>
            <w:vAlign w:val="center"/>
          </w:tcPr>
          <w:p w14:paraId="6E706CCF">
            <w:pPr>
              <w:jc w:val="center"/>
              <w:rPr>
                <w:rFonts w:hint="eastAsia" w:ascii="宋体" w:hAnsi="宋体" w:cs="宋体"/>
                <w:color w:val="auto"/>
              </w:rPr>
            </w:pPr>
            <w:r>
              <w:rPr>
                <w:rFonts w:hint="eastAsia" w:ascii="宋体" w:hAnsi="宋体" w:cs="宋体"/>
                <w:color w:val="auto"/>
                <w:szCs w:val="21"/>
              </w:rPr>
              <w:t xml:space="preserve">项目负责人 </w:t>
            </w:r>
          </w:p>
        </w:tc>
        <w:tc>
          <w:tcPr>
            <w:tcW w:w="6995" w:type="dxa"/>
            <w:gridSpan w:val="3"/>
            <w:tcBorders>
              <w:tl2br w:val="nil"/>
              <w:tr2bl w:val="nil"/>
            </w:tcBorders>
            <w:noWrap w:val="0"/>
            <w:tcMar>
              <w:top w:w="0" w:type="dxa"/>
              <w:left w:w="108" w:type="dxa"/>
              <w:bottom w:w="0" w:type="dxa"/>
              <w:right w:w="108" w:type="dxa"/>
            </w:tcMar>
            <w:vAlign w:val="center"/>
          </w:tcPr>
          <w:p w14:paraId="185D6EE3">
            <w:pPr>
              <w:jc w:val="center"/>
              <w:rPr>
                <w:rFonts w:hint="eastAsia" w:ascii="宋体" w:hAnsi="宋体" w:cs="宋体"/>
                <w:color w:val="auto"/>
              </w:rPr>
            </w:pPr>
            <w:r>
              <w:rPr>
                <w:rFonts w:hint="eastAsia" w:ascii="宋体" w:hAnsi="宋体" w:cs="宋体"/>
                <w:color w:val="auto"/>
                <w:szCs w:val="21"/>
              </w:rPr>
              <w:t xml:space="preserve">  </w:t>
            </w:r>
          </w:p>
        </w:tc>
      </w:tr>
      <w:tr w14:paraId="5C673B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854" w:hRule="atLeast"/>
          <w:jc w:val="center"/>
        </w:trPr>
        <w:tc>
          <w:tcPr>
            <w:tcW w:w="1944" w:type="dxa"/>
            <w:tcBorders>
              <w:tl2br w:val="nil"/>
              <w:tr2bl w:val="nil"/>
            </w:tcBorders>
            <w:noWrap w:val="0"/>
            <w:tcMar>
              <w:top w:w="0" w:type="dxa"/>
              <w:left w:w="108" w:type="dxa"/>
              <w:bottom w:w="0" w:type="dxa"/>
              <w:right w:w="108" w:type="dxa"/>
            </w:tcMar>
            <w:vAlign w:val="center"/>
          </w:tcPr>
          <w:p w14:paraId="72F7F7CA">
            <w:pPr>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工期</w:t>
            </w:r>
          </w:p>
        </w:tc>
        <w:tc>
          <w:tcPr>
            <w:tcW w:w="6995" w:type="dxa"/>
            <w:gridSpan w:val="3"/>
            <w:tcBorders>
              <w:tl2br w:val="nil"/>
              <w:tr2bl w:val="nil"/>
            </w:tcBorders>
            <w:noWrap w:val="0"/>
            <w:tcMar>
              <w:top w:w="0" w:type="dxa"/>
              <w:left w:w="108" w:type="dxa"/>
              <w:bottom w:w="0" w:type="dxa"/>
              <w:right w:w="108" w:type="dxa"/>
            </w:tcMar>
            <w:vAlign w:val="center"/>
          </w:tcPr>
          <w:p w14:paraId="10EFA531">
            <w:pPr>
              <w:jc w:val="center"/>
              <w:rPr>
                <w:rFonts w:hint="eastAsia" w:ascii="宋体" w:hAnsi="宋体" w:cs="宋体"/>
                <w:color w:val="auto"/>
                <w:szCs w:val="21"/>
              </w:rPr>
            </w:pPr>
          </w:p>
        </w:tc>
      </w:tr>
      <w:tr w14:paraId="5BEDAC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944" w:type="dxa"/>
            <w:tcBorders>
              <w:tl2br w:val="nil"/>
              <w:tr2bl w:val="nil"/>
            </w:tcBorders>
            <w:vAlign w:val="center"/>
          </w:tcPr>
          <w:p w14:paraId="75406F26">
            <w:pPr>
              <w:spacing w:line="420" w:lineRule="exact"/>
              <w:jc w:val="center"/>
              <w:rPr>
                <w:rFonts w:ascii="宋体" w:hAnsi="宋体" w:cs="宋体"/>
                <w:color w:val="auto"/>
                <w:szCs w:val="21"/>
              </w:rPr>
            </w:pPr>
            <w:r>
              <w:rPr>
                <w:rFonts w:hint="eastAsia" w:ascii="宋体" w:hAnsi="宋体" w:cs="宋体"/>
                <w:color w:val="auto"/>
                <w:szCs w:val="21"/>
              </w:rPr>
              <w:t>备  注</w:t>
            </w:r>
          </w:p>
        </w:tc>
        <w:tc>
          <w:tcPr>
            <w:tcW w:w="6995" w:type="dxa"/>
            <w:gridSpan w:val="3"/>
            <w:tcBorders>
              <w:tl2br w:val="nil"/>
              <w:tr2bl w:val="nil"/>
            </w:tcBorders>
            <w:vAlign w:val="center"/>
          </w:tcPr>
          <w:p w14:paraId="26CB57CC">
            <w:pPr>
              <w:spacing w:line="420" w:lineRule="exact"/>
              <w:rPr>
                <w:rFonts w:ascii="宋体" w:hAnsi="宋体" w:cs="宋体"/>
                <w:color w:val="auto"/>
                <w:szCs w:val="21"/>
              </w:rPr>
            </w:pPr>
          </w:p>
        </w:tc>
      </w:tr>
    </w:tbl>
    <w:p w14:paraId="6C7CD879">
      <w:pPr>
        <w:adjustRightInd w:val="0"/>
        <w:snapToGrid w:val="0"/>
        <w:spacing w:before="156" w:beforeLines="50" w:line="360" w:lineRule="auto"/>
        <w:rPr>
          <w:rFonts w:ascii="宋体" w:hAnsi="宋体"/>
          <w:color w:val="auto"/>
          <w:szCs w:val="21"/>
        </w:rPr>
      </w:pPr>
    </w:p>
    <w:p w14:paraId="1E6FC9E2">
      <w:pPr>
        <w:adjustRightInd w:val="0"/>
        <w:snapToGrid w:val="0"/>
        <w:spacing w:line="360" w:lineRule="auto"/>
        <w:rPr>
          <w:rFonts w:ascii="宋体" w:hAnsi="宋体"/>
          <w:color w:val="auto"/>
          <w:szCs w:val="21"/>
        </w:rPr>
      </w:pPr>
    </w:p>
    <w:p w14:paraId="63F001AF">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11449D58">
      <w:pPr>
        <w:adjustRightInd w:val="0"/>
        <w:snapToGrid w:val="0"/>
        <w:spacing w:line="360" w:lineRule="auto"/>
        <w:rPr>
          <w:rFonts w:ascii="宋体" w:hAnsi="宋体"/>
          <w:color w:val="auto"/>
          <w:szCs w:val="21"/>
        </w:rPr>
      </w:pPr>
      <w:r>
        <w:rPr>
          <w:rFonts w:hint="eastAsia" w:ascii="宋体" w:hAnsi="宋体" w:cs="微软雅黑"/>
          <w:color w:val="auto"/>
          <w:kern w:val="0"/>
          <w:szCs w:val="21"/>
        </w:rPr>
        <w:t>法定代表人（单位负责人）</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445C3B52">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6D9EE9EF">
      <w:pPr>
        <w:widowControl/>
        <w:jc w:val="left"/>
        <w:rPr>
          <w:color w:val="auto"/>
        </w:rPr>
      </w:pPr>
      <w:r>
        <w:rPr>
          <w:color w:val="auto"/>
        </w:rPr>
        <w:br w:type="page"/>
      </w:r>
    </w:p>
    <w:p w14:paraId="00340657">
      <w:pPr>
        <w:pStyle w:val="7"/>
        <w:adjustRightInd w:val="0"/>
        <w:snapToGrid w:val="0"/>
        <w:spacing w:before="156" w:beforeLines="50" w:after="0" w:line="360" w:lineRule="auto"/>
        <w:rPr>
          <w:rFonts w:ascii="宋体" w:hAnsi="宋体"/>
          <w:color w:val="auto"/>
          <w:sz w:val="21"/>
          <w:szCs w:val="21"/>
        </w:rPr>
      </w:pPr>
      <w:bookmarkStart w:id="73" w:name="_Toc34637797"/>
      <w:bookmarkStart w:id="74" w:name="_Toc20717"/>
      <w:r>
        <w:rPr>
          <w:rFonts w:hint="eastAsia" w:ascii="宋体" w:hAnsi="宋体"/>
          <w:color w:val="auto"/>
          <w:sz w:val="21"/>
          <w:szCs w:val="21"/>
        </w:rPr>
        <w:t>附件</w:t>
      </w:r>
      <w:r>
        <w:rPr>
          <w:rFonts w:hint="eastAsia" w:ascii="宋体" w:hAnsi="宋体"/>
          <w:color w:val="auto"/>
          <w:sz w:val="21"/>
          <w:szCs w:val="21"/>
          <w:lang w:val="en-US" w:eastAsia="zh-CN"/>
        </w:rPr>
        <w:t>5</w:t>
      </w:r>
      <w:r>
        <w:rPr>
          <w:rFonts w:hint="eastAsia" w:ascii="宋体" w:hAnsi="宋体"/>
          <w:color w:val="auto"/>
          <w:sz w:val="21"/>
          <w:szCs w:val="21"/>
        </w:rPr>
        <w:t>-2 分项报价说明</w:t>
      </w:r>
      <w:bookmarkEnd w:id="73"/>
      <w:bookmarkEnd w:id="74"/>
    </w:p>
    <w:p w14:paraId="11C7921C">
      <w:pPr>
        <w:autoSpaceDE w:val="0"/>
        <w:autoSpaceDN w:val="0"/>
        <w:adjustRightInd w:val="0"/>
        <w:snapToGrid w:val="0"/>
        <w:spacing w:before="156" w:beforeLines="50" w:line="360" w:lineRule="auto"/>
        <w:jc w:val="center"/>
        <w:rPr>
          <w:rFonts w:ascii="宋体" w:hAnsi="宋体" w:cs="微软雅黑"/>
          <w:color w:val="auto"/>
          <w:kern w:val="0"/>
          <w:szCs w:val="21"/>
        </w:rPr>
      </w:pPr>
      <w:r>
        <w:rPr>
          <w:rFonts w:hint="eastAsia" w:ascii="黑体" w:hAnsi="宋体" w:eastAsia="黑体" w:cs="微软雅黑"/>
          <w:b/>
          <w:color w:val="auto"/>
          <w:kern w:val="0"/>
          <w:sz w:val="28"/>
          <w:szCs w:val="28"/>
        </w:rPr>
        <w:t>分项报价说明</w:t>
      </w:r>
    </w:p>
    <w:p w14:paraId="00DB21A3">
      <w:pPr>
        <w:adjustRightInd w:val="0"/>
        <w:snapToGrid w:val="0"/>
        <w:spacing w:before="156" w:beforeLines="50" w:line="360" w:lineRule="auto"/>
        <w:rPr>
          <w:rFonts w:hint="eastAsia"/>
          <w:color w:val="auto"/>
        </w:rPr>
      </w:pPr>
    </w:p>
    <w:p w14:paraId="439DB588">
      <w:pPr>
        <w:adjustRightInd w:val="0"/>
        <w:snapToGrid w:val="0"/>
        <w:spacing w:before="156" w:beforeLines="50" w:line="360" w:lineRule="auto"/>
        <w:rPr>
          <w:rFonts w:hint="eastAsia"/>
          <w:color w:val="auto"/>
        </w:rPr>
      </w:pPr>
      <w:r>
        <w:rPr>
          <w:rFonts w:hint="eastAsia"/>
          <w:color w:val="auto"/>
        </w:rPr>
        <w:t>备注：1、供应商应按磋商文件第二章相关要求，对本节“分项报价明细表”进行编制，并说明。</w:t>
      </w:r>
    </w:p>
    <w:p w14:paraId="541396C1">
      <w:pPr>
        <w:adjustRightInd w:val="0"/>
        <w:snapToGrid w:val="0"/>
        <w:spacing w:before="156" w:beforeLines="50" w:line="360" w:lineRule="auto"/>
        <w:rPr>
          <w:color w:val="auto"/>
        </w:rPr>
      </w:pPr>
      <w:r>
        <w:rPr>
          <w:rFonts w:hint="eastAsia"/>
          <w:color w:val="auto"/>
        </w:rPr>
        <w:t>2、附件</w:t>
      </w:r>
      <w:r>
        <w:rPr>
          <w:rFonts w:hint="eastAsia"/>
          <w:color w:val="auto"/>
          <w:lang w:val="en-US" w:eastAsia="zh-CN"/>
        </w:rPr>
        <w:t>5-3</w:t>
      </w:r>
      <w:r>
        <w:rPr>
          <w:rFonts w:hint="eastAsia"/>
          <w:color w:val="auto"/>
        </w:rPr>
        <w:t>“已标价工程量清单”按要求进行编制。</w:t>
      </w:r>
    </w:p>
    <w:p w14:paraId="799E2F89">
      <w:pPr>
        <w:adjustRightInd w:val="0"/>
        <w:snapToGrid w:val="0"/>
        <w:spacing w:line="360" w:lineRule="auto"/>
        <w:rPr>
          <w:rFonts w:hint="eastAsia" w:ascii="宋体" w:hAnsi="宋体"/>
          <w:color w:val="auto"/>
          <w:szCs w:val="21"/>
        </w:rPr>
      </w:pPr>
    </w:p>
    <w:p w14:paraId="64AA0A5A">
      <w:pPr>
        <w:rPr>
          <w:rFonts w:hint="eastAsia" w:ascii="宋体" w:hAnsi="宋体"/>
          <w:color w:val="auto"/>
          <w:szCs w:val="21"/>
        </w:rPr>
      </w:pPr>
      <w:r>
        <w:rPr>
          <w:rFonts w:hint="eastAsia" w:ascii="宋体" w:hAnsi="宋体"/>
          <w:color w:val="auto"/>
          <w:szCs w:val="21"/>
        </w:rPr>
        <w:br w:type="page"/>
      </w:r>
    </w:p>
    <w:p w14:paraId="332E78F7">
      <w:pPr>
        <w:rPr>
          <w:rFonts w:ascii="宋体" w:hAnsi="宋体"/>
          <w:b/>
          <w:bCs/>
          <w:color w:val="auto"/>
          <w:spacing w:val="-2"/>
          <w:position w:val="-3"/>
          <w:szCs w:val="21"/>
        </w:rPr>
      </w:pPr>
      <w:bookmarkStart w:id="75" w:name="_Toc22201157"/>
      <w:r>
        <w:rPr>
          <w:rFonts w:hint="eastAsia" w:ascii="宋体" w:hAnsi="宋体"/>
          <w:b/>
          <w:bCs/>
          <w:color w:val="auto"/>
          <w:spacing w:val="-2"/>
          <w:position w:val="-3"/>
          <w:szCs w:val="21"/>
        </w:rPr>
        <w:t>附件</w:t>
      </w:r>
      <w:r>
        <w:rPr>
          <w:rFonts w:hint="eastAsia" w:ascii="宋体" w:hAnsi="宋体"/>
          <w:b/>
          <w:bCs/>
          <w:color w:val="auto"/>
          <w:spacing w:val="-2"/>
          <w:position w:val="-3"/>
          <w:szCs w:val="21"/>
          <w:lang w:val="en-US" w:eastAsia="zh-CN"/>
        </w:rPr>
        <w:t>5</w:t>
      </w:r>
      <w:r>
        <w:rPr>
          <w:rFonts w:hint="eastAsia" w:ascii="宋体" w:hAnsi="宋体"/>
          <w:b/>
          <w:bCs/>
          <w:color w:val="auto"/>
          <w:spacing w:val="-2"/>
          <w:position w:val="-3"/>
          <w:szCs w:val="21"/>
        </w:rPr>
        <w:t>-3： 已标价工程量清单</w:t>
      </w:r>
    </w:p>
    <w:p w14:paraId="45238690">
      <w:pPr>
        <w:adjustRightInd w:val="0"/>
        <w:snapToGrid w:val="0"/>
        <w:spacing w:before="156" w:beforeLines="50" w:line="360" w:lineRule="auto"/>
        <w:jc w:val="center"/>
        <w:rPr>
          <w:rFonts w:ascii="黑体" w:hAnsi="黑体" w:eastAsia="黑体"/>
          <w:color w:val="auto"/>
          <w:sz w:val="28"/>
          <w:szCs w:val="28"/>
        </w:rPr>
      </w:pPr>
      <w:r>
        <w:rPr>
          <w:rFonts w:hint="eastAsia" w:ascii="黑体" w:hAnsi="黑体" w:eastAsia="黑体"/>
          <w:color w:val="auto"/>
          <w:sz w:val="28"/>
          <w:szCs w:val="28"/>
        </w:rPr>
        <w:t>已标价工程量清单</w:t>
      </w:r>
    </w:p>
    <w:p w14:paraId="5A2A8319">
      <w:pPr>
        <w:jc w:val="center"/>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rPr>
        <w:t>工程建设施工项目</w:t>
      </w:r>
      <w:r>
        <w:rPr>
          <w:rFonts w:hint="eastAsia" w:ascii="宋体" w:hAnsi="宋体"/>
          <w:color w:val="auto"/>
          <w:szCs w:val="21"/>
          <w:lang w:eastAsia="zh-CN"/>
        </w:rPr>
        <w:t>）</w:t>
      </w:r>
    </w:p>
    <w:p w14:paraId="72AB5325">
      <w:pPr>
        <w:jc w:val="center"/>
        <w:rPr>
          <w:rFonts w:ascii="黑体" w:hAnsi="黑体" w:eastAsia="黑体"/>
          <w:color w:val="auto"/>
          <w:sz w:val="28"/>
          <w:szCs w:val="28"/>
        </w:rPr>
      </w:pPr>
    </w:p>
    <w:p w14:paraId="0FB30900">
      <w:pPr>
        <w:rPr>
          <w:rFonts w:hint="eastAsia" w:ascii="黑体" w:hAnsi="黑体" w:eastAsia="黑体"/>
          <w:color w:val="auto"/>
          <w:sz w:val="28"/>
          <w:szCs w:val="28"/>
        </w:rPr>
      </w:pPr>
      <w:bookmarkStart w:id="76" w:name="_Toc34637800"/>
      <w:r>
        <w:rPr>
          <w:rFonts w:hint="eastAsia" w:ascii="黑体" w:hAnsi="黑体" w:eastAsia="黑体"/>
          <w:color w:val="auto"/>
          <w:sz w:val="28"/>
          <w:szCs w:val="28"/>
        </w:rPr>
        <w:br w:type="page"/>
      </w:r>
    </w:p>
    <w:p w14:paraId="08F5D88D">
      <w:pPr>
        <w:pStyle w:val="5"/>
        <w:jc w:val="center"/>
        <w:rPr>
          <w:rFonts w:ascii="黑体" w:hAnsi="黑体" w:eastAsia="黑体"/>
          <w:color w:val="auto"/>
          <w:sz w:val="28"/>
          <w:szCs w:val="28"/>
        </w:rPr>
      </w:pPr>
      <w:bookmarkStart w:id="77" w:name="_Toc16875"/>
      <w:r>
        <w:rPr>
          <w:rFonts w:hint="eastAsia" w:ascii="黑体" w:hAnsi="黑体" w:eastAsia="黑体"/>
          <w:color w:val="auto"/>
          <w:sz w:val="28"/>
          <w:szCs w:val="28"/>
          <w:lang w:val="en-US" w:eastAsia="zh-CN"/>
        </w:rPr>
        <w:t>六</w:t>
      </w:r>
      <w:r>
        <w:rPr>
          <w:rFonts w:hint="eastAsia" w:ascii="黑体" w:hAnsi="黑体" w:eastAsia="黑体"/>
          <w:color w:val="auto"/>
          <w:sz w:val="28"/>
          <w:szCs w:val="28"/>
        </w:rPr>
        <w:t>、</w:t>
      </w:r>
      <w:bookmarkEnd w:id="75"/>
      <w:bookmarkEnd w:id="76"/>
      <w:r>
        <w:rPr>
          <w:rFonts w:hint="eastAsia" w:ascii="黑体" w:hAnsi="黑体" w:eastAsia="黑体"/>
          <w:color w:val="auto"/>
          <w:sz w:val="28"/>
          <w:szCs w:val="28"/>
          <w:lang w:val="en-US" w:eastAsia="zh-CN"/>
        </w:rPr>
        <w:t>技术</w:t>
      </w:r>
      <w:r>
        <w:rPr>
          <w:rFonts w:hint="eastAsia" w:ascii="黑体" w:hAnsi="黑体" w:eastAsia="黑体"/>
          <w:color w:val="auto"/>
          <w:sz w:val="28"/>
          <w:szCs w:val="28"/>
        </w:rPr>
        <w:t>方案</w:t>
      </w:r>
      <w:bookmarkEnd w:id="77"/>
    </w:p>
    <w:p w14:paraId="1B20D326">
      <w:pPr>
        <w:adjustRightInd w:val="0"/>
        <w:snapToGrid w:val="0"/>
        <w:spacing w:line="360" w:lineRule="auto"/>
        <w:rPr>
          <w:rFonts w:ascii="宋体" w:hAnsi="宋体"/>
          <w:b/>
          <w:color w:val="auto"/>
          <w:szCs w:val="21"/>
        </w:rPr>
      </w:pPr>
    </w:p>
    <w:p w14:paraId="6CA2E19D">
      <w:pPr>
        <w:adjustRightInd w:val="0"/>
        <w:snapToGrid w:val="0"/>
        <w:spacing w:line="400" w:lineRule="atLeast"/>
        <w:ind w:firstLine="630" w:firstLineChars="300"/>
        <w:jc w:val="left"/>
        <w:rPr>
          <w:rFonts w:hint="default" w:eastAsia="宋体" w:cs="Times New Roman"/>
          <w:color w:val="auto"/>
          <w:lang w:val="en-US" w:eastAsia="zh-CN"/>
        </w:rPr>
      </w:pPr>
      <w:r>
        <w:rPr>
          <w:rFonts w:hint="eastAsia" w:ascii="宋体" w:hAnsi="宋体" w:eastAsia="宋体" w:cs="Times New Roman"/>
          <w:bCs/>
          <w:color w:val="auto"/>
          <w:szCs w:val="21"/>
        </w:rPr>
        <w:t>供应商应</w:t>
      </w:r>
      <w:r>
        <w:rPr>
          <w:rFonts w:hint="eastAsia" w:ascii="宋体" w:hAnsi="宋体" w:cs="Times New Roman"/>
          <w:bCs/>
          <w:color w:val="auto"/>
          <w:szCs w:val="21"/>
          <w:lang w:val="en-US" w:eastAsia="zh-CN"/>
        </w:rPr>
        <w:t>根据：</w:t>
      </w:r>
      <w:r>
        <w:rPr>
          <w:rFonts w:hint="eastAsia" w:ascii="宋体" w:hAnsi="宋体" w:eastAsia="宋体" w:cs="Times New Roman"/>
          <w:bCs/>
          <w:color w:val="auto"/>
          <w:szCs w:val="21"/>
        </w:rPr>
        <w:t>附表</w:t>
      </w:r>
      <w:r>
        <w:rPr>
          <w:rFonts w:hint="eastAsia" w:ascii="宋体" w:hAnsi="宋体" w:eastAsia="宋体" w:cs="Times New Roman"/>
          <w:bCs/>
          <w:color w:val="auto"/>
          <w:szCs w:val="21"/>
          <w:lang w:val="en-US" w:eastAsia="zh-CN"/>
        </w:rPr>
        <w:t>3</w:t>
      </w:r>
      <w:r>
        <w:rPr>
          <w:rFonts w:hint="eastAsia" w:ascii="宋体" w:hAnsi="宋体" w:eastAsia="宋体" w:cs="Times New Roman"/>
          <w:bCs/>
          <w:color w:val="auto"/>
          <w:szCs w:val="21"/>
        </w:rPr>
        <w:t>.2技术部分评审标准表编制，</w:t>
      </w:r>
      <w:r>
        <w:rPr>
          <w:rFonts w:hint="eastAsia" w:ascii="宋体" w:hAnsi="宋体" w:cs="Times New Roman"/>
          <w:bCs/>
          <w:color w:val="auto"/>
          <w:szCs w:val="21"/>
          <w:lang w:val="en-US" w:eastAsia="zh-CN"/>
        </w:rPr>
        <w:t>格式自拟。</w:t>
      </w:r>
    </w:p>
    <w:p w14:paraId="5A572CBC">
      <w:pPr>
        <w:adjustRightInd w:val="0"/>
        <w:snapToGrid w:val="0"/>
        <w:spacing w:line="360" w:lineRule="auto"/>
        <w:rPr>
          <w:rFonts w:hint="eastAsia" w:ascii="宋体" w:hAnsi="宋体" w:eastAsia="宋体" w:cs="宋体"/>
          <w:color w:val="auto"/>
          <w:sz w:val="32"/>
          <w:szCs w:val="32"/>
        </w:rPr>
      </w:pPr>
      <w:r>
        <w:rPr>
          <w:rFonts w:hint="eastAsia" w:ascii="宋体" w:hAnsi="宋体" w:eastAsia="宋体" w:cs="宋体"/>
          <w:color w:val="auto"/>
          <w:sz w:val="32"/>
          <w:szCs w:val="32"/>
        </w:rPr>
        <w:br w:type="page"/>
      </w:r>
    </w:p>
    <w:p w14:paraId="0AF8AD8A">
      <w:pPr>
        <w:spacing w:line="360" w:lineRule="atLeast"/>
        <w:jc w:val="both"/>
        <w:rPr>
          <w:rFonts w:hint="eastAsia" w:ascii="宋体" w:hAnsi="宋体" w:eastAsia="宋体" w:cs="宋体"/>
          <w:color w:val="auto"/>
          <w:sz w:val="36"/>
          <w:szCs w:val="36"/>
        </w:rPr>
      </w:pPr>
      <w:r>
        <w:rPr>
          <w:rFonts w:hint="eastAsia" w:ascii="宋体" w:hAnsi="宋体"/>
          <w:b/>
          <w:bCs/>
          <w:color w:val="auto"/>
          <w:spacing w:val="-2"/>
          <w:position w:val="-3"/>
          <w:szCs w:val="21"/>
        </w:rPr>
        <w:t>附件</w:t>
      </w:r>
      <w:r>
        <w:rPr>
          <w:rFonts w:hint="eastAsia" w:ascii="宋体" w:hAnsi="宋体"/>
          <w:b/>
          <w:bCs/>
          <w:color w:val="auto"/>
          <w:spacing w:val="-2"/>
          <w:position w:val="-3"/>
          <w:szCs w:val="21"/>
          <w:lang w:val="en-US" w:eastAsia="zh-CN"/>
        </w:rPr>
        <w:t>6</w:t>
      </w:r>
      <w:r>
        <w:rPr>
          <w:rFonts w:hint="eastAsia" w:ascii="宋体" w:hAnsi="宋体"/>
          <w:b/>
          <w:bCs/>
          <w:color w:val="auto"/>
          <w:spacing w:val="-2"/>
          <w:position w:val="-3"/>
          <w:szCs w:val="21"/>
        </w:rPr>
        <w:t>-</w:t>
      </w:r>
      <w:r>
        <w:rPr>
          <w:rFonts w:hint="eastAsia" w:ascii="宋体" w:hAnsi="宋体"/>
          <w:b/>
          <w:bCs/>
          <w:color w:val="auto"/>
          <w:spacing w:val="-2"/>
          <w:position w:val="-3"/>
          <w:szCs w:val="21"/>
          <w:lang w:val="en-US" w:eastAsia="zh-CN"/>
        </w:rPr>
        <w:t>1</w:t>
      </w:r>
      <w:r>
        <w:rPr>
          <w:rFonts w:hint="eastAsia" w:ascii="宋体" w:hAnsi="宋体"/>
          <w:b/>
          <w:bCs/>
          <w:color w:val="auto"/>
          <w:spacing w:val="-2"/>
          <w:position w:val="-3"/>
          <w:szCs w:val="21"/>
        </w:rPr>
        <w:t>： 主要人员简历表</w:t>
      </w:r>
    </w:p>
    <w:p w14:paraId="7112552A">
      <w:pPr>
        <w:spacing w:line="360" w:lineRule="atLeast"/>
        <w:jc w:val="center"/>
        <w:rPr>
          <w:rFonts w:hint="eastAsia" w:ascii="宋体" w:hAnsi="宋体" w:eastAsia="宋体" w:cs="宋体"/>
          <w:color w:val="auto"/>
          <w:sz w:val="32"/>
          <w:szCs w:val="32"/>
        </w:rPr>
      </w:pPr>
      <w:r>
        <w:rPr>
          <w:rFonts w:hint="eastAsia" w:ascii="宋体" w:hAnsi="宋体" w:eastAsia="宋体" w:cs="宋体"/>
          <w:color w:val="auto"/>
          <w:sz w:val="32"/>
          <w:szCs w:val="32"/>
        </w:rPr>
        <w:t>主要人员简历表</w:t>
      </w: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46FCE2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gridSpan w:val="2"/>
            <w:noWrap w:val="0"/>
            <w:vAlign w:val="center"/>
          </w:tcPr>
          <w:p w14:paraId="0056F52E">
            <w:pPr>
              <w:spacing w:line="360" w:lineRule="atLeast"/>
              <w:jc w:val="center"/>
              <w:rPr>
                <w:rFonts w:hint="eastAsia" w:ascii="宋体" w:hAnsi="宋体" w:eastAsia="宋体" w:cs="宋体"/>
                <w:color w:val="auto"/>
              </w:rPr>
            </w:pPr>
            <w:r>
              <w:rPr>
                <w:rFonts w:hint="eastAsia" w:ascii="宋体" w:hAnsi="宋体" w:eastAsia="宋体" w:cs="宋体"/>
                <w:color w:val="auto"/>
              </w:rPr>
              <w:t>姓   名</w:t>
            </w:r>
          </w:p>
        </w:tc>
        <w:tc>
          <w:tcPr>
            <w:tcW w:w="2468" w:type="dxa"/>
            <w:noWrap w:val="0"/>
            <w:vAlign w:val="center"/>
          </w:tcPr>
          <w:p w14:paraId="70DE24BA">
            <w:pPr>
              <w:spacing w:line="360" w:lineRule="atLeast"/>
              <w:jc w:val="center"/>
              <w:rPr>
                <w:rFonts w:hint="eastAsia" w:ascii="宋体" w:hAnsi="宋体" w:eastAsia="宋体" w:cs="宋体"/>
                <w:color w:val="auto"/>
              </w:rPr>
            </w:pPr>
          </w:p>
        </w:tc>
        <w:tc>
          <w:tcPr>
            <w:tcW w:w="2340" w:type="dxa"/>
            <w:gridSpan w:val="3"/>
            <w:noWrap w:val="0"/>
            <w:vAlign w:val="center"/>
          </w:tcPr>
          <w:p w14:paraId="4EFCAED1">
            <w:pPr>
              <w:spacing w:line="360" w:lineRule="atLeast"/>
              <w:jc w:val="center"/>
              <w:rPr>
                <w:rFonts w:hint="eastAsia" w:ascii="宋体" w:hAnsi="宋体" w:eastAsia="宋体" w:cs="宋体"/>
                <w:color w:val="auto"/>
              </w:rPr>
            </w:pPr>
            <w:r>
              <w:rPr>
                <w:rFonts w:hint="eastAsia" w:ascii="宋体" w:hAnsi="宋体" w:eastAsia="宋体" w:cs="宋体"/>
                <w:color w:val="auto"/>
              </w:rPr>
              <w:t>性  别</w:t>
            </w:r>
          </w:p>
        </w:tc>
        <w:tc>
          <w:tcPr>
            <w:tcW w:w="1663" w:type="dxa"/>
            <w:noWrap w:val="0"/>
            <w:vAlign w:val="center"/>
          </w:tcPr>
          <w:p w14:paraId="63263F21">
            <w:pPr>
              <w:spacing w:line="360" w:lineRule="atLeast"/>
              <w:jc w:val="center"/>
              <w:rPr>
                <w:rFonts w:hint="eastAsia" w:ascii="宋体" w:hAnsi="宋体" w:eastAsia="宋体" w:cs="宋体"/>
                <w:color w:val="auto"/>
              </w:rPr>
            </w:pPr>
          </w:p>
        </w:tc>
      </w:tr>
      <w:tr w14:paraId="7A7127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gridSpan w:val="2"/>
            <w:noWrap w:val="0"/>
            <w:vAlign w:val="center"/>
          </w:tcPr>
          <w:p w14:paraId="310FA750">
            <w:pPr>
              <w:spacing w:line="360" w:lineRule="atLeast"/>
              <w:jc w:val="center"/>
              <w:rPr>
                <w:rFonts w:hint="eastAsia" w:ascii="宋体" w:hAnsi="宋体" w:eastAsia="宋体" w:cs="宋体"/>
                <w:color w:val="auto"/>
              </w:rPr>
            </w:pPr>
            <w:r>
              <w:rPr>
                <w:rFonts w:hint="eastAsia" w:ascii="宋体" w:hAnsi="宋体" w:eastAsia="宋体" w:cs="宋体"/>
                <w:color w:val="auto"/>
              </w:rPr>
              <w:t>职   务</w:t>
            </w:r>
          </w:p>
        </w:tc>
        <w:tc>
          <w:tcPr>
            <w:tcW w:w="2468" w:type="dxa"/>
            <w:noWrap w:val="0"/>
            <w:vAlign w:val="center"/>
          </w:tcPr>
          <w:p w14:paraId="3E31136A">
            <w:pPr>
              <w:spacing w:line="360" w:lineRule="atLeast"/>
              <w:jc w:val="center"/>
              <w:rPr>
                <w:rFonts w:hint="eastAsia" w:ascii="宋体" w:hAnsi="宋体" w:eastAsia="宋体" w:cs="宋体"/>
                <w:color w:val="auto"/>
              </w:rPr>
            </w:pPr>
          </w:p>
        </w:tc>
        <w:tc>
          <w:tcPr>
            <w:tcW w:w="2340" w:type="dxa"/>
            <w:gridSpan w:val="3"/>
            <w:noWrap w:val="0"/>
            <w:vAlign w:val="center"/>
          </w:tcPr>
          <w:p w14:paraId="74CDD89E">
            <w:pPr>
              <w:spacing w:line="360" w:lineRule="atLeast"/>
              <w:jc w:val="center"/>
              <w:rPr>
                <w:rFonts w:hint="eastAsia" w:ascii="宋体" w:hAnsi="宋体" w:eastAsia="宋体" w:cs="宋体"/>
                <w:color w:val="auto"/>
              </w:rPr>
            </w:pPr>
            <w:r>
              <w:rPr>
                <w:rFonts w:hint="eastAsia" w:ascii="宋体" w:hAnsi="宋体" w:eastAsia="宋体" w:cs="宋体"/>
                <w:color w:val="auto"/>
              </w:rPr>
              <w:t>职  称</w:t>
            </w:r>
          </w:p>
        </w:tc>
        <w:tc>
          <w:tcPr>
            <w:tcW w:w="1663" w:type="dxa"/>
            <w:noWrap w:val="0"/>
            <w:vAlign w:val="center"/>
          </w:tcPr>
          <w:p w14:paraId="7E022CF0">
            <w:pPr>
              <w:spacing w:line="360" w:lineRule="atLeast"/>
              <w:jc w:val="center"/>
              <w:rPr>
                <w:rFonts w:hint="eastAsia" w:ascii="宋体" w:hAnsi="宋体" w:eastAsia="宋体" w:cs="宋体"/>
                <w:color w:val="auto"/>
              </w:rPr>
            </w:pPr>
          </w:p>
        </w:tc>
      </w:tr>
      <w:tr w14:paraId="719916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gridSpan w:val="2"/>
            <w:noWrap w:val="0"/>
            <w:vAlign w:val="center"/>
          </w:tcPr>
          <w:p w14:paraId="2C8EBD2C">
            <w:pPr>
              <w:spacing w:line="360" w:lineRule="atLeast"/>
              <w:jc w:val="center"/>
              <w:rPr>
                <w:rFonts w:hint="eastAsia" w:ascii="宋体" w:hAnsi="宋体" w:eastAsia="宋体" w:cs="宋体"/>
                <w:color w:val="auto"/>
              </w:rPr>
            </w:pPr>
            <w:r>
              <w:rPr>
                <w:rFonts w:hint="eastAsia" w:ascii="宋体" w:hAnsi="宋体" w:eastAsia="宋体" w:cs="宋体"/>
                <w:color w:val="auto"/>
              </w:rPr>
              <w:t>毕业学校、专业</w:t>
            </w:r>
          </w:p>
        </w:tc>
        <w:tc>
          <w:tcPr>
            <w:tcW w:w="6471" w:type="dxa"/>
            <w:gridSpan w:val="5"/>
            <w:noWrap w:val="0"/>
            <w:vAlign w:val="center"/>
          </w:tcPr>
          <w:p w14:paraId="0F20FE9C">
            <w:pPr>
              <w:spacing w:line="360" w:lineRule="atLeast"/>
              <w:jc w:val="center"/>
              <w:rPr>
                <w:rFonts w:hint="eastAsia" w:ascii="宋体" w:hAnsi="宋体" w:eastAsia="宋体" w:cs="宋体"/>
                <w:color w:val="auto"/>
              </w:rPr>
            </w:pPr>
          </w:p>
        </w:tc>
      </w:tr>
      <w:tr w14:paraId="1C4854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0"/>
            <w:vAlign w:val="center"/>
          </w:tcPr>
          <w:p w14:paraId="52F03CC0">
            <w:pPr>
              <w:spacing w:line="360" w:lineRule="atLeast"/>
              <w:jc w:val="center"/>
              <w:rPr>
                <w:rFonts w:hint="eastAsia" w:ascii="宋体" w:hAnsi="宋体" w:eastAsia="宋体" w:cs="宋体"/>
                <w:color w:val="auto"/>
              </w:rPr>
            </w:pPr>
            <w:r>
              <w:rPr>
                <w:rFonts w:hint="eastAsia" w:ascii="宋体" w:hAnsi="宋体" w:eastAsia="宋体" w:cs="宋体"/>
                <w:color w:val="auto"/>
              </w:rPr>
              <w:t>身份证号</w:t>
            </w:r>
          </w:p>
        </w:tc>
        <w:tc>
          <w:tcPr>
            <w:tcW w:w="2468" w:type="dxa"/>
            <w:noWrap w:val="0"/>
            <w:vAlign w:val="center"/>
          </w:tcPr>
          <w:p w14:paraId="06C2C25D">
            <w:pPr>
              <w:spacing w:line="360" w:lineRule="atLeast"/>
              <w:jc w:val="center"/>
              <w:rPr>
                <w:rFonts w:hint="eastAsia" w:ascii="宋体" w:hAnsi="宋体" w:eastAsia="宋体" w:cs="宋体"/>
                <w:color w:val="auto"/>
              </w:rPr>
            </w:pPr>
          </w:p>
        </w:tc>
        <w:tc>
          <w:tcPr>
            <w:tcW w:w="2340" w:type="dxa"/>
            <w:gridSpan w:val="3"/>
            <w:noWrap w:val="0"/>
            <w:vAlign w:val="center"/>
          </w:tcPr>
          <w:p w14:paraId="562A9DA6">
            <w:pPr>
              <w:spacing w:line="360" w:lineRule="atLeast"/>
              <w:jc w:val="center"/>
              <w:rPr>
                <w:rFonts w:hint="eastAsia" w:ascii="宋体" w:hAnsi="宋体" w:eastAsia="宋体" w:cs="宋体"/>
                <w:color w:val="auto"/>
              </w:rPr>
            </w:pPr>
            <w:r>
              <w:rPr>
                <w:rFonts w:hint="eastAsia" w:ascii="宋体" w:hAnsi="宋体" w:eastAsia="宋体" w:cs="宋体"/>
                <w:color w:val="auto"/>
              </w:rPr>
              <w:t>拟在本合同任职</w:t>
            </w:r>
          </w:p>
        </w:tc>
        <w:tc>
          <w:tcPr>
            <w:tcW w:w="1663" w:type="dxa"/>
            <w:noWrap w:val="0"/>
            <w:vAlign w:val="center"/>
          </w:tcPr>
          <w:p w14:paraId="1113BBBC">
            <w:pPr>
              <w:spacing w:line="360" w:lineRule="atLeast"/>
              <w:ind w:right="-105" w:rightChars="-50"/>
              <w:jc w:val="center"/>
              <w:rPr>
                <w:rFonts w:hint="eastAsia" w:ascii="宋体" w:hAnsi="宋体" w:eastAsia="宋体" w:cs="宋体"/>
                <w:color w:val="auto"/>
              </w:rPr>
            </w:pPr>
          </w:p>
        </w:tc>
      </w:tr>
      <w:tr w14:paraId="7F1D7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0"/>
            <w:vAlign w:val="center"/>
          </w:tcPr>
          <w:p w14:paraId="69D03163">
            <w:pPr>
              <w:spacing w:line="360" w:lineRule="atLeast"/>
              <w:jc w:val="center"/>
              <w:rPr>
                <w:rFonts w:hint="eastAsia" w:ascii="宋体" w:hAnsi="宋体" w:eastAsia="宋体" w:cs="宋体"/>
                <w:color w:val="auto"/>
              </w:rPr>
            </w:pPr>
            <w:r>
              <w:rPr>
                <w:rFonts w:hint="eastAsia" w:ascii="宋体" w:hAnsi="宋体" w:eastAsia="宋体" w:cs="宋体"/>
                <w:color w:val="auto"/>
              </w:rPr>
              <w:t>执业资格证</w:t>
            </w:r>
          </w:p>
        </w:tc>
        <w:tc>
          <w:tcPr>
            <w:tcW w:w="2468" w:type="dxa"/>
            <w:noWrap w:val="0"/>
            <w:vAlign w:val="center"/>
          </w:tcPr>
          <w:p w14:paraId="56CE1C3C">
            <w:pPr>
              <w:spacing w:line="360" w:lineRule="atLeast"/>
              <w:jc w:val="center"/>
              <w:rPr>
                <w:rFonts w:hint="eastAsia" w:ascii="宋体" w:hAnsi="宋体" w:eastAsia="宋体" w:cs="宋体"/>
                <w:color w:val="auto"/>
              </w:rPr>
            </w:pPr>
          </w:p>
        </w:tc>
        <w:tc>
          <w:tcPr>
            <w:tcW w:w="2340" w:type="dxa"/>
            <w:gridSpan w:val="3"/>
            <w:noWrap w:val="0"/>
            <w:vAlign w:val="center"/>
          </w:tcPr>
          <w:p w14:paraId="17D5D8FE">
            <w:pPr>
              <w:spacing w:line="360" w:lineRule="atLeast"/>
              <w:jc w:val="center"/>
              <w:rPr>
                <w:rFonts w:hint="eastAsia" w:ascii="宋体" w:hAnsi="宋体" w:eastAsia="宋体" w:cs="宋体"/>
                <w:color w:val="auto"/>
              </w:rPr>
            </w:pPr>
            <w:r>
              <w:rPr>
                <w:rFonts w:hint="eastAsia" w:ascii="宋体" w:hAnsi="宋体" w:eastAsia="宋体" w:cs="宋体"/>
                <w:color w:val="auto"/>
              </w:rPr>
              <w:t>执业资格证书号</w:t>
            </w:r>
          </w:p>
        </w:tc>
        <w:tc>
          <w:tcPr>
            <w:tcW w:w="1663" w:type="dxa"/>
            <w:noWrap w:val="0"/>
            <w:vAlign w:val="center"/>
          </w:tcPr>
          <w:p w14:paraId="0AD9C7E0">
            <w:pPr>
              <w:spacing w:line="360" w:lineRule="atLeast"/>
              <w:ind w:right="-105" w:rightChars="-50"/>
              <w:jc w:val="center"/>
              <w:rPr>
                <w:rFonts w:hint="eastAsia" w:ascii="宋体" w:hAnsi="宋体" w:eastAsia="宋体" w:cs="宋体"/>
                <w:color w:val="auto"/>
              </w:rPr>
            </w:pPr>
          </w:p>
        </w:tc>
      </w:tr>
      <w:tr w14:paraId="6224FE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7"/>
            <w:noWrap w:val="0"/>
            <w:vAlign w:val="center"/>
          </w:tcPr>
          <w:p w14:paraId="0D82DBA8">
            <w:pPr>
              <w:spacing w:line="360" w:lineRule="atLeast"/>
              <w:rPr>
                <w:rFonts w:hint="eastAsia" w:ascii="宋体" w:hAnsi="宋体" w:eastAsia="宋体" w:cs="宋体"/>
                <w:color w:val="auto"/>
              </w:rPr>
            </w:pPr>
            <w:r>
              <w:rPr>
                <w:rFonts w:hint="eastAsia" w:ascii="宋体" w:hAnsi="宋体" w:eastAsia="宋体" w:cs="宋体"/>
                <w:color w:val="auto"/>
              </w:rPr>
              <w:t>近三年承担项目情况</w:t>
            </w:r>
          </w:p>
        </w:tc>
      </w:tr>
      <w:tr w14:paraId="626E37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46871030">
            <w:pPr>
              <w:spacing w:line="360" w:lineRule="atLeast"/>
              <w:jc w:val="center"/>
              <w:rPr>
                <w:rFonts w:hint="eastAsia" w:ascii="宋体" w:hAnsi="宋体" w:eastAsia="宋体" w:cs="宋体"/>
                <w:color w:val="auto"/>
              </w:rPr>
            </w:pPr>
            <w:r>
              <w:rPr>
                <w:rFonts w:hint="eastAsia" w:ascii="宋体" w:hAnsi="宋体" w:eastAsia="宋体" w:cs="宋体"/>
                <w:color w:val="auto"/>
              </w:rPr>
              <w:t>时间</w:t>
            </w:r>
          </w:p>
        </w:tc>
        <w:tc>
          <w:tcPr>
            <w:tcW w:w="3636" w:type="dxa"/>
            <w:gridSpan w:val="3"/>
            <w:noWrap w:val="0"/>
            <w:vAlign w:val="center"/>
          </w:tcPr>
          <w:p w14:paraId="2753036D">
            <w:pPr>
              <w:spacing w:line="360" w:lineRule="atLeast"/>
              <w:jc w:val="center"/>
              <w:rPr>
                <w:rFonts w:hint="eastAsia" w:ascii="宋体" w:hAnsi="宋体" w:eastAsia="宋体" w:cs="宋体"/>
                <w:color w:val="auto"/>
              </w:rPr>
            </w:pPr>
            <w:r>
              <w:rPr>
                <w:rFonts w:hint="eastAsia" w:ascii="宋体" w:hAnsi="宋体" w:eastAsia="宋体" w:cs="宋体"/>
                <w:color w:val="auto"/>
              </w:rPr>
              <w:t>类似项目名称</w:t>
            </w:r>
          </w:p>
        </w:tc>
        <w:tc>
          <w:tcPr>
            <w:tcW w:w="1404" w:type="dxa"/>
            <w:noWrap w:val="0"/>
            <w:vAlign w:val="center"/>
          </w:tcPr>
          <w:p w14:paraId="10577FCA">
            <w:pPr>
              <w:spacing w:line="360" w:lineRule="atLeast"/>
              <w:jc w:val="center"/>
              <w:rPr>
                <w:rFonts w:hint="eastAsia" w:ascii="宋体" w:hAnsi="宋体" w:eastAsia="宋体" w:cs="宋体"/>
                <w:color w:val="auto"/>
              </w:rPr>
            </w:pPr>
            <w:r>
              <w:rPr>
                <w:rFonts w:hint="eastAsia" w:ascii="宋体" w:hAnsi="宋体" w:eastAsia="宋体" w:cs="宋体"/>
                <w:color w:val="auto"/>
              </w:rPr>
              <w:t>担任职务</w:t>
            </w:r>
          </w:p>
        </w:tc>
        <w:tc>
          <w:tcPr>
            <w:tcW w:w="2203" w:type="dxa"/>
            <w:gridSpan w:val="2"/>
            <w:noWrap w:val="0"/>
            <w:vAlign w:val="center"/>
          </w:tcPr>
          <w:p w14:paraId="29BD4501">
            <w:pPr>
              <w:spacing w:line="360" w:lineRule="atLeast"/>
              <w:jc w:val="center"/>
              <w:rPr>
                <w:rFonts w:hint="eastAsia" w:ascii="宋体" w:hAnsi="宋体" w:eastAsia="宋体" w:cs="宋体"/>
                <w:color w:val="auto"/>
              </w:rPr>
            </w:pPr>
            <w:r>
              <w:rPr>
                <w:rFonts w:hint="eastAsia" w:ascii="宋体" w:hAnsi="宋体" w:eastAsia="宋体" w:cs="宋体"/>
                <w:color w:val="auto"/>
              </w:rPr>
              <w:t>项目单位名称及电话</w:t>
            </w:r>
          </w:p>
        </w:tc>
      </w:tr>
      <w:tr w14:paraId="7C257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0436B14C">
            <w:pPr>
              <w:spacing w:line="360" w:lineRule="atLeast"/>
              <w:jc w:val="center"/>
              <w:rPr>
                <w:rFonts w:hint="eastAsia" w:ascii="宋体" w:hAnsi="宋体" w:eastAsia="宋体" w:cs="宋体"/>
                <w:color w:val="auto"/>
              </w:rPr>
            </w:pPr>
          </w:p>
        </w:tc>
        <w:tc>
          <w:tcPr>
            <w:tcW w:w="3636" w:type="dxa"/>
            <w:gridSpan w:val="3"/>
            <w:noWrap w:val="0"/>
            <w:vAlign w:val="center"/>
          </w:tcPr>
          <w:p w14:paraId="4AB98532">
            <w:pPr>
              <w:spacing w:line="360" w:lineRule="atLeast"/>
              <w:jc w:val="center"/>
              <w:rPr>
                <w:rFonts w:hint="eastAsia" w:ascii="宋体" w:hAnsi="宋体" w:eastAsia="宋体" w:cs="宋体"/>
                <w:color w:val="auto"/>
              </w:rPr>
            </w:pPr>
          </w:p>
        </w:tc>
        <w:tc>
          <w:tcPr>
            <w:tcW w:w="1404" w:type="dxa"/>
            <w:noWrap w:val="0"/>
            <w:vAlign w:val="center"/>
          </w:tcPr>
          <w:p w14:paraId="0BE465E3">
            <w:pPr>
              <w:spacing w:line="360" w:lineRule="atLeast"/>
              <w:jc w:val="center"/>
              <w:rPr>
                <w:rFonts w:hint="eastAsia" w:ascii="宋体" w:hAnsi="宋体" w:eastAsia="宋体" w:cs="宋体"/>
                <w:color w:val="auto"/>
              </w:rPr>
            </w:pPr>
          </w:p>
        </w:tc>
        <w:tc>
          <w:tcPr>
            <w:tcW w:w="2203" w:type="dxa"/>
            <w:gridSpan w:val="2"/>
            <w:noWrap w:val="0"/>
            <w:vAlign w:val="center"/>
          </w:tcPr>
          <w:p w14:paraId="401B8661">
            <w:pPr>
              <w:spacing w:line="360" w:lineRule="atLeast"/>
              <w:jc w:val="center"/>
              <w:rPr>
                <w:rFonts w:hint="eastAsia" w:ascii="宋体" w:hAnsi="宋体" w:eastAsia="宋体" w:cs="宋体"/>
                <w:color w:val="auto"/>
              </w:rPr>
            </w:pPr>
          </w:p>
        </w:tc>
      </w:tr>
      <w:tr w14:paraId="4C5EB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CD06677">
            <w:pPr>
              <w:spacing w:line="360" w:lineRule="atLeast"/>
              <w:jc w:val="center"/>
              <w:rPr>
                <w:rFonts w:hint="eastAsia" w:ascii="宋体" w:hAnsi="宋体" w:eastAsia="宋体" w:cs="宋体"/>
                <w:color w:val="auto"/>
              </w:rPr>
            </w:pPr>
          </w:p>
        </w:tc>
        <w:tc>
          <w:tcPr>
            <w:tcW w:w="3636" w:type="dxa"/>
            <w:gridSpan w:val="3"/>
            <w:noWrap w:val="0"/>
            <w:vAlign w:val="center"/>
          </w:tcPr>
          <w:p w14:paraId="1447847E">
            <w:pPr>
              <w:spacing w:line="360" w:lineRule="atLeast"/>
              <w:jc w:val="center"/>
              <w:rPr>
                <w:rFonts w:hint="eastAsia" w:ascii="宋体" w:hAnsi="宋体" w:eastAsia="宋体" w:cs="宋体"/>
                <w:color w:val="auto"/>
              </w:rPr>
            </w:pPr>
          </w:p>
        </w:tc>
        <w:tc>
          <w:tcPr>
            <w:tcW w:w="1404" w:type="dxa"/>
            <w:noWrap w:val="0"/>
            <w:vAlign w:val="center"/>
          </w:tcPr>
          <w:p w14:paraId="2B2D2133">
            <w:pPr>
              <w:spacing w:line="360" w:lineRule="atLeast"/>
              <w:jc w:val="center"/>
              <w:rPr>
                <w:rFonts w:hint="eastAsia" w:ascii="宋体" w:hAnsi="宋体" w:eastAsia="宋体" w:cs="宋体"/>
                <w:color w:val="auto"/>
              </w:rPr>
            </w:pPr>
          </w:p>
        </w:tc>
        <w:tc>
          <w:tcPr>
            <w:tcW w:w="2203" w:type="dxa"/>
            <w:gridSpan w:val="2"/>
            <w:noWrap w:val="0"/>
            <w:vAlign w:val="center"/>
          </w:tcPr>
          <w:p w14:paraId="70381620">
            <w:pPr>
              <w:spacing w:line="360" w:lineRule="atLeast"/>
              <w:jc w:val="center"/>
              <w:rPr>
                <w:rFonts w:hint="eastAsia" w:ascii="宋体" w:hAnsi="宋体" w:eastAsia="宋体" w:cs="宋体"/>
                <w:color w:val="auto"/>
              </w:rPr>
            </w:pPr>
          </w:p>
        </w:tc>
      </w:tr>
      <w:tr w14:paraId="4D5A74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513A23F9">
            <w:pPr>
              <w:spacing w:line="360" w:lineRule="atLeast"/>
              <w:jc w:val="center"/>
              <w:rPr>
                <w:rFonts w:hint="eastAsia" w:ascii="宋体" w:hAnsi="宋体" w:eastAsia="宋体" w:cs="宋体"/>
                <w:color w:val="auto"/>
              </w:rPr>
            </w:pPr>
          </w:p>
        </w:tc>
        <w:tc>
          <w:tcPr>
            <w:tcW w:w="3636" w:type="dxa"/>
            <w:gridSpan w:val="3"/>
            <w:noWrap w:val="0"/>
            <w:vAlign w:val="center"/>
          </w:tcPr>
          <w:p w14:paraId="45343770">
            <w:pPr>
              <w:spacing w:line="360" w:lineRule="atLeast"/>
              <w:jc w:val="center"/>
              <w:rPr>
                <w:rFonts w:hint="eastAsia" w:ascii="宋体" w:hAnsi="宋体" w:eastAsia="宋体" w:cs="宋体"/>
                <w:color w:val="auto"/>
              </w:rPr>
            </w:pPr>
          </w:p>
        </w:tc>
        <w:tc>
          <w:tcPr>
            <w:tcW w:w="1404" w:type="dxa"/>
            <w:noWrap w:val="0"/>
            <w:vAlign w:val="center"/>
          </w:tcPr>
          <w:p w14:paraId="4B5B1107">
            <w:pPr>
              <w:spacing w:line="360" w:lineRule="atLeast"/>
              <w:jc w:val="center"/>
              <w:rPr>
                <w:rFonts w:hint="eastAsia" w:ascii="宋体" w:hAnsi="宋体" w:eastAsia="宋体" w:cs="宋体"/>
                <w:color w:val="auto"/>
              </w:rPr>
            </w:pPr>
          </w:p>
        </w:tc>
        <w:tc>
          <w:tcPr>
            <w:tcW w:w="2203" w:type="dxa"/>
            <w:gridSpan w:val="2"/>
            <w:noWrap w:val="0"/>
            <w:vAlign w:val="center"/>
          </w:tcPr>
          <w:p w14:paraId="5094C004">
            <w:pPr>
              <w:spacing w:line="360" w:lineRule="atLeast"/>
              <w:jc w:val="center"/>
              <w:rPr>
                <w:rFonts w:hint="eastAsia" w:ascii="宋体" w:hAnsi="宋体" w:eastAsia="宋体" w:cs="宋体"/>
                <w:color w:val="auto"/>
              </w:rPr>
            </w:pPr>
          </w:p>
        </w:tc>
      </w:tr>
      <w:tr w14:paraId="6E1452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671DAE12">
            <w:pPr>
              <w:spacing w:line="360" w:lineRule="atLeast"/>
              <w:jc w:val="center"/>
              <w:rPr>
                <w:rFonts w:hint="eastAsia" w:ascii="宋体" w:hAnsi="宋体" w:eastAsia="宋体" w:cs="宋体"/>
                <w:color w:val="auto"/>
              </w:rPr>
            </w:pPr>
          </w:p>
        </w:tc>
        <w:tc>
          <w:tcPr>
            <w:tcW w:w="3636" w:type="dxa"/>
            <w:gridSpan w:val="3"/>
            <w:noWrap w:val="0"/>
            <w:vAlign w:val="center"/>
          </w:tcPr>
          <w:p w14:paraId="55891B64">
            <w:pPr>
              <w:spacing w:line="360" w:lineRule="atLeast"/>
              <w:jc w:val="center"/>
              <w:rPr>
                <w:rFonts w:hint="eastAsia" w:ascii="宋体" w:hAnsi="宋体" w:eastAsia="宋体" w:cs="宋体"/>
                <w:color w:val="auto"/>
              </w:rPr>
            </w:pPr>
          </w:p>
        </w:tc>
        <w:tc>
          <w:tcPr>
            <w:tcW w:w="1404" w:type="dxa"/>
            <w:noWrap w:val="0"/>
            <w:vAlign w:val="center"/>
          </w:tcPr>
          <w:p w14:paraId="3A2B0EEB">
            <w:pPr>
              <w:spacing w:line="360" w:lineRule="atLeast"/>
              <w:jc w:val="center"/>
              <w:rPr>
                <w:rFonts w:hint="eastAsia" w:ascii="宋体" w:hAnsi="宋体" w:eastAsia="宋体" w:cs="宋体"/>
                <w:color w:val="auto"/>
              </w:rPr>
            </w:pPr>
          </w:p>
        </w:tc>
        <w:tc>
          <w:tcPr>
            <w:tcW w:w="2203" w:type="dxa"/>
            <w:gridSpan w:val="2"/>
            <w:noWrap w:val="0"/>
            <w:vAlign w:val="center"/>
          </w:tcPr>
          <w:p w14:paraId="39575FB4">
            <w:pPr>
              <w:spacing w:line="360" w:lineRule="atLeast"/>
              <w:jc w:val="center"/>
              <w:rPr>
                <w:rFonts w:hint="eastAsia" w:ascii="宋体" w:hAnsi="宋体" w:eastAsia="宋体" w:cs="宋体"/>
                <w:color w:val="auto"/>
              </w:rPr>
            </w:pPr>
          </w:p>
        </w:tc>
      </w:tr>
      <w:tr w14:paraId="533D8F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559CEB9F">
            <w:pPr>
              <w:spacing w:line="360" w:lineRule="atLeast"/>
              <w:jc w:val="center"/>
              <w:rPr>
                <w:rFonts w:hint="eastAsia" w:ascii="宋体" w:hAnsi="宋体" w:eastAsia="宋体" w:cs="宋体"/>
                <w:color w:val="auto"/>
              </w:rPr>
            </w:pPr>
          </w:p>
        </w:tc>
        <w:tc>
          <w:tcPr>
            <w:tcW w:w="3636" w:type="dxa"/>
            <w:gridSpan w:val="3"/>
            <w:noWrap w:val="0"/>
            <w:vAlign w:val="center"/>
          </w:tcPr>
          <w:p w14:paraId="603C7EEF">
            <w:pPr>
              <w:spacing w:line="360" w:lineRule="atLeast"/>
              <w:jc w:val="center"/>
              <w:rPr>
                <w:rFonts w:hint="eastAsia" w:ascii="宋体" w:hAnsi="宋体" w:eastAsia="宋体" w:cs="宋体"/>
                <w:color w:val="auto"/>
              </w:rPr>
            </w:pPr>
          </w:p>
        </w:tc>
        <w:tc>
          <w:tcPr>
            <w:tcW w:w="1404" w:type="dxa"/>
            <w:noWrap w:val="0"/>
            <w:vAlign w:val="center"/>
          </w:tcPr>
          <w:p w14:paraId="5738A218">
            <w:pPr>
              <w:spacing w:line="360" w:lineRule="atLeast"/>
              <w:jc w:val="center"/>
              <w:rPr>
                <w:rFonts w:hint="eastAsia" w:ascii="宋体" w:hAnsi="宋体" w:eastAsia="宋体" w:cs="宋体"/>
                <w:color w:val="auto"/>
              </w:rPr>
            </w:pPr>
          </w:p>
        </w:tc>
        <w:tc>
          <w:tcPr>
            <w:tcW w:w="2203" w:type="dxa"/>
            <w:gridSpan w:val="2"/>
            <w:noWrap w:val="0"/>
            <w:vAlign w:val="center"/>
          </w:tcPr>
          <w:p w14:paraId="7CB419BF">
            <w:pPr>
              <w:spacing w:line="360" w:lineRule="atLeast"/>
              <w:jc w:val="center"/>
              <w:rPr>
                <w:rFonts w:hint="eastAsia" w:ascii="宋体" w:hAnsi="宋体" w:eastAsia="宋体" w:cs="宋体"/>
                <w:color w:val="auto"/>
              </w:rPr>
            </w:pPr>
          </w:p>
        </w:tc>
      </w:tr>
      <w:tr w14:paraId="275013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1F81A5C">
            <w:pPr>
              <w:spacing w:line="360" w:lineRule="atLeast"/>
              <w:jc w:val="center"/>
              <w:rPr>
                <w:rFonts w:hint="eastAsia" w:ascii="宋体" w:hAnsi="宋体" w:eastAsia="宋体" w:cs="宋体"/>
                <w:color w:val="auto"/>
              </w:rPr>
            </w:pPr>
          </w:p>
        </w:tc>
        <w:tc>
          <w:tcPr>
            <w:tcW w:w="3636" w:type="dxa"/>
            <w:gridSpan w:val="3"/>
            <w:noWrap w:val="0"/>
            <w:vAlign w:val="center"/>
          </w:tcPr>
          <w:p w14:paraId="66C08666">
            <w:pPr>
              <w:spacing w:line="360" w:lineRule="atLeast"/>
              <w:jc w:val="center"/>
              <w:rPr>
                <w:rFonts w:hint="eastAsia" w:ascii="宋体" w:hAnsi="宋体" w:eastAsia="宋体" w:cs="宋体"/>
                <w:color w:val="auto"/>
              </w:rPr>
            </w:pPr>
          </w:p>
        </w:tc>
        <w:tc>
          <w:tcPr>
            <w:tcW w:w="1404" w:type="dxa"/>
            <w:noWrap w:val="0"/>
            <w:vAlign w:val="center"/>
          </w:tcPr>
          <w:p w14:paraId="3FB4D4D1">
            <w:pPr>
              <w:spacing w:line="360" w:lineRule="atLeast"/>
              <w:jc w:val="center"/>
              <w:rPr>
                <w:rFonts w:hint="eastAsia" w:ascii="宋体" w:hAnsi="宋体" w:eastAsia="宋体" w:cs="宋体"/>
                <w:color w:val="auto"/>
              </w:rPr>
            </w:pPr>
          </w:p>
        </w:tc>
        <w:tc>
          <w:tcPr>
            <w:tcW w:w="2203" w:type="dxa"/>
            <w:gridSpan w:val="2"/>
            <w:noWrap w:val="0"/>
            <w:vAlign w:val="center"/>
          </w:tcPr>
          <w:p w14:paraId="1BEF86C6">
            <w:pPr>
              <w:spacing w:line="360" w:lineRule="atLeast"/>
              <w:jc w:val="center"/>
              <w:rPr>
                <w:rFonts w:hint="eastAsia" w:ascii="宋体" w:hAnsi="宋体" w:eastAsia="宋体" w:cs="宋体"/>
                <w:color w:val="auto"/>
              </w:rPr>
            </w:pPr>
          </w:p>
        </w:tc>
      </w:tr>
      <w:tr w14:paraId="6D99A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2EF9B20">
            <w:pPr>
              <w:spacing w:line="360" w:lineRule="atLeast"/>
              <w:jc w:val="center"/>
              <w:rPr>
                <w:rFonts w:hint="eastAsia" w:ascii="宋体" w:hAnsi="宋体" w:eastAsia="宋体" w:cs="宋体"/>
                <w:color w:val="auto"/>
              </w:rPr>
            </w:pPr>
          </w:p>
        </w:tc>
        <w:tc>
          <w:tcPr>
            <w:tcW w:w="3636" w:type="dxa"/>
            <w:gridSpan w:val="3"/>
            <w:noWrap w:val="0"/>
            <w:vAlign w:val="center"/>
          </w:tcPr>
          <w:p w14:paraId="5DC28F75">
            <w:pPr>
              <w:spacing w:line="360" w:lineRule="atLeast"/>
              <w:jc w:val="center"/>
              <w:rPr>
                <w:rFonts w:hint="eastAsia" w:ascii="宋体" w:hAnsi="宋体" w:eastAsia="宋体" w:cs="宋体"/>
                <w:color w:val="auto"/>
              </w:rPr>
            </w:pPr>
          </w:p>
        </w:tc>
        <w:tc>
          <w:tcPr>
            <w:tcW w:w="1404" w:type="dxa"/>
            <w:noWrap w:val="0"/>
            <w:vAlign w:val="center"/>
          </w:tcPr>
          <w:p w14:paraId="2AB3DA03">
            <w:pPr>
              <w:spacing w:line="360" w:lineRule="atLeast"/>
              <w:jc w:val="center"/>
              <w:rPr>
                <w:rFonts w:hint="eastAsia" w:ascii="宋体" w:hAnsi="宋体" w:eastAsia="宋体" w:cs="宋体"/>
                <w:color w:val="auto"/>
              </w:rPr>
            </w:pPr>
          </w:p>
        </w:tc>
        <w:tc>
          <w:tcPr>
            <w:tcW w:w="2203" w:type="dxa"/>
            <w:gridSpan w:val="2"/>
            <w:noWrap w:val="0"/>
            <w:vAlign w:val="center"/>
          </w:tcPr>
          <w:p w14:paraId="515EA1AE">
            <w:pPr>
              <w:spacing w:line="360" w:lineRule="atLeast"/>
              <w:jc w:val="center"/>
              <w:rPr>
                <w:rFonts w:hint="eastAsia" w:ascii="宋体" w:hAnsi="宋体" w:eastAsia="宋体" w:cs="宋体"/>
                <w:color w:val="auto"/>
              </w:rPr>
            </w:pPr>
          </w:p>
        </w:tc>
      </w:tr>
    </w:tbl>
    <w:p w14:paraId="5FF81E39">
      <w:pPr>
        <w:spacing w:line="360" w:lineRule="atLeast"/>
        <w:rPr>
          <w:rFonts w:hint="eastAsia" w:ascii="宋体" w:hAnsi="宋体" w:eastAsia="宋体" w:cs="宋体"/>
          <w:color w:val="auto"/>
        </w:rPr>
      </w:pPr>
    </w:p>
    <w:p w14:paraId="69085A77">
      <w:pPr>
        <w:adjustRightInd w:val="0"/>
        <w:snapToGrid w:val="0"/>
        <w:spacing w:line="360" w:lineRule="auto"/>
        <w:rPr>
          <w:rFonts w:hint="eastAsia" w:ascii="宋体" w:hAnsi="宋体" w:eastAsia="宋体" w:cs="宋体"/>
          <w:color w:val="auto"/>
          <w:szCs w:val="21"/>
        </w:rPr>
      </w:pPr>
    </w:p>
    <w:p w14:paraId="16D9E5A4">
      <w:pPr>
        <w:spacing w:line="360" w:lineRule="auto"/>
        <w:rPr>
          <w:rFonts w:hint="eastAsia" w:ascii="宋体" w:hAnsi="宋体" w:eastAsia="宋体" w:cs="宋体"/>
          <w:color w:val="auto"/>
          <w:szCs w:val="21"/>
        </w:rPr>
      </w:pPr>
    </w:p>
    <w:p w14:paraId="518091CD">
      <w:pPr>
        <w:widowControl w:val="0"/>
        <w:adjustRightInd w:val="0"/>
        <w:snapToGrid w:val="0"/>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供应商名称：</w:t>
      </w:r>
      <w:r>
        <w:rPr>
          <w:rFonts w:hint="eastAsia" w:ascii="宋体" w:hAnsi="宋体" w:eastAsia="宋体" w:cs="宋体"/>
          <w:color w:val="auto"/>
          <w:kern w:val="2"/>
          <w:sz w:val="21"/>
          <w:szCs w:val="21"/>
          <w:u w:val="single"/>
          <w:lang w:val="en-US" w:eastAsia="zh-CN" w:bidi="ar-SA"/>
        </w:rPr>
        <w:t xml:space="preserve">                </w:t>
      </w:r>
    </w:p>
    <w:p w14:paraId="17469C6A">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法定代表人（负责人）或其委托代理人</w:t>
      </w:r>
      <w:r>
        <w:rPr>
          <w:rFonts w:hint="eastAsia" w:ascii="宋体" w:hAnsi="宋体" w:cs="宋体"/>
          <w:color w:val="auto"/>
          <w:szCs w:val="21"/>
          <w:lang w:eastAsia="zh-CN"/>
        </w:rPr>
        <w:t>（</w:t>
      </w:r>
      <w:r>
        <w:rPr>
          <w:rFonts w:hint="eastAsia" w:ascii="宋体" w:hAnsi="宋体" w:eastAsia="宋体" w:cs="宋体"/>
          <w:color w:val="auto"/>
          <w:szCs w:val="21"/>
        </w:rPr>
        <w:t>签字</w:t>
      </w:r>
      <w:r>
        <w:rPr>
          <w:rFonts w:hint="eastAsia" w:ascii="宋体" w:hAnsi="宋体" w:cs="宋体"/>
          <w:color w:val="auto"/>
          <w:szCs w:val="21"/>
          <w:lang w:eastAsia="zh-CN"/>
        </w:rPr>
        <w:t>）</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p>
    <w:p w14:paraId="11BB1803">
      <w:pPr>
        <w:adjustRightInd w:val="0"/>
        <w:snapToGrid w:val="0"/>
        <w:spacing w:line="360" w:lineRule="auto"/>
        <w:rPr>
          <w:color w:val="auto"/>
        </w:rPr>
      </w:pPr>
      <w:r>
        <w:rPr>
          <w:rFonts w:hint="eastAsia" w:ascii="宋体" w:hAnsi="宋体" w:eastAsia="宋体" w:cs="宋体"/>
          <w:color w:val="auto"/>
          <w:szCs w:val="21"/>
        </w:rPr>
        <w:t xml:space="preserve">日期： </w:t>
      </w:r>
      <w:r>
        <w:rPr>
          <w:rFonts w:ascii="宋体" w:hAnsi="宋体" w:eastAsia="宋体" w:cs="宋体"/>
          <w:color w:val="auto"/>
          <w:szCs w:val="21"/>
          <w:u w:val="single"/>
        </w:rPr>
        <w:t xml:space="preserve">     </w:t>
      </w:r>
      <w:r>
        <w:rPr>
          <w:rFonts w:hint="eastAsia" w:ascii="宋体" w:hAnsi="宋体" w:eastAsia="宋体" w:cs="宋体"/>
          <w:color w:val="auto"/>
          <w:szCs w:val="21"/>
        </w:rPr>
        <w:t>年</w:t>
      </w:r>
      <w:r>
        <w:rPr>
          <w:rFonts w:ascii="宋体" w:hAnsi="宋体" w:eastAsia="宋体" w:cs="宋体"/>
          <w:color w:val="auto"/>
          <w:szCs w:val="21"/>
          <w:u w:val="single"/>
        </w:rPr>
        <w:t xml:space="preserve">     </w:t>
      </w:r>
      <w:r>
        <w:rPr>
          <w:rFonts w:hint="eastAsia" w:ascii="宋体" w:hAnsi="宋体" w:eastAsia="宋体" w:cs="宋体"/>
          <w:color w:val="auto"/>
          <w:szCs w:val="21"/>
        </w:rPr>
        <w:t>月</w:t>
      </w:r>
      <w:r>
        <w:rPr>
          <w:rFonts w:ascii="宋体" w:hAnsi="宋体" w:eastAsia="宋体" w:cs="宋体"/>
          <w:color w:val="auto"/>
          <w:szCs w:val="21"/>
          <w:u w:val="single"/>
        </w:rPr>
        <w:t xml:space="preserve">     </w:t>
      </w:r>
      <w:r>
        <w:rPr>
          <w:rFonts w:hint="eastAsia" w:ascii="宋体" w:hAnsi="宋体" w:eastAsia="宋体" w:cs="宋体"/>
          <w:color w:val="auto"/>
          <w:szCs w:val="21"/>
        </w:rPr>
        <w:t>日</w:t>
      </w:r>
    </w:p>
    <w:p w14:paraId="3CB47C47">
      <w:pPr>
        <w:rPr>
          <w:color w:val="auto"/>
        </w:rPr>
      </w:pPr>
    </w:p>
    <w:p w14:paraId="499363B8">
      <w:pPr>
        <w:rPr>
          <w:color w:val="auto"/>
        </w:rPr>
      </w:pPr>
    </w:p>
    <w:p w14:paraId="0134A53E">
      <w:pPr>
        <w:adjustRightInd w:val="0"/>
        <w:snapToGrid w:val="0"/>
        <w:spacing w:line="360" w:lineRule="auto"/>
        <w:rPr>
          <w:rFonts w:ascii="宋体" w:hAnsi="宋体"/>
          <w:color w:val="auto"/>
          <w:szCs w:val="21"/>
        </w:rPr>
      </w:pPr>
    </w:p>
    <w:p w14:paraId="4BF11445">
      <w:pPr>
        <w:widowControl/>
        <w:jc w:val="left"/>
        <w:rPr>
          <w:rFonts w:ascii="宋体" w:hAnsi="宋体"/>
          <w:color w:val="auto"/>
          <w:szCs w:val="21"/>
        </w:rPr>
      </w:pPr>
      <w:r>
        <w:rPr>
          <w:rFonts w:ascii="宋体" w:hAnsi="宋体"/>
          <w:color w:val="auto"/>
          <w:szCs w:val="21"/>
        </w:rPr>
        <w:br w:type="page"/>
      </w:r>
    </w:p>
    <w:p w14:paraId="1DDF0AF8">
      <w:pPr>
        <w:pStyle w:val="5"/>
        <w:jc w:val="center"/>
        <w:rPr>
          <w:rFonts w:ascii="黑体" w:hAnsi="黑体" w:eastAsia="黑体"/>
          <w:color w:val="auto"/>
          <w:sz w:val="28"/>
          <w:szCs w:val="28"/>
        </w:rPr>
      </w:pPr>
      <w:bookmarkStart w:id="78" w:name="_Toc22201159"/>
      <w:bookmarkStart w:id="79" w:name="_Toc34637802"/>
      <w:bookmarkStart w:id="80" w:name="_Toc8052"/>
      <w:r>
        <w:rPr>
          <w:rFonts w:hint="eastAsia" w:ascii="黑体" w:hAnsi="黑体" w:eastAsia="黑体"/>
          <w:color w:val="auto"/>
          <w:sz w:val="28"/>
          <w:szCs w:val="28"/>
          <w:lang w:val="en-US" w:eastAsia="zh-CN"/>
        </w:rPr>
        <w:t>七</w:t>
      </w:r>
      <w:r>
        <w:rPr>
          <w:rFonts w:hint="eastAsia" w:ascii="黑体" w:hAnsi="黑体" w:eastAsia="黑体"/>
          <w:color w:val="auto"/>
          <w:sz w:val="28"/>
          <w:szCs w:val="28"/>
        </w:rPr>
        <w:t>、合同条款偏离表</w:t>
      </w:r>
      <w:bookmarkEnd w:id="78"/>
      <w:bookmarkEnd w:id="79"/>
      <w:bookmarkEnd w:id="80"/>
    </w:p>
    <w:p w14:paraId="593CF631">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采购项目编号：</w:t>
      </w: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 xml:space="preserve">      </w:t>
      </w:r>
    </w:p>
    <w:p w14:paraId="001F164F">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代理机构编号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187F6E3E">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rPr>
        <w:t xml:space="preserve">                               </w:t>
      </w:r>
    </w:p>
    <w:p w14:paraId="7B18AFA9">
      <w:pPr>
        <w:adjustRightInd w:val="0"/>
        <w:snapToGrid w:val="0"/>
        <w:spacing w:before="50" w:line="360" w:lineRule="auto"/>
        <w:rPr>
          <w:rFonts w:ascii="宋体" w:hAnsi="宋体"/>
          <w:color w:val="auto"/>
          <w:szCs w:val="21"/>
          <w:u w:val="single"/>
        </w:rPr>
      </w:pP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14C125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6452D545">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4F23122E">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磋商文件章节</w:t>
            </w:r>
            <w:r>
              <w:rPr>
                <w:rFonts w:hint="eastAsia" w:ascii="宋体" w:hAnsi="宋体"/>
                <w:bCs/>
                <w:color w:val="auto"/>
                <w:szCs w:val="21"/>
              </w:rPr>
              <w:t>条</w:t>
            </w:r>
            <w:r>
              <w:rPr>
                <w:rFonts w:hint="eastAsia" w:ascii="宋体" w:hAnsi="宋体"/>
                <w:color w:val="auto"/>
                <w:szCs w:val="21"/>
              </w:rPr>
              <w:t>款号</w:t>
            </w:r>
          </w:p>
        </w:tc>
        <w:tc>
          <w:tcPr>
            <w:tcW w:w="1985" w:type="dxa"/>
            <w:vAlign w:val="center"/>
          </w:tcPr>
          <w:p w14:paraId="109ED134">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磋商</w:t>
            </w:r>
            <w:r>
              <w:rPr>
                <w:rFonts w:hint="eastAsia"/>
                <w:color w:val="auto"/>
              </w:rPr>
              <w:t>文件要求</w:t>
            </w:r>
          </w:p>
        </w:tc>
        <w:tc>
          <w:tcPr>
            <w:tcW w:w="2082" w:type="dxa"/>
            <w:tcBorders>
              <w:right w:val="single" w:color="auto" w:sz="4" w:space="0"/>
            </w:tcBorders>
            <w:vAlign w:val="center"/>
          </w:tcPr>
          <w:p w14:paraId="2AA1F361">
            <w:pPr>
              <w:adjustRightInd w:val="0"/>
              <w:snapToGrid w:val="0"/>
              <w:spacing w:before="50" w:line="360" w:lineRule="auto"/>
              <w:jc w:val="center"/>
              <w:rPr>
                <w:rFonts w:ascii="宋体" w:hAnsi="宋体"/>
                <w:color w:val="auto"/>
                <w:szCs w:val="21"/>
              </w:rPr>
            </w:pPr>
            <w:r>
              <w:rPr>
                <w:rFonts w:hint="eastAsia"/>
                <w:color w:val="auto"/>
              </w:rPr>
              <w:t>响应文件的应答</w:t>
            </w:r>
          </w:p>
        </w:tc>
        <w:tc>
          <w:tcPr>
            <w:tcW w:w="1942" w:type="dxa"/>
            <w:tcBorders>
              <w:left w:val="single" w:color="auto" w:sz="4" w:space="0"/>
            </w:tcBorders>
            <w:vAlign w:val="center"/>
          </w:tcPr>
          <w:p w14:paraId="53C62D16">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49CE3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AE810E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6608D5E">
            <w:pPr>
              <w:adjustRightInd w:val="0"/>
              <w:snapToGrid w:val="0"/>
              <w:spacing w:before="50" w:line="360" w:lineRule="auto"/>
              <w:ind w:left="-88" w:leftChars="-42"/>
              <w:jc w:val="center"/>
              <w:rPr>
                <w:rFonts w:ascii="宋体" w:hAnsi="宋体"/>
                <w:color w:val="auto"/>
                <w:szCs w:val="21"/>
              </w:rPr>
            </w:pPr>
          </w:p>
        </w:tc>
        <w:tc>
          <w:tcPr>
            <w:tcW w:w="1985" w:type="dxa"/>
          </w:tcPr>
          <w:p w14:paraId="29EB9667">
            <w:pPr>
              <w:adjustRightInd w:val="0"/>
              <w:snapToGrid w:val="0"/>
              <w:spacing w:before="50" w:line="360" w:lineRule="auto"/>
              <w:rPr>
                <w:color w:val="auto"/>
              </w:rPr>
            </w:pPr>
          </w:p>
        </w:tc>
        <w:tc>
          <w:tcPr>
            <w:tcW w:w="2082" w:type="dxa"/>
            <w:tcBorders>
              <w:right w:val="single" w:color="auto" w:sz="4" w:space="0"/>
            </w:tcBorders>
          </w:tcPr>
          <w:p w14:paraId="2624334B">
            <w:pPr>
              <w:adjustRightInd w:val="0"/>
              <w:snapToGrid w:val="0"/>
              <w:spacing w:before="50" w:line="360" w:lineRule="auto"/>
              <w:rPr>
                <w:color w:val="auto"/>
              </w:rPr>
            </w:pPr>
          </w:p>
        </w:tc>
        <w:tc>
          <w:tcPr>
            <w:tcW w:w="1942" w:type="dxa"/>
            <w:tcBorders>
              <w:left w:val="single" w:color="auto" w:sz="4" w:space="0"/>
            </w:tcBorders>
          </w:tcPr>
          <w:p w14:paraId="325FF85D">
            <w:pPr>
              <w:adjustRightInd w:val="0"/>
              <w:snapToGrid w:val="0"/>
              <w:spacing w:before="50" w:line="360" w:lineRule="auto"/>
              <w:ind w:left="-88" w:leftChars="-42"/>
              <w:jc w:val="center"/>
              <w:rPr>
                <w:rFonts w:ascii="宋体" w:hAnsi="宋体"/>
                <w:color w:val="auto"/>
                <w:szCs w:val="21"/>
              </w:rPr>
            </w:pPr>
          </w:p>
        </w:tc>
      </w:tr>
      <w:tr w14:paraId="25D9DF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56F995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4E0D2F7">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2D70D14F">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2D247552">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5A641F8">
            <w:pPr>
              <w:adjustRightInd w:val="0"/>
              <w:snapToGrid w:val="0"/>
              <w:spacing w:before="50" w:line="360" w:lineRule="auto"/>
              <w:ind w:left="-88" w:leftChars="-42"/>
              <w:jc w:val="center"/>
              <w:rPr>
                <w:rFonts w:ascii="宋体" w:hAnsi="宋体"/>
                <w:color w:val="auto"/>
                <w:szCs w:val="21"/>
              </w:rPr>
            </w:pPr>
          </w:p>
        </w:tc>
      </w:tr>
      <w:tr w14:paraId="424A6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E902B3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558F76E9">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59CBD56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176136BD">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F586206">
            <w:pPr>
              <w:adjustRightInd w:val="0"/>
              <w:snapToGrid w:val="0"/>
              <w:spacing w:before="50" w:line="360" w:lineRule="auto"/>
              <w:ind w:left="-88" w:leftChars="-42"/>
              <w:jc w:val="center"/>
              <w:rPr>
                <w:rFonts w:ascii="宋体" w:hAnsi="宋体"/>
                <w:color w:val="auto"/>
                <w:szCs w:val="21"/>
              </w:rPr>
            </w:pPr>
          </w:p>
        </w:tc>
      </w:tr>
      <w:tr w14:paraId="07BE94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11222E2">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24AD4C63">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706A7FC9">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5B5F09E0">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26C1637F">
            <w:pPr>
              <w:adjustRightInd w:val="0"/>
              <w:snapToGrid w:val="0"/>
              <w:spacing w:before="50" w:line="360" w:lineRule="auto"/>
              <w:ind w:left="-88" w:leftChars="-42"/>
              <w:jc w:val="center"/>
              <w:rPr>
                <w:rFonts w:ascii="宋体" w:hAnsi="宋体"/>
                <w:color w:val="auto"/>
                <w:szCs w:val="21"/>
              </w:rPr>
            </w:pPr>
          </w:p>
        </w:tc>
      </w:tr>
      <w:tr w14:paraId="3BE34E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B70FC19">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56818CCC">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3CA018E3">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771B8AFB">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706F784C">
            <w:pPr>
              <w:adjustRightInd w:val="0"/>
              <w:snapToGrid w:val="0"/>
              <w:spacing w:before="50" w:line="360" w:lineRule="auto"/>
              <w:ind w:left="-88" w:leftChars="-42"/>
              <w:jc w:val="center"/>
              <w:rPr>
                <w:rFonts w:ascii="宋体" w:hAnsi="宋体"/>
                <w:color w:val="auto"/>
                <w:szCs w:val="21"/>
              </w:rPr>
            </w:pPr>
          </w:p>
        </w:tc>
      </w:tr>
      <w:tr w14:paraId="0F955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7B6AC32">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F31C060">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3B7C4693">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2C9FE00D">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7551A0CD">
            <w:pPr>
              <w:adjustRightInd w:val="0"/>
              <w:snapToGrid w:val="0"/>
              <w:spacing w:before="50" w:line="360" w:lineRule="auto"/>
              <w:ind w:left="-88" w:leftChars="-42"/>
              <w:jc w:val="center"/>
              <w:rPr>
                <w:rFonts w:ascii="宋体" w:hAnsi="宋体"/>
                <w:color w:val="auto"/>
                <w:szCs w:val="21"/>
              </w:rPr>
            </w:pPr>
          </w:p>
        </w:tc>
      </w:tr>
      <w:tr w14:paraId="399D13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FBFA048">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29CF18C0">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25DFA5B6">
            <w:pPr>
              <w:adjustRightInd w:val="0"/>
              <w:snapToGrid w:val="0"/>
              <w:spacing w:before="50" w:line="360" w:lineRule="auto"/>
              <w:ind w:left="-88" w:leftChars="-42"/>
              <w:jc w:val="center"/>
              <w:rPr>
                <w:rFonts w:ascii="宋体" w:hAnsi="宋体"/>
                <w:color w:val="auto"/>
                <w:szCs w:val="21"/>
              </w:rPr>
            </w:pPr>
          </w:p>
        </w:tc>
        <w:tc>
          <w:tcPr>
            <w:tcW w:w="4024" w:type="dxa"/>
            <w:gridSpan w:val="2"/>
            <w:vAlign w:val="center"/>
          </w:tcPr>
          <w:p w14:paraId="7C06B0B8">
            <w:pPr>
              <w:adjustRightInd w:val="0"/>
              <w:snapToGrid w:val="0"/>
              <w:spacing w:before="50" w:line="360" w:lineRule="auto"/>
              <w:ind w:firstLine="420" w:firstLineChars="200"/>
              <w:jc w:val="left"/>
              <w:rPr>
                <w:rFonts w:ascii="宋体" w:hAnsi="宋体"/>
                <w:b/>
                <w:color w:val="auto"/>
                <w:szCs w:val="21"/>
              </w:rPr>
            </w:pPr>
            <w:r>
              <w:rPr>
                <w:rFonts w:hint="eastAsia" w:ascii="宋体" w:hAnsi="宋体"/>
                <w:b/>
                <w:color w:val="auto"/>
                <w:szCs w:val="21"/>
              </w:rPr>
              <w:t>供应商保证：除本合同条款偏离表列出的偏离外，我单位对磋商文件的其他商务、合同条款完全响应，无偏离。</w:t>
            </w:r>
          </w:p>
        </w:tc>
      </w:tr>
    </w:tbl>
    <w:p w14:paraId="1A418EAF">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：（1）供应商应根据磋商文件第四章</w:t>
      </w:r>
      <w:r>
        <w:rPr>
          <w:rFonts w:hint="eastAsia" w:ascii="华文宋体" w:hAnsi="华文宋体" w:eastAsia="华文宋体"/>
          <w:color w:val="auto"/>
          <w:szCs w:val="21"/>
        </w:rPr>
        <w:t>“</w:t>
      </w:r>
      <w:r>
        <w:rPr>
          <w:rFonts w:hint="eastAsia" w:ascii="宋体" w:hAnsi="宋体"/>
          <w:color w:val="auto"/>
          <w:szCs w:val="21"/>
        </w:rPr>
        <w:t>合同草案条款</w:t>
      </w:r>
      <w:r>
        <w:rPr>
          <w:rFonts w:hint="eastAsia" w:ascii="华文宋体" w:hAnsi="华文宋体" w:eastAsia="华文宋体"/>
          <w:color w:val="auto"/>
          <w:szCs w:val="21"/>
        </w:rPr>
        <w:t>”</w:t>
      </w:r>
      <w:r>
        <w:rPr>
          <w:rFonts w:hint="eastAsia" w:ascii="宋体" w:hAnsi="宋体"/>
          <w:color w:val="auto"/>
          <w:szCs w:val="21"/>
        </w:rPr>
        <w:t>填写本表；</w:t>
      </w:r>
    </w:p>
    <w:p w14:paraId="049F6ADB">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供应商如果对磋商文件第四章“合同草案条款”的响应有偏离，应将偏离条款逐条如实应答，并作出说明；</w:t>
      </w:r>
    </w:p>
    <w:p w14:paraId="66054C69">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（3）如不提供此表，则视为供应商不满足磋商文件第四章的所有条款要求，其</w:t>
      </w:r>
      <w:r>
        <w:rPr>
          <w:rFonts w:hint="eastAsia" w:ascii="宋体" w:hAnsi="宋体"/>
          <w:b/>
          <w:color w:val="auto"/>
          <w:szCs w:val="21"/>
        </w:rPr>
        <w:t>响应无效</w:t>
      </w:r>
      <w:r>
        <w:rPr>
          <w:rFonts w:hint="eastAsia" w:ascii="宋体" w:hAnsi="宋体"/>
          <w:color w:val="auto"/>
          <w:szCs w:val="21"/>
        </w:rPr>
        <w:t>。</w:t>
      </w:r>
    </w:p>
    <w:p w14:paraId="73D526BC">
      <w:pPr>
        <w:adjustRightInd w:val="0"/>
        <w:snapToGrid w:val="0"/>
        <w:spacing w:before="50" w:line="360" w:lineRule="auto"/>
        <w:rPr>
          <w:rFonts w:ascii="宋体" w:hAnsi="宋体"/>
          <w:color w:val="auto"/>
          <w:szCs w:val="21"/>
        </w:rPr>
      </w:pPr>
    </w:p>
    <w:p w14:paraId="1D07F324">
      <w:pPr>
        <w:adjustRightInd w:val="0"/>
        <w:snapToGrid w:val="0"/>
        <w:spacing w:before="50" w:line="360" w:lineRule="auto"/>
        <w:rPr>
          <w:rFonts w:ascii="宋体" w:hAnsi="宋体"/>
          <w:color w:val="auto"/>
          <w:szCs w:val="21"/>
        </w:rPr>
      </w:pPr>
    </w:p>
    <w:p w14:paraId="442741FA">
      <w:pPr>
        <w:adjustRightInd w:val="0"/>
        <w:snapToGrid w:val="0"/>
        <w:spacing w:before="50" w:line="360" w:lineRule="auto"/>
        <w:rPr>
          <w:rFonts w:ascii="宋体" w:hAnsi="宋体"/>
          <w:color w:val="auto"/>
          <w:szCs w:val="21"/>
        </w:rPr>
      </w:pPr>
    </w:p>
    <w:p w14:paraId="5F3E7224">
      <w:pPr>
        <w:adjustRightInd w:val="0"/>
        <w:snapToGrid w:val="0"/>
        <w:spacing w:before="50" w:line="360" w:lineRule="auto"/>
        <w:rPr>
          <w:rFonts w:ascii="宋体" w:hAnsi="宋体"/>
          <w:color w:val="auto"/>
          <w:szCs w:val="21"/>
        </w:rPr>
      </w:pPr>
      <w:r>
        <w:rPr>
          <w:rFonts w:hint="eastAsia" w:ascii="宋体" w:hAnsi="宋体"/>
          <w:color w:val="auto"/>
          <w:szCs w:val="21"/>
        </w:rPr>
        <w:t>供应商名称（盖单位公章）：</w:t>
      </w:r>
    </w:p>
    <w:p w14:paraId="675F6539">
      <w:pPr>
        <w:adjustRightInd w:val="0"/>
        <w:snapToGrid w:val="0"/>
        <w:spacing w:before="50" w:line="360" w:lineRule="auto"/>
        <w:rPr>
          <w:rFonts w:ascii="宋体" w:hAnsi="宋体"/>
          <w:color w:val="auto"/>
          <w:szCs w:val="21"/>
        </w:rPr>
      </w:pPr>
      <w:r>
        <w:rPr>
          <w:rFonts w:hint="eastAsia" w:ascii="宋体" w:hAnsi="宋体" w:cs="微软雅黑"/>
          <w:color w:val="auto"/>
          <w:kern w:val="0"/>
          <w:szCs w:val="21"/>
        </w:rPr>
        <w:t>法定代表人（单位负责人）</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5410F23B">
      <w:pPr>
        <w:rPr>
          <w:color w:val="auto"/>
        </w:rPr>
      </w:pPr>
      <w:r>
        <w:rPr>
          <w:rFonts w:hint="eastAsia"/>
          <w:color w:val="auto"/>
        </w:rPr>
        <w:t>日       期：          年        月      日</w:t>
      </w:r>
    </w:p>
    <w:p w14:paraId="754F9B18">
      <w:pPr>
        <w:widowControl/>
        <w:jc w:val="left"/>
        <w:rPr>
          <w:color w:val="auto"/>
        </w:rPr>
      </w:pPr>
      <w:r>
        <w:rPr>
          <w:color w:val="auto"/>
        </w:rPr>
        <w:br w:type="page"/>
      </w:r>
    </w:p>
    <w:p w14:paraId="05610B1E">
      <w:pPr>
        <w:pStyle w:val="5"/>
        <w:jc w:val="center"/>
        <w:rPr>
          <w:rFonts w:ascii="黑体" w:eastAsia="黑体"/>
          <w:color w:val="auto"/>
          <w:sz w:val="28"/>
          <w:szCs w:val="28"/>
        </w:rPr>
      </w:pPr>
      <w:bookmarkStart w:id="81" w:name="_Toc34637803"/>
      <w:bookmarkStart w:id="82" w:name="_Toc22201160"/>
      <w:bookmarkStart w:id="83" w:name="_Toc20090"/>
      <w:r>
        <w:rPr>
          <w:rFonts w:hint="eastAsia" w:ascii="黑体" w:eastAsia="黑体"/>
          <w:color w:val="auto"/>
          <w:sz w:val="28"/>
          <w:szCs w:val="28"/>
          <w:lang w:val="en-US" w:eastAsia="zh-CN"/>
        </w:rPr>
        <w:t>八</w:t>
      </w:r>
      <w:r>
        <w:rPr>
          <w:rFonts w:hint="eastAsia" w:ascii="黑体" w:eastAsia="黑体"/>
          <w:color w:val="auto"/>
          <w:sz w:val="28"/>
          <w:szCs w:val="28"/>
        </w:rPr>
        <w:t>、采购需求偏离表</w:t>
      </w:r>
      <w:bookmarkEnd w:id="81"/>
      <w:bookmarkEnd w:id="82"/>
      <w:bookmarkEnd w:id="83"/>
    </w:p>
    <w:p w14:paraId="73B597FE">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采购项目编号：</w:t>
      </w:r>
      <w:r>
        <w:rPr>
          <w:rFonts w:hint="eastAsia" w:ascii="宋体" w:hAnsi="宋体"/>
          <w:color w:val="auto"/>
          <w:szCs w:val="21"/>
          <w:u w:val="single"/>
        </w:rPr>
        <w:t xml:space="preserve">                         </w:t>
      </w:r>
      <w:r>
        <w:rPr>
          <w:rFonts w:hint="eastAsia" w:ascii="宋体" w:hAnsi="宋体"/>
          <w:color w:val="auto"/>
          <w:szCs w:val="21"/>
        </w:rPr>
        <w:t xml:space="preserve">      </w:t>
      </w:r>
    </w:p>
    <w:p w14:paraId="2FAC30A2">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lang w:eastAsia="zh-CN"/>
        </w:rPr>
        <w:t>代理机构编号</w:t>
      </w:r>
      <w:r>
        <w:rPr>
          <w:rFonts w:hint="eastAsia" w:ascii="宋体" w:hAnsi="宋体"/>
          <w:color w:val="auto"/>
          <w:szCs w:val="21"/>
        </w:rPr>
        <w:t>：</w:t>
      </w:r>
      <w:r>
        <w:rPr>
          <w:rFonts w:hint="eastAsia" w:ascii="宋体" w:hAnsi="宋体"/>
          <w:color w:val="auto"/>
          <w:szCs w:val="21"/>
          <w:u w:val="single"/>
        </w:rPr>
        <w:t xml:space="preserve">                         </w:t>
      </w:r>
    </w:p>
    <w:p w14:paraId="795FDD12">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rPr>
        <w:t xml:space="preserve">                                </w:t>
      </w: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873E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8A5EEA8">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5FEA2F17">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磋商文件章节</w:t>
            </w:r>
            <w:r>
              <w:rPr>
                <w:rFonts w:hint="eastAsia" w:ascii="宋体" w:hAnsi="宋体"/>
                <w:bCs/>
                <w:color w:val="auto"/>
                <w:szCs w:val="21"/>
              </w:rPr>
              <w:t>条</w:t>
            </w:r>
            <w:r>
              <w:rPr>
                <w:rFonts w:hint="eastAsia" w:ascii="宋体" w:hAnsi="宋体"/>
                <w:color w:val="auto"/>
                <w:szCs w:val="21"/>
              </w:rPr>
              <w:t>款号</w:t>
            </w:r>
          </w:p>
        </w:tc>
        <w:tc>
          <w:tcPr>
            <w:tcW w:w="1985" w:type="dxa"/>
            <w:tcBorders>
              <w:right w:val="single" w:color="auto" w:sz="4" w:space="0"/>
            </w:tcBorders>
          </w:tcPr>
          <w:p w14:paraId="31C50EC4">
            <w:pPr>
              <w:adjustRightInd w:val="0"/>
              <w:snapToGrid w:val="0"/>
              <w:spacing w:before="50" w:line="360" w:lineRule="auto"/>
              <w:jc w:val="center"/>
              <w:rPr>
                <w:color w:val="auto"/>
              </w:rPr>
            </w:pPr>
            <w:r>
              <w:rPr>
                <w:rFonts w:hint="eastAsia" w:ascii="宋体" w:hAnsi="宋体"/>
                <w:color w:val="auto"/>
                <w:szCs w:val="21"/>
              </w:rPr>
              <w:t>磋商</w:t>
            </w:r>
            <w:r>
              <w:rPr>
                <w:rFonts w:hint="eastAsia"/>
                <w:color w:val="auto"/>
              </w:rPr>
              <w:t>文件要求</w:t>
            </w:r>
          </w:p>
        </w:tc>
        <w:tc>
          <w:tcPr>
            <w:tcW w:w="2126" w:type="dxa"/>
            <w:tcBorders>
              <w:left w:val="single" w:color="auto" w:sz="4" w:space="0"/>
            </w:tcBorders>
          </w:tcPr>
          <w:p w14:paraId="46F2AFE4">
            <w:pPr>
              <w:adjustRightInd w:val="0"/>
              <w:snapToGrid w:val="0"/>
              <w:spacing w:before="50" w:line="360" w:lineRule="auto"/>
              <w:jc w:val="center"/>
              <w:rPr>
                <w:color w:val="auto"/>
              </w:rPr>
            </w:pPr>
            <w:r>
              <w:rPr>
                <w:rFonts w:hint="eastAsia" w:ascii="宋体" w:hAnsi="宋体"/>
                <w:color w:val="auto"/>
                <w:szCs w:val="21"/>
              </w:rPr>
              <w:t>响应</w:t>
            </w:r>
            <w:r>
              <w:rPr>
                <w:rFonts w:hint="eastAsia"/>
                <w:color w:val="auto"/>
              </w:rPr>
              <w:t>文件应答</w:t>
            </w:r>
          </w:p>
        </w:tc>
        <w:tc>
          <w:tcPr>
            <w:tcW w:w="1756" w:type="dxa"/>
            <w:vAlign w:val="center"/>
          </w:tcPr>
          <w:p w14:paraId="7C84B977">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31ED0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FDA06B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2900A5BC">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7DCDDB1D">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E1A107D">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61F37DD0">
            <w:pPr>
              <w:adjustRightInd w:val="0"/>
              <w:snapToGrid w:val="0"/>
              <w:spacing w:before="50" w:line="360" w:lineRule="auto"/>
              <w:ind w:left="-88" w:leftChars="-42"/>
              <w:jc w:val="center"/>
              <w:rPr>
                <w:rFonts w:ascii="宋体" w:hAnsi="宋体"/>
                <w:color w:val="auto"/>
                <w:szCs w:val="21"/>
              </w:rPr>
            </w:pPr>
          </w:p>
        </w:tc>
      </w:tr>
      <w:tr w14:paraId="00885F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9ABC507">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999693B">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6B6EE2CB">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3DC93556">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048F9C3E">
            <w:pPr>
              <w:adjustRightInd w:val="0"/>
              <w:snapToGrid w:val="0"/>
              <w:spacing w:before="50" w:line="360" w:lineRule="auto"/>
              <w:ind w:left="-88" w:leftChars="-42"/>
              <w:jc w:val="center"/>
              <w:rPr>
                <w:rFonts w:ascii="宋体" w:hAnsi="宋体"/>
                <w:color w:val="auto"/>
                <w:szCs w:val="21"/>
              </w:rPr>
            </w:pPr>
          </w:p>
        </w:tc>
      </w:tr>
      <w:tr w14:paraId="27B0D0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17DD7D">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B99DBBA">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4E01BB31">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7AFFBFE">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0D6766BA">
            <w:pPr>
              <w:adjustRightInd w:val="0"/>
              <w:snapToGrid w:val="0"/>
              <w:spacing w:before="50" w:line="360" w:lineRule="auto"/>
              <w:ind w:left="-88" w:leftChars="-42"/>
              <w:jc w:val="center"/>
              <w:rPr>
                <w:rFonts w:ascii="宋体" w:hAnsi="宋体"/>
                <w:color w:val="auto"/>
                <w:szCs w:val="21"/>
              </w:rPr>
            </w:pPr>
          </w:p>
        </w:tc>
      </w:tr>
      <w:tr w14:paraId="46A171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7C352A5">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AFE985D">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63045D65">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7BDE343A">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37A47D5A">
            <w:pPr>
              <w:adjustRightInd w:val="0"/>
              <w:snapToGrid w:val="0"/>
              <w:spacing w:before="50" w:line="360" w:lineRule="auto"/>
              <w:ind w:left="-88" w:leftChars="-42"/>
              <w:jc w:val="center"/>
              <w:rPr>
                <w:rFonts w:ascii="宋体" w:hAnsi="宋体"/>
                <w:color w:val="auto"/>
                <w:szCs w:val="21"/>
              </w:rPr>
            </w:pPr>
          </w:p>
        </w:tc>
      </w:tr>
      <w:tr w14:paraId="1EF135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EAFA27F">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554861B1">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56648BA4">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7958C19C">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1F61C17">
            <w:pPr>
              <w:adjustRightInd w:val="0"/>
              <w:snapToGrid w:val="0"/>
              <w:spacing w:before="50" w:line="360" w:lineRule="auto"/>
              <w:ind w:left="-88" w:leftChars="-42"/>
              <w:jc w:val="center"/>
              <w:rPr>
                <w:rFonts w:ascii="宋体" w:hAnsi="宋体"/>
                <w:color w:val="auto"/>
                <w:szCs w:val="21"/>
              </w:rPr>
            </w:pPr>
          </w:p>
        </w:tc>
      </w:tr>
      <w:tr w14:paraId="740C4B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80608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1CFF38A">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3F613366">
            <w:pPr>
              <w:adjustRightInd w:val="0"/>
              <w:snapToGrid w:val="0"/>
              <w:spacing w:before="50" w:line="360" w:lineRule="auto"/>
              <w:ind w:left="-88" w:leftChars="-42"/>
              <w:jc w:val="center"/>
              <w:rPr>
                <w:rFonts w:ascii="宋体" w:hAnsi="宋体"/>
                <w:color w:val="auto"/>
                <w:szCs w:val="21"/>
              </w:rPr>
            </w:pPr>
          </w:p>
        </w:tc>
        <w:tc>
          <w:tcPr>
            <w:tcW w:w="3882" w:type="dxa"/>
            <w:gridSpan w:val="2"/>
            <w:tcBorders>
              <w:left w:val="single" w:color="auto" w:sz="4" w:space="0"/>
            </w:tcBorders>
            <w:vAlign w:val="center"/>
          </w:tcPr>
          <w:p w14:paraId="60032033">
            <w:pPr>
              <w:adjustRightInd w:val="0"/>
              <w:snapToGrid w:val="0"/>
              <w:spacing w:before="50" w:line="360" w:lineRule="auto"/>
              <w:ind w:firstLine="420" w:firstLineChars="200"/>
              <w:rPr>
                <w:rFonts w:ascii="宋体" w:hAnsi="宋体"/>
                <w:color w:val="auto"/>
                <w:szCs w:val="21"/>
              </w:rPr>
            </w:pPr>
            <w:r>
              <w:rPr>
                <w:rFonts w:hint="eastAsia" w:ascii="宋体" w:hAnsi="宋体"/>
                <w:b/>
                <w:color w:val="auto"/>
                <w:szCs w:val="21"/>
              </w:rPr>
              <w:t>供应商保证：除本采购需求偏离表列出的偏离外，我单位对磋商文件的其他采购需求条款完全响应，无偏离。</w:t>
            </w:r>
          </w:p>
        </w:tc>
      </w:tr>
    </w:tbl>
    <w:p w14:paraId="50D414FE">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：（1）供应商应根据磋商文件第三章“采购需求”填写本表；</w:t>
      </w:r>
    </w:p>
    <w:p w14:paraId="6D7DDB73">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供应商如果对磋商文件第三章“采购需求”的响应有偏离，应将偏离条款逐条如实应答，并作出说明；</w:t>
      </w:r>
    </w:p>
    <w:p w14:paraId="3AE950BE">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（3）如不提供此表，则视为供应商不满足磋商文件第三章的所有条款要求，其</w:t>
      </w:r>
      <w:r>
        <w:rPr>
          <w:rFonts w:hint="eastAsia" w:ascii="宋体" w:hAnsi="宋体"/>
          <w:b/>
          <w:color w:val="auto"/>
          <w:szCs w:val="21"/>
        </w:rPr>
        <w:t>响应无效</w:t>
      </w:r>
      <w:r>
        <w:rPr>
          <w:rFonts w:hint="eastAsia" w:ascii="宋体" w:hAnsi="宋体"/>
          <w:color w:val="auto"/>
          <w:szCs w:val="21"/>
        </w:rPr>
        <w:t>。</w:t>
      </w:r>
    </w:p>
    <w:p w14:paraId="3CF32581">
      <w:pPr>
        <w:adjustRightInd w:val="0"/>
        <w:snapToGrid w:val="0"/>
        <w:spacing w:before="50" w:line="360" w:lineRule="auto"/>
        <w:rPr>
          <w:rFonts w:ascii="宋体" w:hAnsi="宋体"/>
          <w:color w:val="auto"/>
          <w:szCs w:val="21"/>
        </w:rPr>
      </w:pPr>
    </w:p>
    <w:p w14:paraId="17EEC07E">
      <w:pPr>
        <w:adjustRightInd w:val="0"/>
        <w:snapToGrid w:val="0"/>
        <w:spacing w:before="50" w:line="360" w:lineRule="auto"/>
        <w:rPr>
          <w:rFonts w:ascii="宋体" w:hAnsi="宋体"/>
          <w:color w:val="auto"/>
          <w:szCs w:val="21"/>
        </w:rPr>
      </w:pPr>
    </w:p>
    <w:p w14:paraId="2837BA55">
      <w:pPr>
        <w:adjustRightInd w:val="0"/>
        <w:snapToGrid w:val="0"/>
        <w:spacing w:before="50" w:line="360" w:lineRule="auto"/>
        <w:rPr>
          <w:rFonts w:ascii="宋体" w:hAnsi="宋体"/>
          <w:color w:val="auto"/>
          <w:szCs w:val="21"/>
        </w:rPr>
      </w:pPr>
    </w:p>
    <w:p w14:paraId="326BC3F0">
      <w:pPr>
        <w:adjustRightInd w:val="0"/>
        <w:snapToGrid w:val="0"/>
        <w:spacing w:before="50" w:line="360" w:lineRule="auto"/>
        <w:rPr>
          <w:rFonts w:ascii="宋体" w:hAnsi="宋体"/>
          <w:color w:val="auto"/>
          <w:szCs w:val="21"/>
        </w:rPr>
      </w:pPr>
      <w:r>
        <w:rPr>
          <w:rFonts w:hint="eastAsia" w:ascii="宋体" w:hAnsi="宋体"/>
          <w:color w:val="auto"/>
          <w:szCs w:val="21"/>
        </w:rPr>
        <w:t>供应商名称（盖单位公章）：</w:t>
      </w:r>
    </w:p>
    <w:p w14:paraId="7E22C80D">
      <w:pPr>
        <w:adjustRightInd w:val="0"/>
        <w:snapToGrid w:val="0"/>
        <w:spacing w:before="50" w:line="360" w:lineRule="auto"/>
        <w:rPr>
          <w:rFonts w:ascii="宋体" w:hAnsi="宋体"/>
          <w:color w:val="auto"/>
          <w:szCs w:val="21"/>
        </w:rPr>
      </w:pPr>
      <w:r>
        <w:rPr>
          <w:rFonts w:hint="eastAsia" w:ascii="宋体" w:hAnsi="宋体" w:cs="微软雅黑"/>
          <w:color w:val="auto"/>
          <w:kern w:val="0"/>
          <w:szCs w:val="21"/>
        </w:rPr>
        <w:t>法定代表人（单位负责人）</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3F7BAD7B">
      <w:pPr>
        <w:adjustRightInd w:val="0"/>
        <w:snapToGrid w:val="0"/>
        <w:spacing w:before="50" w:line="360" w:lineRule="auto"/>
        <w:rPr>
          <w:rFonts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E61C033">
      <w:pPr>
        <w:rPr>
          <w:color w:val="auto"/>
        </w:rPr>
      </w:pPr>
    </w:p>
    <w:p w14:paraId="26E289DB">
      <w:pPr>
        <w:widowControl/>
        <w:jc w:val="left"/>
        <w:rPr>
          <w:color w:val="auto"/>
        </w:rPr>
      </w:pPr>
      <w:r>
        <w:rPr>
          <w:color w:val="auto"/>
        </w:rPr>
        <w:br w:type="page"/>
      </w:r>
    </w:p>
    <w:p w14:paraId="40FEE890">
      <w:pPr>
        <w:pStyle w:val="5"/>
        <w:jc w:val="center"/>
        <w:rPr>
          <w:rFonts w:ascii="黑体" w:hAnsi="黑体" w:eastAsia="黑体"/>
          <w:color w:val="auto"/>
          <w:sz w:val="28"/>
          <w:szCs w:val="28"/>
        </w:rPr>
      </w:pPr>
      <w:bookmarkStart w:id="84" w:name="_Toc7921"/>
      <w:bookmarkStart w:id="85" w:name="_Toc34637804"/>
      <w:bookmarkStart w:id="86" w:name="_Toc22201161"/>
      <w:r>
        <w:rPr>
          <w:rFonts w:hint="eastAsia" w:eastAsia="黑体"/>
          <w:color w:val="auto"/>
          <w:lang w:val="en-US" w:eastAsia="zh-CN"/>
        </w:rPr>
        <w:t>九</w:t>
      </w:r>
      <w:r>
        <w:rPr>
          <w:rFonts w:hint="eastAsia" w:ascii="黑体" w:hAnsi="黑体" w:eastAsia="黑体"/>
          <w:color w:val="auto"/>
          <w:sz w:val="28"/>
          <w:szCs w:val="28"/>
        </w:rPr>
        <w:t>、享受政府采购政策优惠的证明资料</w:t>
      </w:r>
      <w:bookmarkEnd w:id="84"/>
      <w:bookmarkEnd w:id="85"/>
      <w:bookmarkEnd w:id="86"/>
    </w:p>
    <w:p w14:paraId="00E9C148">
      <w:pPr>
        <w:adjustRightInd w:val="0"/>
        <w:snapToGrid w:val="0"/>
        <w:spacing w:line="360" w:lineRule="auto"/>
        <w:rPr>
          <w:rFonts w:ascii="黑体" w:hAnsi="华文中宋" w:eastAsia="黑体" w:cs="宋体"/>
          <w:bCs/>
          <w:color w:val="auto"/>
          <w:kern w:val="0"/>
          <w:szCs w:val="21"/>
        </w:rPr>
      </w:pPr>
    </w:p>
    <w:p w14:paraId="2FFB41D4">
      <w:pPr>
        <w:adjustRightInd w:val="0"/>
        <w:snapToGrid w:val="0"/>
        <w:spacing w:line="360" w:lineRule="auto"/>
        <w:ind w:firstLine="420" w:firstLineChars="200"/>
        <w:rPr>
          <w:rFonts w:ascii="宋体" w:hAnsi="宋体" w:cs="宋体"/>
          <w:bCs/>
          <w:color w:val="auto"/>
          <w:kern w:val="0"/>
          <w:szCs w:val="21"/>
        </w:rPr>
      </w:pPr>
      <w:r>
        <w:rPr>
          <w:rFonts w:hint="eastAsia" w:ascii="宋体" w:hAnsi="宋体" w:cs="宋体"/>
          <w:bCs/>
          <w:color w:val="auto"/>
          <w:kern w:val="0"/>
          <w:szCs w:val="21"/>
        </w:rPr>
        <w:t>供应商符合第二章第二节第39条要求的，应提供下列证明资料，并填写相关数据。否则，评审时不予以考虑。</w:t>
      </w:r>
    </w:p>
    <w:p w14:paraId="12E6B65C">
      <w:pPr>
        <w:adjustRightInd w:val="0"/>
        <w:snapToGrid w:val="0"/>
        <w:spacing w:line="360" w:lineRule="auto"/>
        <w:rPr>
          <w:rFonts w:ascii="黑体" w:hAnsi="华文中宋" w:eastAsia="黑体" w:cs="宋体"/>
          <w:bCs/>
          <w:color w:val="auto"/>
          <w:kern w:val="0"/>
          <w:szCs w:val="21"/>
        </w:rPr>
      </w:pPr>
    </w:p>
    <w:p w14:paraId="3C202543">
      <w:pPr>
        <w:pStyle w:val="7"/>
        <w:rPr>
          <w:rFonts w:ascii="宋体" w:hAnsi="宋体"/>
          <w:color w:val="auto"/>
          <w:sz w:val="21"/>
          <w:szCs w:val="21"/>
        </w:rPr>
      </w:pPr>
      <w:bookmarkStart w:id="87" w:name="_Toc34637805"/>
      <w:bookmarkStart w:id="88" w:name="_Toc22201162"/>
      <w:bookmarkStart w:id="89" w:name="_Toc14242"/>
      <w:r>
        <w:rPr>
          <w:rFonts w:hint="eastAsia" w:ascii="宋体" w:hAnsi="宋体"/>
          <w:color w:val="auto"/>
          <w:sz w:val="21"/>
          <w:szCs w:val="21"/>
        </w:rPr>
        <w:t>附件</w:t>
      </w:r>
      <w:r>
        <w:rPr>
          <w:rFonts w:hint="eastAsia" w:ascii="宋体" w:hAnsi="宋体"/>
          <w:color w:val="auto"/>
          <w:sz w:val="21"/>
          <w:szCs w:val="21"/>
          <w:lang w:val="en-US" w:eastAsia="zh-CN"/>
        </w:rPr>
        <w:t>9</w:t>
      </w:r>
      <w:r>
        <w:rPr>
          <w:rFonts w:hint="eastAsia" w:ascii="宋体" w:hAnsi="宋体"/>
          <w:color w:val="auto"/>
          <w:sz w:val="21"/>
          <w:szCs w:val="21"/>
        </w:rPr>
        <w:t>-1小型、微型企业声明函</w:t>
      </w:r>
      <w:bookmarkEnd w:id="87"/>
      <w:bookmarkEnd w:id="88"/>
      <w:bookmarkEnd w:id="89"/>
    </w:p>
    <w:p w14:paraId="3B783438">
      <w:pPr>
        <w:widowControl/>
        <w:adjustRightInd w:val="0"/>
        <w:snapToGrid w:val="0"/>
        <w:spacing w:line="360" w:lineRule="auto"/>
        <w:jc w:val="center"/>
        <w:rPr>
          <w:rFonts w:ascii="宋体" w:hAnsi="宋体" w:cs="宋体"/>
          <w:b/>
          <w:color w:val="auto"/>
          <w:kern w:val="0"/>
          <w:sz w:val="30"/>
          <w:szCs w:val="30"/>
        </w:rPr>
      </w:pPr>
      <w:r>
        <w:rPr>
          <w:rFonts w:hint="eastAsia" w:ascii="宋体" w:hAnsi="宋体" w:cs="宋体"/>
          <w:b/>
          <w:color w:val="auto"/>
          <w:kern w:val="0"/>
          <w:sz w:val="30"/>
          <w:szCs w:val="30"/>
        </w:rPr>
        <w:t>中小企业声明函</w:t>
      </w:r>
      <w:r>
        <w:rPr>
          <w:rFonts w:hint="eastAsia" w:ascii="宋体" w:hAnsi="宋体" w:cs="宋体"/>
          <w:b/>
          <w:color w:val="auto"/>
          <w:kern w:val="0"/>
          <w:sz w:val="30"/>
          <w:szCs w:val="30"/>
          <w:lang w:eastAsia="zh-CN"/>
        </w:rPr>
        <w:t>（</w:t>
      </w:r>
      <w:r>
        <w:rPr>
          <w:rFonts w:hint="eastAsia" w:ascii="宋体" w:hAnsi="宋体" w:cs="宋体"/>
          <w:b/>
          <w:color w:val="auto"/>
          <w:kern w:val="0"/>
          <w:sz w:val="30"/>
          <w:szCs w:val="30"/>
        </w:rPr>
        <w:t>工程、服务</w:t>
      </w:r>
      <w:r>
        <w:rPr>
          <w:rFonts w:hint="eastAsia" w:ascii="宋体" w:hAnsi="宋体" w:cs="宋体"/>
          <w:b/>
          <w:color w:val="auto"/>
          <w:kern w:val="0"/>
          <w:sz w:val="30"/>
          <w:szCs w:val="30"/>
          <w:lang w:eastAsia="zh-CN"/>
        </w:rPr>
        <w:t>）</w:t>
      </w:r>
    </w:p>
    <w:p w14:paraId="20B50FE7">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lang w:eastAsia="zh-CN"/>
        </w:rPr>
        <w:t>（</w:t>
      </w:r>
      <w:r>
        <w:rPr>
          <w:rFonts w:hint="eastAsia" w:ascii="宋体" w:hAnsi="宋体"/>
          <w:b/>
          <w:color w:val="auto"/>
          <w:spacing w:val="6"/>
          <w:szCs w:val="21"/>
        </w:rPr>
        <w:t>不符合政策要求的无需提供</w:t>
      </w:r>
      <w:r>
        <w:rPr>
          <w:rFonts w:hint="eastAsia" w:ascii="宋体" w:hAnsi="宋体"/>
          <w:b/>
          <w:color w:val="auto"/>
          <w:spacing w:val="6"/>
          <w:szCs w:val="21"/>
          <w:lang w:eastAsia="zh-CN"/>
        </w:rPr>
        <w:t>）</w:t>
      </w:r>
    </w:p>
    <w:p w14:paraId="4E64B37F">
      <w:pPr>
        <w:widowControl/>
        <w:adjustRightInd w:val="0"/>
        <w:snapToGrid w:val="0"/>
        <w:spacing w:line="360" w:lineRule="auto"/>
        <w:ind w:firstLine="420" w:firstLineChars="200"/>
        <w:jc w:val="left"/>
        <w:rPr>
          <w:rFonts w:ascii="宋体" w:hAnsi="宋体" w:cs="宋体"/>
          <w:color w:val="auto"/>
          <w:kern w:val="0"/>
          <w:szCs w:val="21"/>
        </w:rPr>
      </w:pPr>
    </w:p>
    <w:p w14:paraId="56108D66">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本公司</w:t>
      </w:r>
      <w:r>
        <w:rPr>
          <w:rFonts w:hint="eastAsia" w:ascii="宋体" w:hAnsi="宋体" w:cs="宋体"/>
          <w:color w:val="auto"/>
          <w:kern w:val="0"/>
          <w:szCs w:val="21"/>
          <w:lang w:eastAsia="zh-CN"/>
        </w:rPr>
        <w:t>（</w:t>
      </w:r>
      <w:r>
        <w:rPr>
          <w:rFonts w:hint="eastAsia" w:ascii="宋体" w:hAnsi="宋体" w:cs="宋体"/>
          <w:color w:val="auto"/>
          <w:kern w:val="0"/>
          <w:szCs w:val="21"/>
        </w:rPr>
        <w:t>联合体</w:t>
      </w:r>
      <w:r>
        <w:rPr>
          <w:rFonts w:hint="eastAsia" w:ascii="宋体" w:hAnsi="宋体" w:cs="宋体"/>
          <w:color w:val="auto"/>
          <w:kern w:val="0"/>
          <w:szCs w:val="21"/>
          <w:lang w:eastAsia="zh-CN"/>
        </w:rPr>
        <w:t>）</w:t>
      </w:r>
      <w:r>
        <w:rPr>
          <w:rFonts w:hint="eastAsia" w:ascii="宋体" w:hAnsi="宋体" w:cs="宋体"/>
          <w:color w:val="auto"/>
          <w:kern w:val="0"/>
          <w:szCs w:val="21"/>
        </w:rPr>
        <w:t>郑重声明，根据《政府采购促进中小企业发展管理办法》</w:t>
      </w:r>
      <w:r>
        <w:rPr>
          <w:rFonts w:hint="eastAsia" w:ascii="宋体" w:hAnsi="宋体" w:cs="宋体"/>
          <w:color w:val="auto"/>
          <w:kern w:val="0"/>
          <w:szCs w:val="21"/>
          <w:lang w:eastAsia="zh-CN"/>
        </w:rPr>
        <w:t>（</w:t>
      </w:r>
      <w:r>
        <w:rPr>
          <w:rFonts w:hint="eastAsia" w:ascii="宋体" w:hAnsi="宋体" w:cs="宋体"/>
          <w:color w:val="auto"/>
          <w:kern w:val="0"/>
          <w:szCs w:val="21"/>
        </w:rPr>
        <w:t>财库[2020]46号</w:t>
      </w:r>
      <w:r>
        <w:rPr>
          <w:rFonts w:hint="eastAsia" w:ascii="宋体" w:hAnsi="宋体" w:cs="宋体"/>
          <w:color w:val="auto"/>
          <w:kern w:val="0"/>
          <w:szCs w:val="21"/>
          <w:lang w:eastAsia="zh-CN"/>
        </w:rPr>
        <w:t>）</w:t>
      </w:r>
      <w:r>
        <w:rPr>
          <w:rFonts w:hint="eastAsia" w:ascii="宋体" w:hAnsi="宋体" w:cs="宋体"/>
          <w:color w:val="auto"/>
          <w:kern w:val="0"/>
          <w:szCs w:val="21"/>
        </w:rPr>
        <w:t>的规定，本公司</w:t>
      </w:r>
      <w:r>
        <w:rPr>
          <w:rFonts w:hint="eastAsia" w:ascii="宋体" w:hAnsi="宋体" w:cs="宋体"/>
          <w:color w:val="auto"/>
          <w:kern w:val="0"/>
          <w:szCs w:val="21"/>
          <w:lang w:eastAsia="zh-CN"/>
        </w:rPr>
        <w:t>（</w:t>
      </w:r>
      <w:r>
        <w:rPr>
          <w:rFonts w:hint="eastAsia" w:ascii="宋体" w:hAnsi="宋体" w:cs="宋体"/>
          <w:color w:val="auto"/>
          <w:kern w:val="0"/>
          <w:szCs w:val="21"/>
        </w:rPr>
        <w:t>联合体</w:t>
      </w:r>
      <w:r>
        <w:rPr>
          <w:rFonts w:hint="eastAsia" w:ascii="宋体" w:hAnsi="宋体" w:cs="宋体"/>
          <w:color w:val="auto"/>
          <w:kern w:val="0"/>
          <w:szCs w:val="21"/>
          <w:lang w:eastAsia="zh-CN"/>
        </w:rPr>
        <w:t>）</w:t>
      </w:r>
      <w:r>
        <w:rPr>
          <w:rFonts w:hint="eastAsia" w:ascii="宋体" w:hAnsi="宋体" w:cs="宋体"/>
          <w:color w:val="auto"/>
          <w:kern w:val="0"/>
          <w:szCs w:val="21"/>
        </w:rPr>
        <w:t>参加</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eastAsia="zh-CN"/>
        </w:rPr>
        <w:t>（</w:t>
      </w:r>
      <w:r>
        <w:rPr>
          <w:rFonts w:hint="eastAsia" w:ascii="宋体" w:hAnsi="宋体" w:cs="宋体"/>
          <w:color w:val="auto"/>
          <w:kern w:val="0"/>
          <w:szCs w:val="21"/>
          <w:u w:val="single"/>
        </w:rPr>
        <w:t>单位名称</w:t>
      </w:r>
      <w:r>
        <w:rPr>
          <w:rFonts w:hint="eastAsia" w:ascii="宋体" w:hAnsi="宋体" w:cs="宋体"/>
          <w:color w:val="auto"/>
          <w:kern w:val="0"/>
          <w:szCs w:val="21"/>
          <w:u w:val="single"/>
          <w:lang w:eastAsia="zh-CN"/>
        </w:rPr>
        <w:t>）</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eastAsia="zh-CN"/>
        </w:rPr>
        <w:t>（</w:t>
      </w:r>
      <w:r>
        <w:rPr>
          <w:rFonts w:hint="eastAsia" w:ascii="宋体" w:hAnsi="宋体" w:cs="宋体"/>
          <w:color w:val="auto"/>
          <w:kern w:val="0"/>
          <w:szCs w:val="21"/>
          <w:u w:val="single"/>
        </w:rPr>
        <w:t>项目名称</w:t>
      </w:r>
      <w:r>
        <w:rPr>
          <w:rFonts w:hint="eastAsia" w:ascii="宋体" w:hAnsi="宋体" w:cs="宋体"/>
          <w:color w:val="auto"/>
          <w:kern w:val="0"/>
          <w:szCs w:val="21"/>
          <w:u w:val="single"/>
          <w:lang w:eastAsia="zh-CN"/>
        </w:rPr>
        <w:t>）</w:t>
      </w:r>
      <w:r>
        <w:rPr>
          <w:rFonts w:hint="eastAsia" w:ascii="宋体" w:hAnsi="宋体" w:cs="宋体"/>
          <w:color w:val="auto"/>
          <w:kern w:val="0"/>
          <w:szCs w:val="21"/>
        </w:rPr>
        <w:t>采购活动，工程的施工单位全部为符合政策要求的中小企业</w:t>
      </w:r>
      <w:r>
        <w:rPr>
          <w:rFonts w:hint="eastAsia" w:ascii="宋体" w:hAnsi="宋体" w:cs="宋体"/>
          <w:color w:val="auto"/>
          <w:kern w:val="0"/>
          <w:szCs w:val="21"/>
          <w:lang w:eastAsia="zh-CN"/>
        </w:rPr>
        <w:t>（</w:t>
      </w:r>
      <w:r>
        <w:rPr>
          <w:rFonts w:hint="eastAsia" w:ascii="宋体" w:hAnsi="宋体" w:cs="宋体"/>
          <w:color w:val="auto"/>
          <w:kern w:val="0"/>
          <w:szCs w:val="21"/>
        </w:rPr>
        <w:t>或者：服务全部由符合政策要求的中小企业承接</w:t>
      </w:r>
      <w:r>
        <w:rPr>
          <w:rFonts w:hint="eastAsia" w:ascii="宋体" w:hAnsi="宋体" w:cs="宋体"/>
          <w:color w:val="auto"/>
          <w:kern w:val="0"/>
          <w:szCs w:val="21"/>
          <w:lang w:eastAsia="zh-CN"/>
        </w:rPr>
        <w:t>）</w:t>
      </w:r>
      <w:r>
        <w:rPr>
          <w:rFonts w:hint="eastAsia" w:ascii="宋体" w:hAnsi="宋体" w:cs="宋体"/>
          <w:color w:val="auto"/>
          <w:kern w:val="0"/>
          <w:szCs w:val="21"/>
        </w:rPr>
        <w:t>。相关企业</w:t>
      </w:r>
      <w:r>
        <w:rPr>
          <w:rFonts w:hint="eastAsia" w:ascii="宋体" w:hAnsi="宋体" w:cs="宋体"/>
          <w:color w:val="auto"/>
          <w:kern w:val="0"/>
          <w:szCs w:val="21"/>
          <w:lang w:eastAsia="zh-CN"/>
        </w:rPr>
        <w:t>（</w:t>
      </w:r>
      <w:r>
        <w:rPr>
          <w:rFonts w:hint="eastAsia" w:ascii="宋体" w:hAnsi="宋体" w:cs="宋体"/>
          <w:color w:val="auto"/>
          <w:kern w:val="0"/>
          <w:szCs w:val="21"/>
        </w:rPr>
        <w:t>含联合体中的中小企业、签订分包意向协议的中小企业</w:t>
      </w:r>
      <w:r>
        <w:rPr>
          <w:rFonts w:hint="eastAsia" w:ascii="宋体" w:hAnsi="宋体" w:cs="宋体"/>
          <w:color w:val="auto"/>
          <w:kern w:val="0"/>
          <w:szCs w:val="21"/>
          <w:lang w:eastAsia="zh-CN"/>
        </w:rPr>
        <w:t>）</w:t>
      </w:r>
      <w:r>
        <w:rPr>
          <w:rFonts w:hint="eastAsia" w:ascii="宋体" w:hAnsi="宋体" w:cs="宋体"/>
          <w:color w:val="auto"/>
          <w:kern w:val="0"/>
          <w:szCs w:val="21"/>
        </w:rPr>
        <w:t>的具体情况如下</w:t>
      </w:r>
      <w:r>
        <w:rPr>
          <w:rFonts w:hint="eastAsia" w:ascii="宋体" w:hAnsi="宋体" w:cs="宋体"/>
          <w:color w:val="auto"/>
          <w:kern w:val="0"/>
          <w:szCs w:val="21"/>
          <w:lang w:eastAsia="zh-CN"/>
        </w:rPr>
        <w:t>：</w:t>
      </w:r>
    </w:p>
    <w:p w14:paraId="0FC8D3A7">
      <w:pPr>
        <w:widowControl/>
        <w:adjustRightInd w:val="0"/>
        <w:snapToGrid w:val="0"/>
        <w:spacing w:line="360" w:lineRule="auto"/>
        <w:ind w:firstLine="420" w:firstLineChars="200"/>
        <w:jc w:val="left"/>
        <w:rPr>
          <w:rFonts w:ascii="宋体" w:hAnsi="宋体"/>
          <w:color w:val="auto"/>
        </w:rPr>
      </w:pPr>
      <w:r>
        <w:rPr>
          <w:rFonts w:hint="eastAsia" w:ascii="宋体" w:hAnsi="宋体"/>
          <w:color w:val="auto"/>
        </w:rPr>
        <w:t>1、</w:t>
      </w:r>
      <w:r>
        <w:rPr>
          <w:rFonts w:hint="eastAsia" w:ascii="宋体" w:hAnsi="宋体"/>
          <w:color w:val="auto"/>
          <w:u w:val="single"/>
        </w:rPr>
        <w:t xml:space="preserve">   ( 标的名称</w:t>
      </w:r>
      <w:r>
        <w:rPr>
          <w:rFonts w:hint="eastAsia" w:ascii="宋体" w:hAnsi="宋体"/>
          <w:color w:val="auto"/>
          <w:u w:val="single"/>
          <w:lang w:eastAsia="zh-CN"/>
        </w:rPr>
        <w:t>）</w:t>
      </w:r>
      <w:r>
        <w:rPr>
          <w:rFonts w:hint="eastAsia" w:ascii="宋体" w:hAnsi="宋体"/>
          <w:color w:val="auto"/>
        </w:rPr>
        <w:t>，属于</w:t>
      </w:r>
      <w:r>
        <w:rPr>
          <w:rFonts w:hint="eastAsia" w:ascii="宋体" w:hAnsi="宋体"/>
          <w:color w:val="auto"/>
          <w:u w:val="single"/>
        </w:rPr>
        <w:t xml:space="preserve">      </w:t>
      </w:r>
      <w:r>
        <w:rPr>
          <w:rFonts w:hint="eastAsia" w:ascii="宋体" w:hAnsi="宋体"/>
          <w:color w:val="auto"/>
          <w:u w:val="single"/>
          <w:lang w:eastAsia="zh-CN"/>
        </w:rPr>
        <w:t>（</w:t>
      </w:r>
      <w:r>
        <w:rPr>
          <w:rFonts w:hint="eastAsia" w:ascii="宋体" w:hAnsi="宋体"/>
          <w:color w:val="auto"/>
          <w:u w:val="single"/>
        </w:rPr>
        <w:t>采购文件中明确的所属行业</w:t>
      </w:r>
      <w:r>
        <w:rPr>
          <w:rFonts w:hint="eastAsia" w:ascii="宋体" w:hAnsi="宋体"/>
          <w:color w:val="auto"/>
          <w:u w:val="single"/>
          <w:lang w:eastAsia="zh-CN"/>
        </w:rPr>
        <w:t>）</w:t>
      </w:r>
      <w:r>
        <w:rPr>
          <w:rFonts w:hint="eastAsia" w:ascii="宋体" w:hAnsi="宋体"/>
          <w:color w:val="auto"/>
          <w:u w:val="single"/>
        </w:rPr>
        <w:t xml:space="preserve"> </w:t>
      </w:r>
      <w:r>
        <w:rPr>
          <w:rFonts w:hint="eastAsia" w:ascii="宋体" w:hAnsi="宋体"/>
          <w:color w:val="auto"/>
        </w:rPr>
        <w:t xml:space="preserve"> 行业：承建</w:t>
      </w:r>
      <w:r>
        <w:rPr>
          <w:rFonts w:hint="eastAsia" w:ascii="宋体" w:hAnsi="宋体"/>
          <w:color w:val="auto"/>
          <w:lang w:eastAsia="zh-CN"/>
        </w:rPr>
        <w:t>（</w:t>
      </w:r>
      <w:r>
        <w:rPr>
          <w:rFonts w:hint="eastAsia" w:ascii="宋体" w:hAnsi="宋体"/>
          <w:color w:val="auto"/>
        </w:rPr>
        <w:t>承接</w:t>
      </w:r>
      <w:r>
        <w:rPr>
          <w:rFonts w:hint="eastAsia" w:ascii="宋体" w:hAnsi="宋体"/>
          <w:color w:val="auto"/>
          <w:lang w:eastAsia="zh-CN"/>
        </w:rPr>
        <w:t>）</w:t>
      </w:r>
      <w:r>
        <w:rPr>
          <w:rFonts w:hint="eastAsia" w:ascii="宋体" w:hAnsi="宋体"/>
          <w:color w:val="auto"/>
        </w:rPr>
        <w:t>为</w:t>
      </w:r>
      <w:r>
        <w:rPr>
          <w:rFonts w:hint="eastAsia" w:ascii="宋体" w:hAnsi="宋体"/>
          <w:color w:val="auto"/>
          <w:u w:val="single"/>
        </w:rPr>
        <w:t xml:space="preserve">    </w:t>
      </w:r>
      <w:r>
        <w:rPr>
          <w:rFonts w:hint="eastAsia" w:ascii="宋体" w:hAnsi="宋体"/>
          <w:color w:val="auto"/>
          <w:u w:val="single"/>
          <w:lang w:eastAsia="zh-CN"/>
        </w:rPr>
        <w:t>（</w:t>
      </w:r>
      <w:r>
        <w:rPr>
          <w:rFonts w:hint="eastAsia" w:ascii="宋体" w:hAnsi="宋体"/>
          <w:color w:val="auto"/>
          <w:u w:val="single"/>
        </w:rPr>
        <w:t>企业名称</w:t>
      </w:r>
      <w:r>
        <w:rPr>
          <w:rFonts w:hint="eastAsia" w:ascii="宋体" w:hAnsi="宋体"/>
          <w:color w:val="auto"/>
          <w:u w:val="single"/>
          <w:lang w:eastAsia="zh-CN"/>
        </w:rPr>
        <w:t>）</w:t>
      </w:r>
      <w:r>
        <w:rPr>
          <w:rFonts w:hint="eastAsia" w:ascii="宋体" w:hAnsi="宋体"/>
          <w:color w:val="auto"/>
        </w:rPr>
        <w:t>，从业人员</w:t>
      </w:r>
      <w:r>
        <w:rPr>
          <w:rFonts w:hint="eastAsia" w:ascii="宋体" w:hAnsi="宋体"/>
          <w:color w:val="auto"/>
          <w:u w:val="single"/>
        </w:rPr>
        <w:t xml:space="preserve">  </w:t>
      </w:r>
      <w:r>
        <w:rPr>
          <w:rFonts w:hint="eastAsia" w:ascii="宋体" w:hAnsi="宋体"/>
          <w:color w:val="auto"/>
        </w:rPr>
        <w:t>人，营业收入为</w:t>
      </w:r>
      <w:r>
        <w:rPr>
          <w:rFonts w:hint="eastAsia" w:ascii="宋体" w:hAnsi="宋体"/>
          <w:color w:val="auto"/>
          <w:u w:val="single"/>
        </w:rPr>
        <w:t xml:space="preserve">    </w:t>
      </w:r>
      <w:r>
        <w:rPr>
          <w:rFonts w:hint="eastAsia" w:ascii="宋体" w:hAnsi="宋体"/>
          <w:color w:val="auto"/>
        </w:rPr>
        <w:t>万元，资产总额为</w:t>
      </w:r>
      <w:r>
        <w:rPr>
          <w:rFonts w:hint="eastAsia" w:ascii="宋体" w:hAnsi="宋体"/>
          <w:color w:val="auto"/>
          <w:u w:val="single"/>
        </w:rPr>
        <w:t xml:space="preserve">    </w:t>
      </w:r>
      <w:r>
        <w:rPr>
          <w:rFonts w:hint="eastAsia" w:ascii="宋体" w:hAnsi="宋体"/>
          <w:color w:val="auto"/>
        </w:rPr>
        <w:t>万元</w:t>
      </w:r>
      <w:r>
        <w:rPr>
          <w:rFonts w:hint="eastAsia" w:ascii="宋体" w:hAnsi="宋体"/>
          <w:b/>
          <w:color w:val="auto"/>
          <w:vertAlign w:val="superscript"/>
        </w:rPr>
        <w:t>[1]</w:t>
      </w:r>
      <w:r>
        <w:rPr>
          <w:rFonts w:hint="eastAsia" w:ascii="宋体" w:hAnsi="宋体"/>
          <w:color w:val="auto"/>
        </w:rPr>
        <w:t>，属于</w:t>
      </w:r>
      <w:r>
        <w:rPr>
          <w:rFonts w:hint="eastAsia" w:ascii="宋体" w:hAnsi="宋体"/>
          <w:color w:val="auto"/>
          <w:u w:val="single"/>
        </w:rPr>
        <w:t xml:space="preserve">   </w:t>
      </w:r>
      <w:r>
        <w:rPr>
          <w:rFonts w:hint="eastAsia" w:ascii="宋体" w:hAnsi="宋体"/>
          <w:color w:val="auto"/>
          <w:u w:val="single"/>
          <w:lang w:eastAsia="zh-CN"/>
        </w:rPr>
        <w:t>（</w:t>
      </w:r>
      <w:r>
        <w:rPr>
          <w:rFonts w:hint="eastAsia" w:ascii="宋体" w:hAnsi="宋体"/>
          <w:color w:val="auto"/>
          <w:u w:val="single"/>
        </w:rPr>
        <w:t>中型企业、小型企业，微型企业</w:t>
      </w:r>
      <w:r>
        <w:rPr>
          <w:rFonts w:hint="eastAsia" w:ascii="宋体" w:hAnsi="宋体"/>
          <w:color w:val="auto"/>
          <w:u w:val="single"/>
          <w:lang w:eastAsia="zh-CN"/>
        </w:rPr>
        <w:t>）</w:t>
      </w:r>
      <w:r>
        <w:rPr>
          <w:rFonts w:hint="eastAsia" w:ascii="宋体" w:hAnsi="宋体"/>
          <w:color w:val="auto"/>
        </w:rPr>
        <w:t xml:space="preserve"> 。</w:t>
      </w:r>
    </w:p>
    <w:p w14:paraId="09C35F97">
      <w:pPr>
        <w:widowControl/>
        <w:adjustRightInd w:val="0"/>
        <w:snapToGrid w:val="0"/>
        <w:spacing w:line="360" w:lineRule="auto"/>
        <w:ind w:firstLine="420" w:firstLineChars="200"/>
        <w:jc w:val="left"/>
        <w:rPr>
          <w:rFonts w:ascii="宋体" w:hAnsi="宋体"/>
          <w:color w:val="auto"/>
        </w:rPr>
      </w:pPr>
      <w:r>
        <w:rPr>
          <w:rFonts w:hint="eastAsia" w:ascii="宋体" w:hAnsi="宋体"/>
          <w:color w:val="auto"/>
        </w:rPr>
        <w:t>2、</w:t>
      </w:r>
      <w:r>
        <w:rPr>
          <w:rFonts w:hint="eastAsia" w:ascii="宋体" w:hAnsi="宋体"/>
          <w:color w:val="auto"/>
          <w:u w:val="single"/>
        </w:rPr>
        <w:t xml:space="preserve">   ( 标的名称</w:t>
      </w:r>
      <w:r>
        <w:rPr>
          <w:rFonts w:hint="eastAsia" w:ascii="宋体" w:hAnsi="宋体"/>
          <w:color w:val="auto"/>
          <w:u w:val="single"/>
          <w:lang w:eastAsia="zh-CN"/>
        </w:rPr>
        <w:t>）</w:t>
      </w:r>
      <w:r>
        <w:rPr>
          <w:rFonts w:hint="eastAsia" w:ascii="宋体" w:hAnsi="宋体"/>
          <w:color w:val="auto"/>
        </w:rPr>
        <w:t>，属于</w:t>
      </w:r>
      <w:r>
        <w:rPr>
          <w:rFonts w:hint="eastAsia" w:ascii="宋体" w:hAnsi="宋体"/>
          <w:color w:val="auto"/>
          <w:u w:val="single"/>
        </w:rPr>
        <w:t xml:space="preserve">   </w:t>
      </w:r>
      <w:r>
        <w:rPr>
          <w:rFonts w:hint="eastAsia" w:ascii="宋体" w:hAnsi="宋体"/>
          <w:color w:val="auto"/>
          <w:u w:val="single"/>
          <w:lang w:eastAsia="zh-CN"/>
        </w:rPr>
        <w:t>（</w:t>
      </w:r>
      <w:r>
        <w:rPr>
          <w:rFonts w:hint="eastAsia" w:ascii="宋体" w:hAnsi="宋体"/>
          <w:color w:val="auto"/>
          <w:u w:val="single"/>
        </w:rPr>
        <w:t>采购文件中明确的所属行业</w:t>
      </w:r>
      <w:r>
        <w:rPr>
          <w:rFonts w:hint="eastAsia" w:ascii="宋体" w:hAnsi="宋体"/>
          <w:color w:val="auto"/>
          <w:u w:val="single"/>
          <w:lang w:eastAsia="zh-CN"/>
        </w:rPr>
        <w:t>）</w:t>
      </w:r>
      <w:r>
        <w:rPr>
          <w:rFonts w:hint="eastAsia" w:ascii="宋体" w:hAnsi="宋体"/>
          <w:color w:val="auto"/>
        </w:rPr>
        <w:t xml:space="preserve"> 行业：承建</w:t>
      </w:r>
      <w:r>
        <w:rPr>
          <w:rFonts w:hint="eastAsia" w:ascii="宋体" w:hAnsi="宋体"/>
          <w:color w:val="auto"/>
          <w:lang w:eastAsia="zh-CN"/>
        </w:rPr>
        <w:t>（</w:t>
      </w:r>
      <w:r>
        <w:rPr>
          <w:rFonts w:hint="eastAsia" w:ascii="宋体" w:hAnsi="宋体"/>
          <w:color w:val="auto"/>
        </w:rPr>
        <w:t>承接</w:t>
      </w:r>
      <w:r>
        <w:rPr>
          <w:rFonts w:hint="eastAsia" w:ascii="宋体" w:hAnsi="宋体"/>
          <w:color w:val="auto"/>
          <w:lang w:eastAsia="zh-CN"/>
        </w:rPr>
        <w:t>）</w:t>
      </w:r>
      <w:r>
        <w:rPr>
          <w:rFonts w:hint="eastAsia" w:ascii="宋体" w:hAnsi="宋体"/>
          <w:color w:val="auto"/>
        </w:rPr>
        <w:t>为</w:t>
      </w:r>
      <w:r>
        <w:rPr>
          <w:rFonts w:hint="eastAsia" w:ascii="宋体" w:hAnsi="宋体"/>
          <w:color w:val="auto"/>
          <w:u w:val="single"/>
        </w:rPr>
        <w:t xml:space="preserve">    </w:t>
      </w:r>
      <w:r>
        <w:rPr>
          <w:rFonts w:hint="eastAsia" w:ascii="宋体" w:hAnsi="宋体"/>
          <w:color w:val="auto"/>
          <w:u w:val="single"/>
          <w:lang w:eastAsia="zh-CN"/>
        </w:rPr>
        <w:t>（</w:t>
      </w:r>
      <w:r>
        <w:rPr>
          <w:rFonts w:hint="eastAsia" w:ascii="宋体" w:hAnsi="宋体"/>
          <w:color w:val="auto"/>
          <w:u w:val="single"/>
        </w:rPr>
        <w:t>企业名称</w:t>
      </w:r>
      <w:r>
        <w:rPr>
          <w:rFonts w:hint="eastAsia" w:ascii="宋体" w:hAnsi="宋体"/>
          <w:color w:val="auto"/>
          <w:u w:val="single"/>
          <w:lang w:eastAsia="zh-CN"/>
        </w:rPr>
        <w:t>）</w:t>
      </w:r>
      <w:r>
        <w:rPr>
          <w:rFonts w:hint="eastAsia" w:ascii="宋体" w:hAnsi="宋体"/>
          <w:color w:val="auto"/>
        </w:rPr>
        <w:t>，从业人员</w:t>
      </w:r>
      <w:r>
        <w:rPr>
          <w:rFonts w:hint="eastAsia" w:ascii="宋体" w:hAnsi="宋体"/>
          <w:color w:val="auto"/>
          <w:u w:val="single"/>
        </w:rPr>
        <w:t xml:space="preserve">  </w:t>
      </w:r>
      <w:r>
        <w:rPr>
          <w:rFonts w:hint="eastAsia" w:ascii="宋体" w:hAnsi="宋体"/>
          <w:color w:val="auto"/>
        </w:rPr>
        <w:t>人，营业收入为</w:t>
      </w:r>
      <w:r>
        <w:rPr>
          <w:rFonts w:hint="eastAsia" w:ascii="宋体" w:hAnsi="宋体"/>
          <w:color w:val="auto"/>
          <w:u w:val="single"/>
        </w:rPr>
        <w:t xml:space="preserve">    </w:t>
      </w:r>
      <w:r>
        <w:rPr>
          <w:rFonts w:hint="eastAsia" w:ascii="宋体" w:hAnsi="宋体"/>
          <w:color w:val="auto"/>
        </w:rPr>
        <w:t>万元，资产总额为</w:t>
      </w:r>
      <w:r>
        <w:rPr>
          <w:rFonts w:hint="eastAsia" w:ascii="宋体" w:hAnsi="宋体"/>
          <w:color w:val="auto"/>
          <w:u w:val="single"/>
        </w:rPr>
        <w:t xml:space="preserve">    </w:t>
      </w:r>
      <w:r>
        <w:rPr>
          <w:rFonts w:hint="eastAsia" w:ascii="宋体" w:hAnsi="宋体"/>
          <w:color w:val="auto"/>
        </w:rPr>
        <w:t>万元</w:t>
      </w:r>
      <w:r>
        <w:rPr>
          <w:rFonts w:hint="eastAsia" w:ascii="宋体" w:hAnsi="宋体"/>
          <w:b/>
          <w:color w:val="auto"/>
          <w:vertAlign w:val="superscript"/>
        </w:rPr>
        <w:t>[1]</w:t>
      </w:r>
      <w:r>
        <w:rPr>
          <w:rFonts w:hint="eastAsia" w:ascii="宋体" w:hAnsi="宋体"/>
          <w:color w:val="auto"/>
        </w:rPr>
        <w:t>，属于</w:t>
      </w:r>
      <w:r>
        <w:rPr>
          <w:rFonts w:hint="eastAsia" w:ascii="宋体" w:hAnsi="宋体"/>
          <w:color w:val="auto"/>
          <w:u w:val="single"/>
        </w:rPr>
        <w:t xml:space="preserve">   </w:t>
      </w:r>
      <w:r>
        <w:rPr>
          <w:rFonts w:hint="eastAsia" w:ascii="宋体" w:hAnsi="宋体"/>
          <w:color w:val="auto"/>
          <w:u w:val="single"/>
          <w:lang w:eastAsia="zh-CN"/>
        </w:rPr>
        <w:t>（</w:t>
      </w:r>
      <w:r>
        <w:rPr>
          <w:rFonts w:hint="eastAsia" w:ascii="宋体" w:hAnsi="宋体"/>
          <w:color w:val="auto"/>
          <w:u w:val="single"/>
        </w:rPr>
        <w:t>中型企业、小型企业，微型企业</w:t>
      </w:r>
      <w:r>
        <w:rPr>
          <w:rFonts w:hint="eastAsia" w:ascii="宋体" w:hAnsi="宋体"/>
          <w:color w:val="auto"/>
          <w:u w:val="single"/>
          <w:lang w:eastAsia="zh-CN"/>
        </w:rPr>
        <w:t>）</w:t>
      </w:r>
      <w:r>
        <w:rPr>
          <w:rFonts w:hint="eastAsia" w:ascii="宋体" w:hAnsi="宋体"/>
          <w:color w:val="auto"/>
        </w:rPr>
        <w:t xml:space="preserve"> 。</w:t>
      </w:r>
    </w:p>
    <w:p w14:paraId="26F04CDA">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以上企业，不属于大企业的分支机构，不存在控股股东为大企业的情形，也不存在与大企业的负责人为同一人的情形。</w:t>
      </w:r>
    </w:p>
    <w:p w14:paraId="3C99F250">
      <w:pPr>
        <w:widowControl/>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本企业对上述声明内容的真实性负责。如有虚假，将法承担相应责任。</w:t>
      </w:r>
    </w:p>
    <w:p w14:paraId="472CFBC4">
      <w:pPr>
        <w:widowControl/>
        <w:adjustRightInd w:val="0"/>
        <w:snapToGrid w:val="0"/>
        <w:spacing w:line="360" w:lineRule="auto"/>
        <w:ind w:firstLine="420" w:firstLineChars="200"/>
        <w:jc w:val="left"/>
        <w:rPr>
          <w:rFonts w:ascii="宋体" w:hAnsi="宋体" w:cs="宋体"/>
          <w:color w:val="auto"/>
          <w:kern w:val="0"/>
          <w:szCs w:val="21"/>
        </w:rPr>
      </w:pPr>
    </w:p>
    <w:p w14:paraId="51658142">
      <w:pPr>
        <w:widowControl/>
        <w:adjustRightInd w:val="0"/>
        <w:snapToGrid w:val="0"/>
        <w:spacing w:line="360" w:lineRule="auto"/>
        <w:ind w:firstLine="4830" w:firstLineChars="2300"/>
        <w:jc w:val="left"/>
        <w:rPr>
          <w:rFonts w:ascii="宋体" w:hAnsi="宋体" w:cs="宋体"/>
          <w:color w:val="auto"/>
          <w:kern w:val="0"/>
          <w:szCs w:val="21"/>
        </w:rPr>
      </w:pPr>
      <w:r>
        <w:rPr>
          <w:rFonts w:hint="eastAsia" w:ascii="宋体" w:hAnsi="宋体" w:cs="宋体"/>
          <w:color w:val="auto"/>
          <w:kern w:val="0"/>
          <w:szCs w:val="21"/>
        </w:rPr>
        <w:t>企业名称</w:t>
      </w:r>
      <w:r>
        <w:rPr>
          <w:rFonts w:hint="eastAsia" w:ascii="宋体" w:hAnsi="宋体" w:cs="宋体"/>
          <w:color w:val="auto"/>
          <w:kern w:val="0"/>
          <w:szCs w:val="21"/>
          <w:lang w:eastAsia="zh-CN"/>
        </w:rPr>
        <w:t>（</w:t>
      </w:r>
      <w:r>
        <w:rPr>
          <w:rFonts w:hint="eastAsia" w:ascii="宋体" w:hAnsi="宋体" w:cs="宋体"/>
          <w:color w:val="auto"/>
          <w:kern w:val="0"/>
          <w:szCs w:val="21"/>
        </w:rPr>
        <w:t>盖章</w:t>
      </w:r>
      <w:r>
        <w:rPr>
          <w:rFonts w:hint="eastAsia" w:ascii="宋体" w:hAnsi="宋体" w:cs="宋体"/>
          <w:color w:val="auto"/>
          <w:kern w:val="0"/>
          <w:szCs w:val="21"/>
          <w:lang w:eastAsia="zh-CN"/>
        </w:rPr>
        <w:t>）</w:t>
      </w:r>
      <w:r>
        <w:rPr>
          <w:rFonts w:hint="eastAsia" w:ascii="宋体" w:hAnsi="宋体" w:cs="宋体"/>
          <w:color w:val="auto"/>
          <w:kern w:val="0"/>
          <w:szCs w:val="21"/>
        </w:rPr>
        <w:t>：</w:t>
      </w:r>
    </w:p>
    <w:p w14:paraId="5C9467DF">
      <w:pPr>
        <w:widowControl/>
        <w:adjustRightInd w:val="0"/>
        <w:snapToGrid w:val="0"/>
        <w:spacing w:line="360" w:lineRule="auto"/>
        <w:ind w:firstLine="4830" w:firstLineChars="2300"/>
        <w:jc w:val="left"/>
        <w:rPr>
          <w:rFonts w:ascii="宋体" w:hAnsi="宋体" w:cs="宋体"/>
          <w:color w:val="auto"/>
          <w:kern w:val="0"/>
          <w:szCs w:val="21"/>
        </w:rPr>
      </w:pPr>
      <w:r>
        <w:rPr>
          <w:rFonts w:hint="eastAsia" w:ascii="宋体" w:hAnsi="宋体" w:cs="宋体"/>
          <w:color w:val="auto"/>
          <w:kern w:val="0"/>
          <w:szCs w:val="21"/>
        </w:rPr>
        <w:t>日期：</w:t>
      </w:r>
    </w:p>
    <w:p w14:paraId="0C440526">
      <w:pPr>
        <w:widowControl/>
        <w:jc w:val="left"/>
        <w:rPr>
          <w:rFonts w:ascii="黑体" w:hAnsi="华文中宋" w:cs="宋体"/>
          <w:b/>
          <w:bCs/>
          <w:color w:val="auto"/>
          <w:szCs w:val="21"/>
        </w:rPr>
      </w:pPr>
    </w:p>
    <w:p w14:paraId="1AB0FB07">
      <w:pPr>
        <w:widowControl/>
        <w:jc w:val="left"/>
        <w:rPr>
          <w:rFonts w:ascii="黑体" w:hAnsi="华文中宋" w:cs="宋体"/>
          <w:b/>
          <w:bCs/>
          <w:color w:val="auto"/>
          <w:szCs w:val="21"/>
        </w:rPr>
      </w:pPr>
    </w:p>
    <w:p w14:paraId="57E41F5A">
      <w:pPr>
        <w:widowControl/>
        <w:jc w:val="left"/>
        <w:rPr>
          <w:rFonts w:ascii="黑体" w:hAnsi="华文中宋" w:cs="宋体"/>
          <w:b/>
          <w:bCs/>
          <w:color w:val="auto"/>
          <w:szCs w:val="21"/>
        </w:rPr>
      </w:pPr>
    </w:p>
    <w:p w14:paraId="0487C866">
      <w:pPr>
        <w:widowControl/>
        <w:jc w:val="left"/>
        <w:rPr>
          <w:rFonts w:ascii="黑体" w:hAnsi="华文中宋" w:cs="宋体"/>
          <w:b/>
          <w:bCs/>
          <w:color w:val="auto"/>
          <w:szCs w:val="21"/>
        </w:rPr>
      </w:pPr>
    </w:p>
    <w:p w14:paraId="375EE19F">
      <w:pPr>
        <w:widowControl/>
        <w:jc w:val="left"/>
        <w:rPr>
          <w:rFonts w:ascii="黑体" w:hAnsi="华文中宋" w:cs="宋体"/>
          <w:b/>
          <w:bCs/>
          <w:color w:val="auto"/>
          <w:szCs w:val="21"/>
        </w:rPr>
      </w:pPr>
    </w:p>
    <w:p w14:paraId="6BCCA1F0">
      <w:pPr>
        <w:widowControl/>
        <w:jc w:val="left"/>
        <w:rPr>
          <w:rFonts w:ascii="黑体" w:hAnsi="华文中宋" w:cs="宋体"/>
          <w:b/>
          <w:bCs/>
          <w:color w:val="auto"/>
          <w:szCs w:val="21"/>
        </w:rPr>
      </w:pPr>
    </w:p>
    <w:p w14:paraId="6B1DCFD4">
      <w:pPr>
        <w:pStyle w:val="2"/>
        <w:rPr>
          <w:color w:val="auto"/>
        </w:rPr>
      </w:pPr>
    </w:p>
    <w:p w14:paraId="4FF124FB">
      <w:pPr>
        <w:widowControl/>
        <w:jc w:val="left"/>
        <w:rPr>
          <w:rFonts w:ascii="黑体" w:hAnsi="华文中宋" w:cs="宋体"/>
          <w:b/>
          <w:bCs/>
          <w:color w:val="auto"/>
          <w:szCs w:val="21"/>
        </w:rPr>
      </w:pPr>
    </w:p>
    <w:p w14:paraId="00C0B545">
      <w:pPr>
        <w:widowControl/>
        <w:jc w:val="left"/>
        <w:rPr>
          <w:rFonts w:ascii="黑体" w:hAnsi="华文中宋" w:cs="宋体"/>
          <w:b/>
          <w:bCs/>
          <w:color w:val="auto"/>
          <w:szCs w:val="21"/>
        </w:rPr>
      </w:pPr>
    </w:p>
    <w:p w14:paraId="0D31680C">
      <w:pPr>
        <w:widowControl/>
        <w:jc w:val="left"/>
        <w:rPr>
          <w:rFonts w:ascii="黑体" w:hAnsi="宋体"/>
          <w:b/>
          <w:color w:val="auto"/>
          <w:szCs w:val="21"/>
        </w:rPr>
      </w:pPr>
      <w:r>
        <w:rPr>
          <w:rFonts w:hint="eastAsia" w:ascii="黑体" w:hAnsi="华文中宋" w:cs="宋体"/>
          <w:b/>
          <w:bCs/>
          <w:color w:val="auto"/>
          <w:szCs w:val="21"/>
        </w:rPr>
        <w:t>附页 1</w:t>
      </w:r>
      <w:r>
        <w:rPr>
          <w:rFonts w:hint="eastAsia" w:ascii="黑体" w:hAnsi="宋体"/>
          <w:b/>
          <w:color w:val="auto"/>
          <w:szCs w:val="21"/>
        </w:rPr>
        <w:t>价格评审优惠货物清单</w:t>
      </w:r>
    </w:p>
    <w:p w14:paraId="462E9DC9">
      <w:pPr>
        <w:adjustRightInd w:val="0"/>
        <w:snapToGrid w:val="0"/>
        <w:spacing w:before="50" w:line="360" w:lineRule="auto"/>
        <w:jc w:val="center"/>
        <w:rPr>
          <w:rFonts w:hint="eastAsia" w:ascii="宋体" w:hAnsi="宋体" w:eastAsia="黑体"/>
          <w:color w:val="auto"/>
          <w:szCs w:val="21"/>
          <w:lang w:eastAsia="zh-CN"/>
        </w:rPr>
      </w:pPr>
      <w:r>
        <w:rPr>
          <w:rFonts w:hint="eastAsia" w:ascii="黑体" w:hAnsi="宋体" w:eastAsia="黑体"/>
          <w:b/>
          <w:color w:val="auto"/>
          <w:sz w:val="28"/>
          <w:szCs w:val="28"/>
        </w:rPr>
        <w:t>价格评审优惠货物清单</w:t>
      </w:r>
      <w:r>
        <w:rPr>
          <w:rFonts w:hint="eastAsia" w:ascii="黑体" w:hAnsi="宋体" w:eastAsia="黑体"/>
          <w:b/>
          <w:color w:val="auto"/>
          <w:sz w:val="28"/>
          <w:szCs w:val="28"/>
          <w:lang w:eastAsia="zh-CN"/>
        </w:rPr>
        <w:t>（</w:t>
      </w:r>
      <w:r>
        <w:rPr>
          <w:rFonts w:hint="eastAsia" w:ascii="黑体" w:hAnsi="宋体" w:eastAsia="黑体"/>
          <w:b/>
          <w:color w:val="auto"/>
          <w:sz w:val="28"/>
          <w:szCs w:val="28"/>
          <w:lang w:val="en-US" w:eastAsia="zh-CN"/>
        </w:rPr>
        <w:t>本项目不适用</w:t>
      </w:r>
      <w:r>
        <w:rPr>
          <w:rFonts w:hint="eastAsia" w:ascii="黑体" w:hAnsi="宋体" w:eastAsia="黑体"/>
          <w:b/>
          <w:color w:val="auto"/>
          <w:sz w:val="28"/>
          <w:szCs w:val="28"/>
          <w:lang w:eastAsia="zh-CN"/>
        </w:rPr>
        <w:t>）</w:t>
      </w:r>
    </w:p>
    <w:p w14:paraId="593F5041">
      <w:pPr>
        <w:adjustRightInd w:val="0"/>
        <w:snapToGrid w:val="0"/>
        <w:spacing w:before="50" w:line="360" w:lineRule="auto"/>
        <w:rPr>
          <w:rFonts w:ascii="宋体" w:hAnsi="宋体"/>
          <w:color w:val="auto"/>
          <w:szCs w:val="21"/>
          <w:u w:val="single"/>
        </w:rPr>
      </w:pPr>
      <w:r>
        <w:rPr>
          <w:rFonts w:hint="eastAsia" w:ascii="宋体" w:hAnsi="宋体"/>
          <w:color w:val="auto"/>
          <w:szCs w:val="21"/>
        </w:rPr>
        <w:t>代理机构编号：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3C08BFBE">
      <w:pPr>
        <w:adjustRightInd w:val="0"/>
        <w:snapToGrid w:val="0"/>
        <w:spacing w:before="50" w:line="360" w:lineRule="auto"/>
        <w:rPr>
          <w:rFonts w:ascii="宋体" w:hAnsi="宋体"/>
          <w:color w:val="auto"/>
          <w:szCs w:val="21"/>
        </w:rPr>
      </w:pPr>
    </w:p>
    <w:tbl>
      <w:tblPr>
        <w:tblStyle w:val="1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5123CF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7E8DFF3A">
            <w:pPr>
              <w:widowControl/>
              <w:adjustRightInd w:val="0"/>
              <w:snapToGrid w:val="0"/>
              <w:spacing w:line="360" w:lineRule="auto"/>
              <w:ind w:firstLine="480" w:firstLineChars="200"/>
              <w:jc w:val="left"/>
              <w:rPr>
                <w:rFonts w:ascii="黑体" w:hAnsi="宋体" w:eastAsia="黑体"/>
                <w:color w:val="auto"/>
                <w:kern w:val="0"/>
                <w:sz w:val="24"/>
              </w:rPr>
            </w:pPr>
            <w:r>
              <w:rPr>
                <w:rFonts w:hint="eastAsia" w:ascii="黑体" w:hAnsi="宋体" w:eastAsia="黑体"/>
                <w:color w:val="auto"/>
                <w:kern w:val="0"/>
                <w:sz w:val="24"/>
              </w:rPr>
              <w:t>以下为供应商提供的享受价格评审优惠的货物，供应商对本表的真实性负责。如有虚假，将依法承担相应责任。</w:t>
            </w:r>
          </w:p>
        </w:tc>
      </w:tr>
      <w:tr w14:paraId="41C213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39819757">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134" w:type="dxa"/>
            <w:vAlign w:val="center"/>
          </w:tcPr>
          <w:p w14:paraId="05BE9C2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34" w:type="dxa"/>
            <w:tcBorders>
              <w:right w:val="single" w:color="auto" w:sz="4" w:space="0"/>
            </w:tcBorders>
            <w:vAlign w:val="center"/>
          </w:tcPr>
          <w:p w14:paraId="788D0AED">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134" w:type="dxa"/>
            <w:tcBorders>
              <w:left w:val="single" w:color="auto" w:sz="4" w:space="0"/>
            </w:tcBorders>
            <w:vAlign w:val="center"/>
          </w:tcPr>
          <w:p w14:paraId="482DFF9F">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701" w:type="dxa"/>
            <w:vAlign w:val="center"/>
          </w:tcPr>
          <w:p w14:paraId="7248255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43" w:type="dxa"/>
            <w:vAlign w:val="center"/>
          </w:tcPr>
          <w:p w14:paraId="71CD6D5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c>
          <w:tcPr>
            <w:tcW w:w="1134" w:type="dxa"/>
            <w:vAlign w:val="center"/>
          </w:tcPr>
          <w:p w14:paraId="41EDCFF1">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7</w:t>
            </w:r>
          </w:p>
        </w:tc>
      </w:tr>
      <w:tr w14:paraId="027311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3517E91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134" w:type="dxa"/>
            <w:vAlign w:val="center"/>
          </w:tcPr>
          <w:p w14:paraId="54903B1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34" w:type="dxa"/>
            <w:tcBorders>
              <w:right w:val="single" w:color="auto" w:sz="4" w:space="0"/>
            </w:tcBorders>
            <w:vAlign w:val="center"/>
          </w:tcPr>
          <w:p w14:paraId="263EE74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134" w:type="dxa"/>
            <w:tcBorders>
              <w:left w:val="single" w:color="auto" w:sz="4" w:space="0"/>
            </w:tcBorders>
            <w:vAlign w:val="center"/>
          </w:tcPr>
          <w:p w14:paraId="1FF912E2">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701" w:type="dxa"/>
            <w:vAlign w:val="center"/>
          </w:tcPr>
          <w:p w14:paraId="40C0D5B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43" w:type="dxa"/>
            <w:vAlign w:val="center"/>
          </w:tcPr>
          <w:p w14:paraId="1B789AA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货物制造商类型</w:t>
            </w:r>
          </w:p>
        </w:tc>
        <w:tc>
          <w:tcPr>
            <w:tcW w:w="1134" w:type="dxa"/>
            <w:vAlign w:val="center"/>
          </w:tcPr>
          <w:p w14:paraId="1B0DC6F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商标名称</w:t>
            </w:r>
          </w:p>
        </w:tc>
      </w:tr>
      <w:tr w14:paraId="46B2C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89BEB1C">
            <w:pPr>
              <w:adjustRightInd w:val="0"/>
              <w:snapToGrid w:val="0"/>
              <w:spacing w:line="360" w:lineRule="auto"/>
              <w:jc w:val="center"/>
              <w:rPr>
                <w:rFonts w:ascii="宋体" w:hAnsi="宋体"/>
                <w:color w:val="auto"/>
                <w:szCs w:val="21"/>
              </w:rPr>
            </w:pPr>
          </w:p>
        </w:tc>
        <w:tc>
          <w:tcPr>
            <w:tcW w:w="1134" w:type="dxa"/>
            <w:vAlign w:val="center"/>
          </w:tcPr>
          <w:p w14:paraId="4A45AA24">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6CAB34D3">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73835050">
            <w:pPr>
              <w:adjustRightInd w:val="0"/>
              <w:snapToGrid w:val="0"/>
              <w:spacing w:line="360" w:lineRule="auto"/>
              <w:jc w:val="center"/>
              <w:rPr>
                <w:rFonts w:ascii="宋体" w:hAnsi="宋体"/>
                <w:color w:val="auto"/>
                <w:szCs w:val="21"/>
              </w:rPr>
            </w:pPr>
          </w:p>
        </w:tc>
        <w:tc>
          <w:tcPr>
            <w:tcW w:w="1701" w:type="dxa"/>
            <w:vAlign w:val="center"/>
          </w:tcPr>
          <w:p w14:paraId="2DD8D79B">
            <w:pPr>
              <w:adjustRightInd w:val="0"/>
              <w:snapToGrid w:val="0"/>
              <w:spacing w:line="360" w:lineRule="auto"/>
              <w:jc w:val="center"/>
              <w:rPr>
                <w:rFonts w:ascii="宋体" w:hAnsi="宋体"/>
                <w:color w:val="auto"/>
                <w:szCs w:val="21"/>
              </w:rPr>
            </w:pPr>
          </w:p>
        </w:tc>
        <w:tc>
          <w:tcPr>
            <w:tcW w:w="1843" w:type="dxa"/>
          </w:tcPr>
          <w:p w14:paraId="63797A7B">
            <w:pPr>
              <w:adjustRightInd w:val="0"/>
              <w:snapToGrid w:val="0"/>
              <w:spacing w:line="360" w:lineRule="auto"/>
              <w:jc w:val="center"/>
              <w:rPr>
                <w:rFonts w:ascii="宋体" w:hAnsi="宋体"/>
                <w:color w:val="auto"/>
                <w:szCs w:val="21"/>
              </w:rPr>
            </w:pPr>
          </w:p>
        </w:tc>
        <w:tc>
          <w:tcPr>
            <w:tcW w:w="1134" w:type="dxa"/>
            <w:vAlign w:val="center"/>
          </w:tcPr>
          <w:p w14:paraId="18DBAA93">
            <w:pPr>
              <w:adjustRightInd w:val="0"/>
              <w:snapToGrid w:val="0"/>
              <w:spacing w:line="360" w:lineRule="auto"/>
              <w:jc w:val="center"/>
              <w:rPr>
                <w:rFonts w:ascii="宋体" w:hAnsi="宋体"/>
                <w:color w:val="auto"/>
                <w:szCs w:val="21"/>
              </w:rPr>
            </w:pPr>
          </w:p>
        </w:tc>
      </w:tr>
      <w:tr w14:paraId="774F07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C2BFDBD">
            <w:pPr>
              <w:adjustRightInd w:val="0"/>
              <w:snapToGrid w:val="0"/>
              <w:spacing w:line="360" w:lineRule="auto"/>
              <w:jc w:val="center"/>
              <w:rPr>
                <w:rFonts w:ascii="宋体" w:hAnsi="宋体"/>
                <w:color w:val="auto"/>
                <w:szCs w:val="21"/>
              </w:rPr>
            </w:pPr>
          </w:p>
        </w:tc>
        <w:tc>
          <w:tcPr>
            <w:tcW w:w="1134" w:type="dxa"/>
            <w:vAlign w:val="center"/>
          </w:tcPr>
          <w:p w14:paraId="3BD36F55">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2178BEFA">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04F4CF20">
            <w:pPr>
              <w:adjustRightInd w:val="0"/>
              <w:snapToGrid w:val="0"/>
              <w:spacing w:line="360" w:lineRule="auto"/>
              <w:jc w:val="center"/>
              <w:rPr>
                <w:rFonts w:ascii="宋体" w:hAnsi="宋体"/>
                <w:color w:val="auto"/>
                <w:szCs w:val="21"/>
              </w:rPr>
            </w:pPr>
          </w:p>
        </w:tc>
        <w:tc>
          <w:tcPr>
            <w:tcW w:w="1701" w:type="dxa"/>
            <w:vAlign w:val="center"/>
          </w:tcPr>
          <w:p w14:paraId="70701F7C">
            <w:pPr>
              <w:adjustRightInd w:val="0"/>
              <w:snapToGrid w:val="0"/>
              <w:spacing w:line="360" w:lineRule="auto"/>
              <w:jc w:val="center"/>
              <w:rPr>
                <w:rFonts w:ascii="宋体" w:hAnsi="宋体"/>
                <w:color w:val="auto"/>
                <w:szCs w:val="21"/>
              </w:rPr>
            </w:pPr>
          </w:p>
        </w:tc>
        <w:tc>
          <w:tcPr>
            <w:tcW w:w="1843" w:type="dxa"/>
          </w:tcPr>
          <w:p w14:paraId="70909C1F">
            <w:pPr>
              <w:adjustRightInd w:val="0"/>
              <w:snapToGrid w:val="0"/>
              <w:spacing w:line="360" w:lineRule="auto"/>
              <w:jc w:val="center"/>
              <w:rPr>
                <w:rFonts w:ascii="宋体" w:hAnsi="宋体"/>
                <w:color w:val="auto"/>
                <w:szCs w:val="21"/>
              </w:rPr>
            </w:pPr>
          </w:p>
        </w:tc>
        <w:tc>
          <w:tcPr>
            <w:tcW w:w="1134" w:type="dxa"/>
            <w:vAlign w:val="center"/>
          </w:tcPr>
          <w:p w14:paraId="0F383F6F">
            <w:pPr>
              <w:adjustRightInd w:val="0"/>
              <w:snapToGrid w:val="0"/>
              <w:spacing w:line="360" w:lineRule="auto"/>
              <w:jc w:val="center"/>
              <w:rPr>
                <w:rFonts w:ascii="宋体" w:hAnsi="宋体"/>
                <w:color w:val="auto"/>
                <w:szCs w:val="21"/>
              </w:rPr>
            </w:pPr>
          </w:p>
        </w:tc>
      </w:tr>
      <w:tr w14:paraId="58369D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EDF0F8A">
            <w:pPr>
              <w:adjustRightInd w:val="0"/>
              <w:snapToGrid w:val="0"/>
              <w:spacing w:line="360" w:lineRule="auto"/>
              <w:jc w:val="center"/>
              <w:rPr>
                <w:rFonts w:ascii="宋体" w:hAnsi="宋体"/>
                <w:color w:val="auto"/>
                <w:szCs w:val="21"/>
              </w:rPr>
            </w:pPr>
          </w:p>
        </w:tc>
        <w:tc>
          <w:tcPr>
            <w:tcW w:w="1134" w:type="dxa"/>
            <w:vAlign w:val="center"/>
          </w:tcPr>
          <w:p w14:paraId="22259DE0">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6DC41620">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5ED7483F">
            <w:pPr>
              <w:adjustRightInd w:val="0"/>
              <w:snapToGrid w:val="0"/>
              <w:spacing w:line="360" w:lineRule="auto"/>
              <w:jc w:val="center"/>
              <w:rPr>
                <w:rFonts w:ascii="宋体" w:hAnsi="宋体"/>
                <w:color w:val="auto"/>
                <w:szCs w:val="21"/>
              </w:rPr>
            </w:pPr>
          </w:p>
        </w:tc>
        <w:tc>
          <w:tcPr>
            <w:tcW w:w="1701" w:type="dxa"/>
            <w:vAlign w:val="center"/>
          </w:tcPr>
          <w:p w14:paraId="576AD7E4">
            <w:pPr>
              <w:adjustRightInd w:val="0"/>
              <w:snapToGrid w:val="0"/>
              <w:spacing w:line="360" w:lineRule="auto"/>
              <w:jc w:val="center"/>
              <w:rPr>
                <w:rFonts w:ascii="宋体" w:hAnsi="宋体"/>
                <w:color w:val="auto"/>
                <w:szCs w:val="21"/>
              </w:rPr>
            </w:pPr>
          </w:p>
        </w:tc>
        <w:tc>
          <w:tcPr>
            <w:tcW w:w="1843" w:type="dxa"/>
          </w:tcPr>
          <w:p w14:paraId="5D80CDBD">
            <w:pPr>
              <w:adjustRightInd w:val="0"/>
              <w:snapToGrid w:val="0"/>
              <w:spacing w:line="360" w:lineRule="auto"/>
              <w:jc w:val="center"/>
              <w:rPr>
                <w:rFonts w:ascii="宋体" w:hAnsi="宋体"/>
                <w:color w:val="auto"/>
                <w:szCs w:val="21"/>
              </w:rPr>
            </w:pPr>
          </w:p>
        </w:tc>
        <w:tc>
          <w:tcPr>
            <w:tcW w:w="1134" w:type="dxa"/>
            <w:vAlign w:val="center"/>
          </w:tcPr>
          <w:p w14:paraId="074A9581">
            <w:pPr>
              <w:adjustRightInd w:val="0"/>
              <w:snapToGrid w:val="0"/>
              <w:spacing w:line="360" w:lineRule="auto"/>
              <w:jc w:val="center"/>
              <w:rPr>
                <w:rFonts w:ascii="宋体" w:hAnsi="宋体"/>
                <w:color w:val="auto"/>
                <w:szCs w:val="21"/>
              </w:rPr>
            </w:pPr>
          </w:p>
        </w:tc>
      </w:tr>
      <w:tr w14:paraId="63E1F4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5628F3B">
            <w:pPr>
              <w:adjustRightInd w:val="0"/>
              <w:snapToGrid w:val="0"/>
              <w:spacing w:line="360" w:lineRule="auto"/>
              <w:jc w:val="center"/>
              <w:rPr>
                <w:rFonts w:ascii="宋体" w:hAnsi="宋体"/>
                <w:color w:val="auto"/>
                <w:szCs w:val="21"/>
              </w:rPr>
            </w:pPr>
          </w:p>
        </w:tc>
        <w:tc>
          <w:tcPr>
            <w:tcW w:w="1134" w:type="dxa"/>
            <w:vAlign w:val="center"/>
          </w:tcPr>
          <w:p w14:paraId="746392EC">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7EF39793">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4601C17D">
            <w:pPr>
              <w:adjustRightInd w:val="0"/>
              <w:snapToGrid w:val="0"/>
              <w:spacing w:line="360" w:lineRule="auto"/>
              <w:jc w:val="center"/>
              <w:rPr>
                <w:rFonts w:ascii="宋体" w:hAnsi="宋体"/>
                <w:color w:val="auto"/>
                <w:szCs w:val="21"/>
              </w:rPr>
            </w:pPr>
          </w:p>
        </w:tc>
        <w:tc>
          <w:tcPr>
            <w:tcW w:w="1701" w:type="dxa"/>
            <w:vAlign w:val="center"/>
          </w:tcPr>
          <w:p w14:paraId="47923872">
            <w:pPr>
              <w:adjustRightInd w:val="0"/>
              <w:snapToGrid w:val="0"/>
              <w:spacing w:line="360" w:lineRule="auto"/>
              <w:jc w:val="center"/>
              <w:rPr>
                <w:rFonts w:ascii="宋体" w:hAnsi="宋体"/>
                <w:color w:val="auto"/>
                <w:szCs w:val="21"/>
              </w:rPr>
            </w:pPr>
          </w:p>
        </w:tc>
        <w:tc>
          <w:tcPr>
            <w:tcW w:w="1843" w:type="dxa"/>
          </w:tcPr>
          <w:p w14:paraId="56BDB6F1">
            <w:pPr>
              <w:adjustRightInd w:val="0"/>
              <w:snapToGrid w:val="0"/>
              <w:spacing w:line="360" w:lineRule="auto"/>
              <w:jc w:val="center"/>
              <w:rPr>
                <w:rFonts w:ascii="宋体" w:hAnsi="宋体"/>
                <w:color w:val="auto"/>
                <w:szCs w:val="21"/>
              </w:rPr>
            </w:pPr>
          </w:p>
        </w:tc>
        <w:tc>
          <w:tcPr>
            <w:tcW w:w="1134" w:type="dxa"/>
            <w:vAlign w:val="center"/>
          </w:tcPr>
          <w:p w14:paraId="7115A57D">
            <w:pPr>
              <w:adjustRightInd w:val="0"/>
              <w:snapToGrid w:val="0"/>
              <w:spacing w:line="360" w:lineRule="auto"/>
              <w:jc w:val="center"/>
              <w:rPr>
                <w:rFonts w:ascii="宋体" w:hAnsi="宋体"/>
                <w:color w:val="auto"/>
                <w:szCs w:val="21"/>
              </w:rPr>
            </w:pPr>
          </w:p>
        </w:tc>
      </w:tr>
      <w:tr w14:paraId="2174A0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5955BC4">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134" w:type="dxa"/>
            <w:vAlign w:val="center"/>
          </w:tcPr>
          <w:p w14:paraId="2171355F">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c>
          <w:tcPr>
            <w:tcW w:w="1134" w:type="dxa"/>
            <w:tcBorders>
              <w:right w:val="single" w:color="auto" w:sz="4" w:space="0"/>
            </w:tcBorders>
            <w:vAlign w:val="center"/>
          </w:tcPr>
          <w:p w14:paraId="0CBCFF7B">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039968D5">
            <w:pPr>
              <w:adjustRightInd w:val="0"/>
              <w:snapToGrid w:val="0"/>
              <w:spacing w:line="360" w:lineRule="auto"/>
              <w:jc w:val="center"/>
              <w:rPr>
                <w:rFonts w:ascii="宋体" w:hAnsi="宋体"/>
                <w:color w:val="auto"/>
                <w:szCs w:val="21"/>
              </w:rPr>
            </w:pPr>
          </w:p>
        </w:tc>
        <w:tc>
          <w:tcPr>
            <w:tcW w:w="1701" w:type="dxa"/>
            <w:vAlign w:val="center"/>
          </w:tcPr>
          <w:p w14:paraId="197BF12A">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c>
          <w:tcPr>
            <w:tcW w:w="1843" w:type="dxa"/>
            <w:vAlign w:val="center"/>
          </w:tcPr>
          <w:p w14:paraId="108B9B96">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c>
          <w:tcPr>
            <w:tcW w:w="1134" w:type="dxa"/>
            <w:vAlign w:val="center"/>
          </w:tcPr>
          <w:p w14:paraId="00D872C6">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r>
    </w:tbl>
    <w:p w14:paraId="5813128F">
      <w:pPr>
        <w:adjustRightInd w:val="0"/>
        <w:snapToGrid w:val="0"/>
        <w:spacing w:line="360" w:lineRule="auto"/>
        <w:rPr>
          <w:rFonts w:ascii="宋体" w:hAnsi="宋体"/>
          <w:color w:val="auto"/>
          <w:szCs w:val="21"/>
        </w:rPr>
      </w:pPr>
      <w:r>
        <w:rPr>
          <w:rFonts w:hint="eastAsia" w:ascii="宋体" w:hAnsi="宋体"/>
          <w:color w:val="auto"/>
          <w:szCs w:val="21"/>
        </w:rPr>
        <w:t>说明：1、本清单用于计算政府采购价格评审优惠应享受的政府采购政策价格扣除。提供附件10-1、附件10-2、附件10-3的，且提供的货物为小型、微型企业制造的，包括视同小型、微型企业，享受评审中价格扣除的监狱企业、残疾人福利性单位制造的货物。货物制造商类型填写小型、微型企业或监狱企业或残疾人福利性单位。</w:t>
      </w:r>
    </w:p>
    <w:p w14:paraId="658BA9CD">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t>2、栏目4“价格”为综合单价，包含该货物所有隐含的内容，如运输费、保险费、安装调试费、管理费和利润等。</w:t>
      </w:r>
    </w:p>
    <w:p w14:paraId="2BCE3ED9">
      <w:pPr>
        <w:adjustRightInd w:val="0"/>
        <w:snapToGrid w:val="0"/>
        <w:ind w:firstLine="630" w:firstLineChars="300"/>
        <w:rPr>
          <w:rFonts w:ascii="宋体" w:hAnsi="宋体"/>
          <w:bCs/>
          <w:color w:val="auto"/>
          <w:szCs w:val="21"/>
        </w:rPr>
      </w:pPr>
      <w:r>
        <w:rPr>
          <w:rFonts w:hint="eastAsia" w:ascii="宋体" w:hAnsi="宋体"/>
          <w:bCs/>
          <w:color w:val="auto"/>
          <w:szCs w:val="21"/>
        </w:rPr>
        <w:t>3、供应商在最后报价环节修改报价（最后）表的，应修改本表相应内容。否则，评审时涉及本表所有优惠不予以考虑。</w:t>
      </w:r>
    </w:p>
    <w:p w14:paraId="7357A692">
      <w:pPr>
        <w:adjustRightInd w:val="0"/>
        <w:snapToGrid w:val="0"/>
        <w:spacing w:line="360" w:lineRule="auto"/>
        <w:ind w:firstLine="630" w:firstLineChars="300"/>
        <w:rPr>
          <w:rFonts w:ascii="宋体" w:hAnsi="宋体"/>
          <w:color w:val="auto"/>
          <w:szCs w:val="21"/>
        </w:rPr>
      </w:pPr>
    </w:p>
    <w:p w14:paraId="3A9120EA">
      <w:pPr>
        <w:adjustRightInd w:val="0"/>
        <w:snapToGrid w:val="0"/>
        <w:spacing w:line="360" w:lineRule="auto"/>
        <w:rPr>
          <w:rFonts w:ascii="宋体" w:hAnsi="宋体"/>
          <w:color w:val="auto"/>
          <w:szCs w:val="21"/>
        </w:rPr>
      </w:pPr>
      <w:r>
        <w:rPr>
          <w:rFonts w:hint="eastAsia" w:ascii="宋体" w:hAnsi="宋体"/>
          <w:color w:val="auto"/>
          <w:szCs w:val="21"/>
        </w:rPr>
        <w:t>供应商名称（盖单位章）：</w:t>
      </w:r>
    </w:p>
    <w:p w14:paraId="75309793">
      <w:pPr>
        <w:adjustRightInd w:val="0"/>
        <w:snapToGrid w:val="0"/>
        <w:spacing w:line="360" w:lineRule="auto"/>
        <w:rPr>
          <w:rFonts w:ascii="宋体" w:hAnsi="宋体"/>
          <w:color w:val="auto"/>
          <w:szCs w:val="21"/>
        </w:rPr>
      </w:pPr>
      <w:r>
        <w:rPr>
          <w:rFonts w:hint="eastAsia" w:ascii="宋体" w:hAnsi="宋体" w:cs="微软雅黑"/>
          <w:color w:val="auto"/>
          <w:kern w:val="0"/>
          <w:szCs w:val="21"/>
        </w:rPr>
        <w:t>法定代表人（单位负责人）</w:t>
      </w:r>
      <w:r>
        <w:rPr>
          <w:rFonts w:hint="eastAsia" w:ascii="宋体" w:hAnsi="宋体"/>
          <w:color w:val="auto"/>
          <w:szCs w:val="21"/>
        </w:rPr>
        <w:t>或其委托代理人（签字或印章）：</w:t>
      </w:r>
      <w:r>
        <w:rPr>
          <w:rFonts w:hint="eastAsia" w:ascii="宋体" w:hAnsi="宋体"/>
          <w:color w:val="auto"/>
          <w:szCs w:val="21"/>
          <w:u w:val="single"/>
        </w:rPr>
        <w:t xml:space="preserve">          </w:t>
      </w:r>
    </w:p>
    <w:p w14:paraId="5D42FABE">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2559139C">
      <w:pPr>
        <w:widowControl/>
        <w:jc w:val="left"/>
        <w:rPr>
          <w:color w:val="auto"/>
        </w:rPr>
      </w:pPr>
      <w:r>
        <w:rPr>
          <w:color w:val="auto"/>
        </w:rPr>
        <w:br w:type="page"/>
      </w:r>
    </w:p>
    <w:p w14:paraId="4998FA52">
      <w:pPr>
        <w:pStyle w:val="7"/>
        <w:rPr>
          <w:rFonts w:ascii="宋体" w:hAnsi="宋体"/>
          <w:color w:val="auto"/>
          <w:sz w:val="21"/>
        </w:rPr>
      </w:pPr>
      <w:bookmarkStart w:id="90" w:name="_Toc22201164"/>
      <w:bookmarkStart w:id="91" w:name="_Toc10047"/>
      <w:bookmarkStart w:id="92" w:name="_Toc34637806"/>
      <w:r>
        <w:rPr>
          <w:rFonts w:hint="eastAsia" w:ascii="宋体" w:hAnsi="宋体" w:cs="宋体"/>
          <w:color w:val="auto"/>
          <w:kern w:val="0"/>
          <w:sz w:val="21"/>
        </w:rPr>
        <w:t>附件</w:t>
      </w:r>
      <w:r>
        <w:rPr>
          <w:rFonts w:hint="eastAsia" w:ascii="宋体" w:hAnsi="宋体" w:cs="宋体"/>
          <w:color w:val="auto"/>
          <w:kern w:val="0"/>
          <w:sz w:val="21"/>
          <w:lang w:val="en-US" w:eastAsia="zh-CN"/>
        </w:rPr>
        <w:t>9</w:t>
      </w:r>
      <w:r>
        <w:rPr>
          <w:rFonts w:hint="eastAsia" w:ascii="宋体" w:hAnsi="宋体" w:cs="宋体"/>
          <w:color w:val="auto"/>
          <w:kern w:val="0"/>
          <w:sz w:val="21"/>
        </w:rPr>
        <w:t xml:space="preserve">-2 </w:t>
      </w:r>
      <w:r>
        <w:rPr>
          <w:rFonts w:hint="eastAsia" w:ascii="宋体" w:hAnsi="宋体"/>
          <w:color w:val="auto"/>
          <w:sz w:val="21"/>
        </w:rPr>
        <w:t>残疾人福利性单位声明函</w:t>
      </w:r>
      <w:bookmarkEnd w:id="90"/>
      <w:bookmarkEnd w:id="91"/>
      <w:bookmarkEnd w:id="92"/>
    </w:p>
    <w:p w14:paraId="1B72EDD8">
      <w:pPr>
        <w:adjustRightInd w:val="0"/>
        <w:snapToGrid w:val="0"/>
        <w:spacing w:line="360" w:lineRule="auto"/>
        <w:jc w:val="center"/>
        <w:rPr>
          <w:rFonts w:ascii="黑体" w:hAnsi="黑体" w:eastAsia="黑体"/>
          <w:b/>
          <w:color w:val="auto"/>
          <w:sz w:val="28"/>
          <w:szCs w:val="28"/>
        </w:rPr>
      </w:pPr>
      <w:r>
        <w:rPr>
          <w:rFonts w:hint="eastAsia" w:ascii="黑体" w:hAnsi="黑体" w:eastAsia="黑体"/>
          <w:b/>
          <w:color w:val="auto"/>
          <w:sz w:val="28"/>
          <w:szCs w:val="28"/>
        </w:rPr>
        <w:t>残疾人福利性单位声明函</w:t>
      </w:r>
    </w:p>
    <w:p w14:paraId="09DB8B28">
      <w:pPr>
        <w:adjustRightInd w:val="0"/>
        <w:snapToGrid w:val="0"/>
        <w:spacing w:line="360" w:lineRule="auto"/>
        <w:jc w:val="center"/>
        <w:rPr>
          <w:rFonts w:ascii="宋体" w:hAnsi="宋体"/>
          <w:b/>
          <w:color w:val="auto"/>
          <w:szCs w:val="21"/>
        </w:rPr>
      </w:pPr>
      <w:r>
        <w:rPr>
          <w:rFonts w:hint="eastAsia" w:ascii="宋体" w:hAnsi="宋体"/>
          <w:b/>
          <w:color w:val="auto"/>
          <w:szCs w:val="21"/>
          <w:lang w:eastAsia="zh-CN"/>
        </w:rPr>
        <w:t>（</w:t>
      </w:r>
      <w:r>
        <w:rPr>
          <w:rFonts w:hint="eastAsia" w:ascii="宋体" w:hAnsi="宋体"/>
          <w:b/>
          <w:color w:val="auto"/>
          <w:szCs w:val="21"/>
        </w:rPr>
        <w:t>不属于残疾人福利性单位的无需填写</w:t>
      </w:r>
      <w:r>
        <w:rPr>
          <w:rFonts w:hint="eastAsia" w:ascii="宋体" w:hAnsi="宋体"/>
          <w:b/>
          <w:color w:val="auto"/>
          <w:szCs w:val="21"/>
          <w:lang w:eastAsia="zh-CN"/>
        </w:rPr>
        <w:t>）</w:t>
      </w:r>
    </w:p>
    <w:p w14:paraId="05049FA1">
      <w:pPr>
        <w:adjustRightInd w:val="0"/>
        <w:snapToGrid w:val="0"/>
        <w:spacing w:line="360" w:lineRule="auto"/>
        <w:ind w:firstLine="420" w:firstLineChars="200"/>
        <w:rPr>
          <w:rFonts w:ascii="宋体" w:hAnsi="宋体"/>
          <w:color w:val="auto"/>
          <w:szCs w:val="21"/>
        </w:rPr>
      </w:pPr>
    </w:p>
    <w:p w14:paraId="545D45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olor w:val="auto"/>
          <w:szCs w:val="21"/>
          <w:u w:val="single"/>
        </w:rPr>
        <w:t xml:space="preserve">       </w:t>
      </w:r>
      <w:r>
        <w:rPr>
          <w:rFonts w:hint="eastAsia" w:ascii="宋体" w:hAnsi="宋体"/>
          <w:color w:val="auto"/>
          <w:szCs w:val="21"/>
        </w:rPr>
        <w:t>单位的</w:t>
      </w:r>
      <w:r>
        <w:rPr>
          <w:rFonts w:hint="eastAsia" w:ascii="宋体" w:hAnsi="宋体"/>
          <w:color w:val="auto"/>
          <w:szCs w:val="21"/>
          <w:u w:val="single"/>
        </w:rPr>
        <w:t xml:space="preserve">       </w:t>
      </w:r>
      <w:r>
        <w:rPr>
          <w:rFonts w:hint="eastAsia" w:ascii="宋体" w:hAnsi="宋体"/>
          <w:color w:val="auto"/>
          <w:szCs w:val="21"/>
        </w:rPr>
        <w:t>项目采购活动提供本单位制造的货物（由本单位承担工程/提供服务），或者提供其他残疾人福利性单位制造的货物（不包括使用非残疾人福利性单位注册商标的货物）。</w:t>
      </w:r>
    </w:p>
    <w:p w14:paraId="42BF817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本单位对上述声明的真实性负责。如有虚假，将依法承担相应责任。</w:t>
      </w:r>
    </w:p>
    <w:p w14:paraId="053CC1A0">
      <w:pPr>
        <w:adjustRightInd w:val="0"/>
        <w:snapToGrid w:val="0"/>
        <w:spacing w:line="360" w:lineRule="auto"/>
        <w:ind w:firstLine="420" w:firstLineChars="200"/>
        <w:rPr>
          <w:rFonts w:ascii="宋体" w:hAnsi="宋体"/>
          <w:color w:val="auto"/>
          <w:szCs w:val="21"/>
        </w:rPr>
      </w:pPr>
    </w:p>
    <w:p w14:paraId="7BE0FB1D">
      <w:pPr>
        <w:adjustRightInd w:val="0"/>
        <w:snapToGrid w:val="0"/>
        <w:spacing w:line="360" w:lineRule="auto"/>
        <w:ind w:firstLine="420" w:firstLineChars="200"/>
        <w:rPr>
          <w:rFonts w:ascii="宋体" w:hAnsi="宋体"/>
          <w:color w:val="auto"/>
          <w:szCs w:val="21"/>
        </w:rPr>
      </w:pPr>
    </w:p>
    <w:p w14:paraId="1D32310F">
      <w:pPr>
        <w:tabs>
          <w:tab w:val="left" w:pos="4860"/>
        </w:tabs>
        <w:adjustRightInd w:val="0"/>
        <w:snapToGrid w:val="0"/>
        <w:spacing w:line="360" w:lineRule="auto"/>
        <w:ind w:right="1560" w:firstLine="420" w:firstLineChars="200"/>
        <w:jc w:val="center"/>
        <w:rPr>
          <w:rFonts w:ascii="宋体" w:hAnsi="宋体"/>
          <w:color w:val="auto"/>
          <w:szCs w:val="21"/>
        </w:rPr>
      </w:pPr>
      <w:r>
        <w:rPr>
          <w:rFonts w:hint="eastAsia" w:ascii="宋体" w:hAnsi="宋体"/>
          <w:color w:val="auto"/>
          <w:szCs w:val="21"/>
        </w:rPr>
        <w:t xml:space="preserve">               单位名称（盖章）：</w:t>
      </w:r>
    </w:p>
    <w:p w14:paraId="285AB898">
      <w:pPr>
        <w:tabs>
          <w:tab w:val="left" w:pos="4860"/>
        </w:tabs>
        <w:adjustRightInd w:val="0"/>
        <w:snapToGrid w:val="0"/>
        <w:spacing w:line="360" w:lineRule="auto"/>
        <w:ind w:right="1560" w:firstLine="420" w:firstLineChars="200"/>
        <w:jc w:val="center"/>
        <w:rPr>
          <w:rFonts w:ascii="宋体" w:hAnsi="宋体"/>
          <w:color w:val="auto"/>
          <w:szCs w:val="21"/>
        </w:rPr>
      </w:pPr>
      <w:r>
        <w:rPr>
          <w:rFonts w:hint="eastAsia" w:ascii="宋体" w:hAnsi="宋体"/>
          <w:color w:val="auto"/>
          <w:szCs w:val="21"/>
        </w:rPr>
        <w:t xml:space="preserve">       日  期：</w:t>
      </w:r>
    </w:p>
    <w:p w14:paraId="5BC0638A">
      <w:pPr>
        <w:widowControl/>
        <w:jc w:val="left"/>
        <w:rPr>
          <w:rFonts w:ascii="宋体" w:hAnsi="宋体" w:cs="宋体"/>
          <w:color w:val="auto"/>
          <w:kern w:val="0"/>
          <w:szCs w:val="21"/>
        </w:rPr>
      </w:pPr>
      <w:r>
        <w:rPr>
          <w:rFonts w:ascii="宋体" w:hAnsi="宋体" w:cs="宋体"/>
          <w:color w:val="auto"/>
          <w:kern w:val="0"/>
          <w:szCs w:val="21"/>
        </w:rPr>
        <w:br w:type="page"/>
      </w:r>
    </w:p>
    <w:p w14:paraId="514D4E90">
      <w:pPr>
        <w:pStyle w:val="7"/>
        <w:rPr>
          <w:rFonts w:ascii="宋体" w:hAnsi="宋体"/>
          <w:color w:val="auto"/>
          <w:sz w:val="21"/>
          <w:szCs w:val="21"/>
        </w:rPr>
      </w:pPr>
      <w:bookmarkStart w:id="93" w:name="_Toc22201165"/>
      <w:bookmarkStart w:id="94" w:name="_Toc25480"/>
      <w:bookmarkStart w:id="95" w:name="_Toc34637807"/>
      <w:r>
        <w:rPr>
          <w:rFonts w:hint="eastAsia" w:ascii="宋体" w:hAnsi="宋体" w:cs="宋体"/>
          <w:color w:val="auto"/>
          <w:kern w:val="0"/>
          <w:sz w:val="21"/>
          <w:szCs w:val="21"/>
        </w:rPr>
        <w:t>附件</w:t>
      </w:r>
      <w:r>
        <w:rPr>
          <w:rFonts w:hint="eastAsia" w:ascii="宋体" w:hAnsi="宋体" w:cs="宋体"/>
          <w:color w:val="auto"/>
          <w:kern w:val="0"/>
          <w:sz w:val="21"/>
          <w:szCs w:val="21"/>
          <w:lang w:val="en-US" w:eastAsia="zh-CN"/>
        </w:rPr>
        <w:t>9</w:t>
      </w:r>
      <w:r>
        <w:rPr>
          <w:rFonts w:hint="eastAsia" w:ascii="宋体" w:hAnsi="宋体" w:cs="宋体"/>
          <w:color w:val="auto"/>
          <w:kern w:val="0"/>
          <w:sz w:val="21"/>
          <w:szCs w:val="21"/>
        </w:rPr>
        <w:t xml:space="preserve">-3 </w:t>
      </w:r>
      <w:r>
        <w:rPr>
          <w:rFonts w:hint="eastAsia" w:ascii="宋体" w:hAnsi="宋体"/>
          <w:color w:val="auto"/>
          <w:sz w:val="21"/>
          <w:szCs w:val="21"/>
        </w:rPr>
        <w:t>监狱企业证明资料</w:t>
      </w:r>
      <w:bookmarkEnd w:id="93"/>
      <w:bookmarkEnd w:id="94"/>
      <w:bookmarkEnd w:id="95"/>
    </w:p>
    <w:p w14:paraId="481F21B6">
      <w:pPr>
        <w:adjustRightInd w:val="0"/>
        <w:snapToGrid w:val="0"/>
        <w:spacing w:line="360" w:lineRule="auto"/>
        <w:jc w:val="center"/>
        <w:rPr>
          <w:rFonts w:ascii="黑体" w:hAnsi="宋体"/>
          <w:b/>
          <w:color w:val="auto"/>
          <w:sz w:val="28"/>
          <w:szCs w:val="28"/>
        </w:rPr>
      </w:pPr>
      <w:r>
        <w:rPr>
          <w:rFonts w:hint="eastAsia" w:ascii="黑体" w:hAnsi="宋体"/>
          <w:b/>
          <w:color w:val="auto"/>
          <w:sz w:val="28"/>
          <w:szCs w:val="28"/>
        </w:rPr>
        <w:t>监狱企业证明资料</w:t>
      </w:r>
    </w:p>
    <w:p w14:paraId="7A6A3B78">
      <w:pPr>
        <w:adjustRightInd w:val="0"/>
        <w:snapToGrid w:val="0"/>
        <w:spacing w:line="360" w:lineRule="auto"/>
        <w:jc w:val="center"/>
        <w:rPr>
          <w:rFonts w:ascii="宋体" w:hAnsi="宋体"/>
          <w:b/>
          <w:color w:val="auto"/>
          <w:szCs w:val="21"/>
        </w:rPr>
      </w:pPr>
      <w:r>
        <w:rPr>
          <w:rFonts w:hint="eastAsia" w:ascii="宋体" w:hAnsi="宋体"/>
          <w:b/>
          <w:color w:val="auto"/>
          <w:szCs w:val="21"/>
          <w:lang w:eastAsia="zh-CN"/>
        </w:rPr>
        <w:t>（</w:t>
      </w:r>
      <w:r>
        <w:rPr>
          <w:rFonts w:hint="eastAsia" w:ascii="宋体" w:hAnsi="宋体"/>
          <w:b/>
          <w:color w:val="auto"/>
          <w:szCs w:val="21"/>
        </w:rPr>
        <w:t>不属于监狱企业的无需提供</w:t>
      </w:r>
      <w:r>
        <w:rPr>
          <w:rFonts w:hint="eastAsia" w:ascii="宋体" w:hAnsi="宋体"/>
          <w:b/>
          <w:color w:val="auto"/>
          <w:szCs w:val="21"/>
          <w:lang w:eastAsia="zh-CN"/>
        </w:rPr>
        <w:t>）</w:t>
      </w:r>
    </w:p>
    <w:p w14:paraId="3A54B2F8">
      <w:pPr>
        <w:adjustRightInd w:val="0"/>
        <w:snapToGrid w:val="0"/>
        <w:spacing w:line="360" w:lineRule="auto"/>
        <w:rPr>
          <w:rFonts w:ascii="宋体" w:hAnsi="宋体"/>
          <w:color w:val="auto"/>
          <w:szCs w:val="21"/>
        </w:rPr>
      </w:pPr>
    </w:p>
    <w:p w14:paraId="1EF24085">
      <w:pPr>
        <w:adjustRightInd w:val="0"/>
        <w:snapToGrid w:val="0"/>
        <w:spacing w:line="360" w:lineRule="auto"/>
        <w:ind w:firstLine="420" w:firstLineChars="200"/>
        <w:rPr>
          <w:rFonts w:ascii="宋体" w:hAnsi="宋体"/>
          <w:color w:val="auto"/>
          <w:szCs w:val="21"/>
        </w:rPr>
      </w:pPr>
      <w:r>
        <w:rPr>
          <w:rFonts w:hint="eastAsia" w:ascii="宋体" w:hAnsi="宋体" w:cs="宋体"/>
          <w:bCs/>
          <w:color w:val="auto"/>
          <w:kern w:val="0"/>
          <w:szCs w:val="21"/>
        </w:rPr>
        <w:t>备注：</w:t>
      </w:r>
      <w:r>
        <w:rPr>
          <w:rFonts w:hint="eastAsia" w:ascii="宋体" w:hAnsi="宋体"/>
          <w:color w:val="auto"/>
          <w:szCs w:val="21"/>
        </w:rPr>
        <w:t>按《财政部 司法部关于政府采购支持监狱企业发展有关问题的通知》</w:t>
      </w:r>
      <w:r>
        <w:rPr>
          <w:rFonts w:hint="eastAsia" w:ascii="宋体" w:hAnsi="宋体"/>
          <w:color w:val="auto"/>
          <w:szCs w:val="21"/>
          <w:lang w:eastAsia="zh-CN"/>
        </w:rPr>
        <w:t>（</w:t>
      </w:r>
      <w:r>
        <w:rPr>
          <w:rFonts w:hint="eastAsia" w:ascii="宋体" w:hAnsi="宋体"/>
          <w:color w:val="auto"/>
          <w:szCs w:val="21"/>
        </w:rPr>
        <w:t>财库〔2014〕68号</w:t>
      </w:r>
      <w:r>
        <w:rPr>
          <w:rFonts w:hint="eastAsia" w:ascii="宋体" w:hAnsi="宋体"/>
          <w:color w:val="auto"/>
          <w:szCs w:val="21"/>
          <w:lang w:eastAsia="zh-CN"/>
        </w:rPr>
        <w:t>）</w:t>
      </w:r>
      <w:r>
        <w:rPr>
          <w:rFonts w:hint="eastAsia" w:ascii="宋体" w:hAnsi="宋体"/>
          <w:color w:val="auto"/>
          <w:szCs w:val="21"/>
        </w:rPr>
        <w:t>文件规定提供证明文件（复印件）。</w:t>
      </w:r>
    </w:p>
    <w:p w14:paraId="0C7CF8CD">
      <w:pPr>
        <w:adjustRightInd w:val="0"/>
        <w:snapToGrid w:val="0"/>
        <w:spacing w:line="360" w:lineRule="auto"/>
        <w:ind w:firstLine="420" w:firstLineChars="200"/>
        <w:rPr>
          <w:rFonts w:ascii="宋体" w:hAnsi="宋体"/>
          <w:color w:val="auto"/>
          <w:szCs w:val="21"/>
        </w:rPr>
      </w:pPr>
    </w:p>
    <w:p w14:paraId="0F9A3EB5">
      <w:pPr>
        <w:adjustRightInd w:val="0"/>
        <w:snapToGrid w:val="0"/>
        <w:spacing w:line="360" w:lineRule="auto"/>
        <w:ind w:firstLine="420" w:firstLineChars="200"/>
        <w:rPr>
          <w:rFonts w:ascii="宋体" w:hAnsi="宋体"/>
          <w:color w:val="auto"/>
          <w:szCs w:val="21"/>
        </w:rPr>
      </w:pPr>
    </w:p>
    <w:p w14:paraId="0DED8F7D">
      <w:pPr>
        <w:adjustRightInd w:val="0"/>
        <w:snapToGrid w:val="0"/>
        <w:spacing w:line="360" w:lineRule="auto"/>
        <w:ind w:firstLine="420" w:firstLineChars="200"/>
        <w:jc w:val="left"/>
        <w:rPr>
          <w:rFonts w:ascii="宋体" w:hAnsi="宋体"/>
          <w:color w:val="auto"/>
          <w:szCs w:val="21"/>
        </w:rPr>
      </w:pPr>
    </w:p>
    <w:p w14:paraId="7B0B81B7">
      <w:pPr>
        <w:widowControl/>
        <w:jc w:val="left"/>
        <w:rPr>
          <w:rFonts w:ascii="黑体" w:hAnsi="华文中宋" w:eastAsia="黑体" w:cs="宋体"/>
          <w:color w:val="auto"/>
          <w:szCs w:val="21"/>
        </w:rPr>
      </w:pPr>
      <w:r>
        <w:rPr>
          <w:rFonts w:ascii="黑体" w:hAnsi="华文中宋" w:cs="宋体"/>
          <w:b/>
          <w:bCs/>
          <w:color w:val="auto"/>
          <w:szCs w:val="21"/>
        </w:rPr>
        <w:br w:type="page"/>
      </w:r>
    </w:p>
    <w:p w14:paraId="4DE3468D">
      <w:pPr>
        <w:pStyle w:val="7"/>
        <w:rPr>
          <w:rFonts w:ascii="宋体" w:hAnsi="宋体" w:cs="宋体"/>
          <w:color w:val="auto"/>
          <w:kern w:val="0"/>
          <w:sz w:val="21"/>
          <w:szCs w:val="21"/>
        </w:rPr>
      </w:pPr>
      <w:bookmarkStart w:id="96" w:name="_Toc9407"/>
      <w:r>
        <w:rPr>
          <w:rFonts w:hint="eastAsia" w:ascii="宋体" w:hAnsi="宋体" w:cs="宋体"/>
          <w:color w:val="auto"/>
          <w:kern w:val="0"/>
          <w:sz w:val="21"/>
          <w:szCs w:val="21"/>
        </w:rPr>
        <w:t>附件</w:t>
      </w:r>
      <w:r>
        <w:rPr>
          <w:rFonts w:hint="eastAsia" w:ascii="宋体" w:hAnsi="宋体" w:cs="宋体"/>
          <w:color w:val="auto"/>
          <w:kern w:val="0"/>
          <w:sz w:val="21"/>
          <w:szCs w:val="21"/>
          <w:lang w:val="en-US" w:eastAsia="zh-CN"/>
        </w:rPr>
        <w:t>9</w:t>
      </w:r>
      <w:r>
        <w:rPr>
          <w:rFonts w:hint="eastAsia" w:ascii="宋体" w:hAnsi="宋体" w:cs="宋体"/>
          <w:color w:val="auto"/>
          <w:kern w:val="0"/>
          <w:sz w:val="21"/>
          <w:szCs w:val="21"/>
        </w:rPr>
        <w:t>-4 强制采购或者优先采购产品的证明材料</w:t>
      </w:r>
      <w:bookmarkEnd w:id="96"/>
    </w:p>
    <w:p w14:paraId="35F8C638">
      <w:pPr>
        <w:adjustRightInd w:val="0"/>
        <w:snapToGrid w:val="0"/>
        <w:spacing w:line="360" w:lineRule="auto"/>
        <w:jc w:val="center"/>
        <w:rPr>
          <w:rFonts w:ascii="黑体" w:hAnsi="黑体" w:eastAsia="黑体"/>
          <w:b/>
          <w:color w:val="auto"/>
          <w:sz w:val="28"/>
          <w:szCs w:val="28"/>
        </w:rPr>
      </w:pPr>
      <w:r>
        <w:rPr>
          <w:rFonts w:hint="eastAsia" w:ascii="黑体" w:hAnsi="黑体" w:eastAsia="黑体"/>
          <w:b/>
          <w:color w:val="auto"/>
          <w:sz w:val="28"/>
          <w:szCs w:val="28"/>
        </w:rPr>
        <w:t>强制采购或者优先采购产品</w:t>
      </w:r>
      <w:r>
        <w:rPr>
          <w:rFonts w:hint="eastAsia" w:ascii="黑体" w:hAnsi="黑体" w:eastAsia="黑体"/>
          <w:b/>
          <w:bCs/>
          <w:color w:val="auto"/>
          <w:sz w:val="28"/>
          <w:szCs w:val="28"/>
        </w:rPr>
        <w:t>的</w:t>
      </w:r>
      <w:r>
        <w:rPr>
          <w:rFonts w:hint="eastAsia" w:ascii="黑体" w:hAnsi="黑体" w:eastAsia="黑体"/>
          <w:b/>
          <w:color w:val="auto"/>
          <w:sz w:val="28"/>
          <w:szCs w:val="28"/>
        </w:rPr>
        <w:t>证明材料</w:t>
      </w:r>
    </w:p>
    <w:p w14:paraId="59F0771D">
      <w:pPr>
        <w:adjustRightInd w:val="0"/>
        <w:snapToGrid w:val="0"/>
        <w:spacing w:line="360" w:lineRule="auto"/>
        <w:jc w:val="center"/>
        <w:rPr>
          <w:rFonts w:ascii="宋体" w:hAnsi="宋体"/>
          <w:b/>
          <w:color w:val="auto"/>
          <w:szCs w:val="21"/>
        </w:rPr>
      </w:pPr>
      <w:r>
        <w:rPr>
          <w:rFonts w:hint="eastAsia" w:ascii="宋体" w:hAnsi="宋体"/>
          <w:b/>
          <w:color w:val="auto"/>
          <w:szCs w:val="21"/>
          <w:lang w:eastAsia="zh-CN"/>
        </w:rPr>
        <w:t>（</w:t>
      </w:r>
      <w:r>
        <w:rPr>
          <w:rFonts w:hint="eastAsia" w:ascii="宋体" w:hAnsi="宋体"/>
          <w:b/>
          <w:color w:val="auto"/>
          <w:szCs w:val="21"/>
        </w:rPr>
        <w:t>不属于强制采购或者优先采购产品的无需提供</w:t>
      </w:r>
      <w:r>
        <w:rPr>
          <w:rFonts w:hint="eastAsia" w:ascii="宋体" w:hAnsi="宋体"/>
          <w:b/>
          <w:color w:val="auto"/>
          <w:szCs w:val="21"/>
          <w:lang w:eastAsia="zh-CN"/>
        </w:rPr>
        <w:t>）</w:t>
      </w:r>
    </w:p>
    <w:p w14:paraId="5BA3C6D3">
      <w:pPr>
        <w:adjustRightInd w:val="0"/>
        <w:snapToGrid w:val="0"/>
        <w:spacing w:line="360" w:lineRule="auto"/>
        <w:ind w:firstLine="420" w:firstLineChars="200"/>
        <w:jc w:val="left"/>
        <w:rPr>
          <w:rFonts w:ascii="宋体" w:hAnsi="宋体"/>
          <w:color w:val="auto"/>
          <w:szCs w:val="21"/>
        </w:rPr>
      </w:pPr>
    </w:p>
    <w:p w14:paraId="19C4B48B">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说明：供应商提供的产品</w:t>
      </w:r>
      <w:r>
        <w:rPr>
          <w:rFonts w:hint="eastAsia" w:ascii="宋体" w:hAnsi="宋体"/>
          <w:bCs/>
          <w:color w:val="auto"/>
          <w:szCs w:val="21"/>
        </w:rPr>
        <w:t>属于强制采购或者优先采购的</w:t>
      </w:r>
      <w:r>
        <w:rPr>
          <w:rFonts w:hint="eastAsia" w:ascii="宋体" w:hAnsi="宋体"/>
          <w:color w:val="auto"/>
          <w:szCs w:val="21"/>
        </w:rPr>
        <w:t>，应按第二章第39款规定提供证明材料和本章本节附页2“优先采购产品清单”，并加盖供应商单位章。</w:t>
      </w:r>
    </w:p>
    <w:p w14:paraId="705AD1D2">
      <w:pPr>
        <w:adjustRightInd w:val="0"/>
        <w:snapToGrid w:val="0"/>
        <w:spacing w:line="360" w:lineRule="auto"/>
        <w:ind w:firstLine="420" w:firstLineChars="200"/>
        <w:jc w:val="left"/>
        <w:rPr>
          <w:rFonts w:ascii="宋体" w:hAnsi="宋体"/>
          <w:color w:val="auto"/>
          <w:szCs w:val="21"/>
        </w:rPr>
      </w:pPr>
    </w:p>
    <w:p w14:paraId="2EA7589C">
      <w:pPr>
        <w:adjustRightInd w:val="0"/>
        <w:snapToGrid w:val="0"/>
        <w:spacing w:line="360" w:lineRule="auto"/>
        <w:rPr>
          <w:rFonts w:ascii="黑体" w:hAnsi="宋体"/>
          <w:b/>
          <w:color w:val="auto"/>
          <w:szCs w:val="21"/>
        </w:rPr>
      </w:pPr>
      <w:r>
        <w:rPr>
          <w:rFonts w:ascii="黑体" w:hAnsi="宋体" w:eastAsia="黑体"/>
          <w:b/>
          <w:color w:val="auto"/>
          <w:sz w:val="28"/>
          <w:szCs w:val="28"/>
        </w:rPr>
        <w:br w:type="page"/>
      </w:r>
      <w:r>
        <w:rPr>
          <w:rFonts w:hint="eastAsia" w:ascii="黑体" w:hAnsi="华文中宋" w:cs="宋体"/>
          <w:b/>
          <w:bCs/>
          <w:color w:val="auto"/>
          <w:kern w:val="0"/>
          <w:szCs w:val="21"/>
        </w:rPr>
        <w:t xml:space="preserve">附页 2 </w:t>
      </w:r>
      <w:r>
        <w:rPr>
          <w:rFonts w:hint="eastAsia" w:ascii="黑体" w:hAnsi="宋体"/>
          <w:b/>
          <w:color w:val="auto"/>
          <w:szCs w:val="21"/>
        </w:rPr>
        <w:t>优先采购产品清单</w:t>
      </w:r>
    </w:p>
    <w:p w14:paraId="206174D9">
      <w:pPr>
        <w:adjustRightInd w:val="0"/>
        <w:snapToGrid w:val="0"/>
        <w:spacing w:line="360" w:lineRule="auto"/>
        <w:jc w:val="center"/>
        <w:rPr>
          <w:rFonts w:ascii="宋体" w:hAnsi="宋体"/>
          <w:b/>
          <w:color w:val="auto"/>
          <w:szCs w:val="21"/>
        </w:rPr>
      </w:pPr>
      <w:r>
        <w:rPr>
          <w:rFonts w:hint="eastAsia" w:ascii="黑体" w:hAnsi="宋体" w:eastAsia="黑体"/>
          <w:b/>
          <w:color w:val="auto"/>
          <w:sz w:val="28"/>
          <w:szCs w:val="28"/>
        </w:rPr>
        <w:t>优先采购产品清单</w:t>
      </w:r>
      <w:r>
        <w:rPr>
          <w:rFonts w:hint="eastAsia" w:ascii="黑体" w:hAnsi="宋体" w:eastAsia="黑体"/>
          <w:b/>
          <w:color w:val="auto"/>
          <w:sz w:val="28"/>
          <w:szCs w:val="28"/>
          <w:lang w:eastAsia="zh-CN"/>
        </w:rPr>
        <w:t>（</w:t>
      </w:r>
      <w:r>
        <w:rPr>
          <w:rFonts w:hint="eastAsia" w:ascii="黑体" w:hAnsi="宋体" w:eastAsia="黑体"/>
          <w:b/>
          <w:color w:val="auto"/>
          <w:sz w:val="28"/>
          <w:szCs w:val="28"/>
          <w:lang w:val="en-US" w:eastAsia="zh-CN"/>
        </w:rPr>
        <w:t>本项目不适用</w:t>
      </w:r>
      <w:r>
        <w:rPr>
          <w:rFonts w:hint="eastAsia" w:ascii="黑体" w:hAnsi="宋体" w:eastAsia="黑体"/>
          <w:b/>
          <w:color w:val="auto"/>
          <w:sz w:val="28"/>
          <w:szCs w:val="28"/>
          <w:lang w:eastAsia="zh-CN"/>
        </w:rPr>
        <w:t>）</w:t>
      </w:r>
    </w:p>
    <w:p w14:paraId="0E995562">
      <w:pPr>
        <w:adjustRightInd w:val="0"/>
        <w:snapToGrid w:val="0"/>
        <w:spacing w:line="360" w:lineRule="auto"/>
        <w:rPr>
          <w:rFonts w:ascii="宋体" w:hAnsi="宋体"/>
          <w:color w:val="auto"/>
          <w:szCs w:val="21"/>
        </w:rPr>
      </w:pPr>
      <w:r>
        <w:rPr>
          <w:rFonts w:hint="eastAsia" w:ascii="宋体" w:hAnsi="宋体"/>
          <w:color w:val="auto"/>
          <w:szCs w:val="21"/>
        </w:rPr>
        <w:t>代理机构编号：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r>
        <w:rPr>
          <w:rFonts w:hint="eastAsia" w:ascii="宋体" w:hAnsi="宋体"/>
          <w:color w:val="auto"/>
          <w:szCs w:val="21"/>
        </w:rPr>
        <w:t xml:space="preserve"> </w:t>
      </w:r>
    </w:p>
    <w:p w14:paraId="6B7A1C30">
      <w:pPr>
        <w:adjustRightInd w:val="0"/>
        <w:snapToGrid w:val="0"/>
        <w:spacing w:line="360" w:lineRule="auto"/>
        <w:rPr>
          <w:rFonts w:ascii="宋体" w:hAnsi="宋体"/>
          <w:color w:val="auto"/>
          <w:szCs w:val="21"/>
        </w:rPr>
      </w:pPr>
    </w:p>
    <w:tbl>
      <w:tblPr>
        <w:tblStyle w:val="1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1C83E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28763C7D">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以下为供应商提供的政府采购优先采购产品，供应商对本表的真实性负责。如有虚假，将依法承担相应责任。</w:t>
            </w:r>
          </w:p>
        </w:tc>
      </w:tr>
      <w:tr w14:paraId="3A23AA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50E4739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39" w:type="dxa"/>
            <w:vAlign w:val="center"/>
          </w:tcPr>
          <w:p w14:paraId="29BA8FF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34" w:type="dxa"/>
            <w:tcBorders>
              <w:right w:val="single" w:color="auto" w:sz="4" w:space="0"/>
            </w:tcBorders>
            <w:vAlign w:val="center"/>
          </w:tcPr>
          <w:p w14:paraId="111A610A">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418" w:type="dxa"/>
            <w:tcBorders>
              <w:left w:val="single" w:color="auto" w:sz="4" w:space="0"/>
            </w:tcBorders>
            <w:vAlign w:val="center"/>
          </w:tcPr>
          <w:p w14:paraId="6A0414F2">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984" w:type="dxa"/>
            <w:vAlign w:val="center"/>
          </w:tcPr>
          <w:p w14:paraId="630FB483">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43" w:type="dxa"/>
            <w:vAlign w:val="center"/>
          </w:tcPr>
          <w:p w14:paraId="2A4B1C7E">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r>
      <w:tr w14:paraId="4083C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1B30AE6A">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39" w:type="dxa"/>
            <w:vAlign w:val="center"/>
          </w:tcPr>
          <w:p w14:paraId="080C6BB2">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34" w:type="dxa"/>
            <w:tcBorders>
              <w:right w:val="single" w:color="auto" w:sz="4" w:space="0"/>
            </w:tcBorders>
            <w:vAlign w:val="center"/>
          </w:tcPr>
          <w:p w14:paraId="06C8C291">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418" w:type="dxa"/>
            <w:tcBorders>
              <w:left w:val="single" w:color="auto" w:sz="4" w:space="0"/>
            </w:tcBorders>
            <w:vAlign w:val="center"/>
          </w:tcPr>
          <w:p w14:paraId="60DBC4E5">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984" w:type="dxa"/>
            <w:vAlign w:val="center"/>
          </w:tcPr>
          <w:p w14:paraId="53475668">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43" w:type="dxa"/>
            <w:vAlign w:val="center"/>
          </w:tcPr>
          <w:p w14:paraId="578E4810">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政策功能编码</w:t>
            </w:r>
          </w:p>
        </w:tc>
      </w:tr>
      <w:tr w14:paraId="1DCC1C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103777AD">
            <w:pPr>
              <w:adjustRightInd w:val="0"/>
              <w:snapToGrid w:val="0"/>
              <w:spacing w:line="360" w:lineRule="auto"/>
              <w:jc w:val="left"/>
              <w:rPr>
                <w:rFonts w:ascii="宋体" w:hAnsi="宋体"/>
                <w:b/>
                <w:color w:val="auto"/>
                <w:szCs w:val="21"/>
              </w:rPr>
            </w:pPr>
            <w:r>
              <w:rPr>
                <w:rFonts w:hint="eastAsia" w:ascii="宋体" w:hAnsi="宋体"/>
                <w:b/>
                <w:color w:val="auto"/>
                <w:szCs w:val="21"/>
              </w:rPr>
              <w:t>节能产品</w:t>
            </w:r>
          </w:p>
        </w:tc>
      </w:tr>
      <w:tr w14:paraId="56595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EBBFC19">
            <w:pPr>
              <w:adjustRightInd w:val="0"/>
              <w:snapToGrid w:val="0"/>
              <w:spacing w:line="360" w:lineRule="auto"/>
              <w:jc w:val="center"/>
              <w:rPr>
                <w:rFonts w:ascii="宋体" w:hAnsi="宋体"/>
                <w:b/>
                <w:color w:val="auto"/>
                <w:szCs w:val="21"/>
              </w:rPr>
            </w:pPr>
          </w:p>
        </w:tc>
        <w:tc>
          <w:tcPr>
            <w:tcW w:w="1739" w:type="dxa"/>
            <w:vAlign w:val="center"/>
          </w:tcPr>
          <w:p w14:paraId="32676EEE">
            <w:pPr>
              <w:adjustRightInd w:val="0"/>
              <w:snapToGrid w:val="0"/>
              <w:spacing w:line="360" w:lineRule="auto"/>
              <w:jc w:val="center"/>
              <w:rPr>
                <w:rFonts w:ascii="宋体" w:hAnsi="宋体"/>
                <w:b/>
                <w:color w:val="auto"/>
                <w:szCs w:val="21"/>
              </w:rPr>
            </w:pPr>
          </w:p>
        </w:tc>
        <w:tc>
          <w:tcPr>
            <w:tcW w:w="1134" w:type="dxa"/>
            <w:tcBorders>
              <w:right w:val="single" w:color="auto" w:sz="4" w:space="0"/>
            </w:tcBorders>
            <w:vAlign w:val="center"/>
          </w:tcPr>
          <w:p w14:paraId="7D7827F9">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6E1F84DD">
            <w:pPr>
              <w:adjustRightInd w:val="0"/>
              <w:snapToGrid w:val="0"/>
              <w:spacing w:line="360" w:lineRule="auto"/>
              <w:jc w:val="left"/>
              <w:rPr>
                <w:rFonts w:ascii="宋体" w:hAnsi="宋体"/>
                <w:b/>
                <w:color w:val="auto"/>
                <w:szCs w:val="21"/>
              </w:rPr>
            </w:pPr>
          </w:p>
        </w:tc>
        <w:tc>
          <w:tcPr>
            <w:tcW w:w="1984" w:type="dxa"/>
            <w:vAlign w:val="center"/>
          </w:tcPr>
          <w:p w14:paraId="65443228">
            <w:pPr>
              <w:adjustRightInd w:val="0"/>
              <w:snapToGrid w:val="0"/>
              <w:spacing w:line="360" w:lineRule="auto"/>
              <w:jc w:val="center"/>
              <w:rPr>
                <w:rFonts w:ascii="宋体" w:hAnsi="宋体"/>
                <w:b/>
                <w:color w:val="auto"/>
                <w:szCs w:val="21"/>
              </w:rPr>
            </w:pPr>
          </w:p>
        </w:tc>
        <w:tc>
          <w:tcPr>
            <w:tcW w:w="1843" w:type="dxa"/>
          </w:tcPr>
          <w:p w14:paraId="3ADB487C">
            <w:pPr>
              <w:adjustRightInd w:val="0"/>
              <w:snapToGrid w:val="0"/>
              <w:spacing w:line="360" w:lineRule="auto"/>
              <w:jc w:val="center"/>
              <w:rPr>
                <w:rFonts w:ascii="宋体" w:hAnsi="宋体"/>
                <w:b/>
                <w:color w:val="auto"/>
                <w:szCs w:val="21"/>
              </w:rPr>
            </w:pPr>
          </w:p>
        </w:tc>
      </w:tr>
      <w:tr w14:paraId="33495D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775F19C">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vAlign w:val="center"/>
          </w:tcPr>
          <w:p w14:paraId="46744CC8">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134" w:type="dxa"/>
            <w:tcBorders>
              <w:right w:val="single" w:color="auto" w:sz="4" w:space="0"/>
            </w:tcBorders>
            <w:vAlign w:val="center"/>
          </w:tcPr>
          <w:p w14:paraId="0F1F69BE">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34DF082C">
            <w:pPr>
              <w:adjustRightInd w:val="0"/>
              <w:snapToGrid w:val="0"/>
              <w:spacing w:line="360" w:lineRule="auto"/>
              <w:jc w:val="left"/>
              <w:rPr>
                <w:rFonts w:ascii="宋体" w:hAnsi="宋体"/>
                <w:b/>
                <w:color w:val="auto"/>
                <w:szCs w:val="21"/>
              </w:rPr>
            </w:pPr>
          </w:p>
        </w:tc>
        <w:tc>
          <w:tcPr>
            <w:tcW w:w="1984" w:type="dxa"/>
            <w:vAlign w:val="center"/>
          </w:tcPr>
          <w:p w14:paraId="2E02343A">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843" w:type="dxa"/>
          </w:tcPr>
          <w:p w14:paraId="39302945">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r>
      <w:tr w14:paraId="5EB191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650A2C57">
            <w:pPr>
              <w:adjustRightInd w:val="0"/>
              <w:snapToGrid w:val="0"/>
              <w:spacing w:line="360" w:lineRule="auto"/>
              <w:jc w:val="left"/>
              <w:rPr>
                <w:rFonts w:ascii="宋体" w:hAnsi="宋体"/>
                <w:b/>
                <w:color w:val="auto"/>
                <w:szCs w:val="21"/>
              </w:rPr>
            </w:pPr>
            <w:r>
              <w:rPr>
                <w:rFonts w:hint="eastAsia" w:ascii="宋体" w:hAnsi="宋体"/>
                <w:b/>
                <w:color w:val="auto"/>
                <w:szCs w:val="21"/>
              </w:rPr>
              <w:t>环境标志产品</w:t>
            </w:r>
          </w:p>
        </w:tc>
      </w:tr>
      <w:tr w14:paraId="15B579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92345F1">
            <w:pPr>
              <w:adjustRightInd w:val="0"/>
              <w:snapToGrid w:val="0"/>
              <w:spacing w:line="360" w:lineRule="auto"/>
              <w:jc w:val="center"/>
              <w:rPr>
                <w:rFonts w:ascii="宋体" w:hAnsi="宋体"/>
                <w:b/>
                <w:color w:val="auto"/>
                <w:szCs w:val="21"/>
              </w:rPr>
            </w:pPr>
          </w:p>
        </w:tc>
        <w:tc>
          <w:tcPr>
            <w:tcW w:w="1739" w:type="dxa"/>
            <w:vAlign w:val="center"/>
          </w:tcPr>
          <w:p w14:paraId="663250A1">
            <w:pPr>
              <w:adjustRightInd w:val="0"/>
              <w:snapToGrid w:val="0"/>
              <w:spacing w:line="360" w:lineRule="auto"/>
              <w:jc w:val="center"/>
              <w:rPr>
                <w:rFonts w:ascii="宋体" w:hAnsi="宋体"/>
                <w:b/>
                <w:color w:val="auto"/>
                <w:szCs w:val="21"/>
              </w:rPr>
            </w:pPr>
          </w:p>
        </w:tc>
        <w:tc>
          <w:tcPr>
            <w:tcW w:w="1134" w:type="dxa"/>
            <w:tcBorders>
              <w:right w:val="single" w:color="auto" w:sz="4" w:space="0"/>
            </w:tcBorders>
            <w:vAlign w:val="center"/>
          </w:tcPr>
          <w:p w14:paraId="0A6B5B26">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35E9148E">
            <w:pPr>
              <w:adjustRightInd w:val="0"/>
              <w:snapToGrid w:val="0"/>
              <w:spacing w:line="360" w:lineRule="auto"/>
              <w:jc w:val="left"/>
              <w:rPr>
                <w:rFonts w:ascii="宋体" w:hAnsi="宋体"/>
                <w:b/>
                <w:color w:val="auto"/>
                <w:szCs w:val="21"/>
              </w:rPr>
            </w:pPr>
          </w:p>
        </w:tc>
        <w:tc>
          <w:tcPr>
            <w:tcW w:w="1984" w:type="dxa"/>
            <w:vAlign w:val="center"/>
          </w:tcPr>
          <w:p w14:paraId="64F8C9E7">
            <w:pPr>
              <w:adjustRightInd w:val="0"/>
              <w:snapToGrid w:val="0"/>
              <w:spacing w:line="360" w:lineRule="auto"/>
              <w:jc w:val="center"/>
              <w:rPr>
                <w:rFonts w:ascii="宋体" w:hAnsi="宋体"/>
                <w:b/>
                <w:color w:val="auto"/>
                <w:szCs w:val="21"/>
              </w:rPr>
            </w:pPr>
          </w:p>
        </w:tc>
        <w:tc>
          <w:tcPr>
            <w:tcW w:w="1843" w:type="dxa"/>
          </w:tcPr>
          <w:p w14:paraId="6402E1AC">
            <w:pPr>
              <w:adjustRightInd w:val="0"/>
              <w:snapToGrid w:val="0"/>
              <w:spacing w:line="360" w:lineRule="auto"/>
              <w:jc w:val="center"/>
              <w:rPr>
                <w:rFonts w:ascii="宋体" w:hAnsi="宋体"/>
                <w:b/>
                <w:color w:val="auto"/>
                <w:szCs w:val="21"/>
              </w:rPr>
            </w:pPr>
          </w:p>
        </w:tc>
      </w:tr>
      <w:tr w14:paraId="25BD8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36A9739">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vAlign w:val="center"/>
          </w:tcPr>
          <w:p w14:paraId="74375909">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134" w:type="dxa"/>
            <w:tcBorders>
              <w:right w:val="single" w:color="auto" w:sz="4" w:space="0"/>
            </w:tcBorders>
            <w:vAlign w:val="center"/>
          </w:tcPr>
          <w:p w14:paraId="3F7F61A1">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3FB4B7D4">
            <w:pPr>
              <w:adjustRightInd w:val="0"/>
              <w:snapToGrid w:val="0"/>
              <w:spacing w:line="360" w:lineRule="auto"/>
              <w:jc w:val="left"/>
              <w:rPr>
                <w:rFonts w:ascii="宋体" w:hAnsi="宋体"/>
                <w:b/>
                <w:color w:val="auto"/>
                <w:szCs w:val="21"/>
              </w:rPr>
            </w:pPr>
          </w:p>
        </w:tc>
        <w:tc>
          <w:tcPr>
            <w:tcW w:w="1984" w:type="dxa"/>
            <w:vAlign w:val="center"/>
          </w:tcPr>
          <w:p w14:paraId="26E0ABAB">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843" w:type="dxa"/>
          </w:tcPr>
          <w:p w14:paraId="038E4D2D">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r>
    </w:tbl>
    <w:p w14:paraId="51E559E9">
      <w:pPr>
        <w:adjustRightInd w:val="0"/>
        <w:snapToGrid w:val="0"/>
        <w:jc w:val="left"/>
        <w:rPr>
          <w:rFonts w:ascii="宋体" w:hAnsi="宋体"/>
          <w:color w:val="auto"/>
          <w:szCs w:val="21"/>
        </w:rPr>
      </w:pPr>
      <w:r>
        <w:rPr>
          <w:rFonts w:hint="eastAsia" w:ascii="宋体" w:hAnsi="宋体"/>
          <w:color w:val="auto"/>
          <w:szCs w:val="21"/>
        </w:rPr>
        <w:t>说明：</w:t>
      </w:r>
      <w:r>
        <w:rPr>
          <w:rFonts w:hint="eastAsia" w:ascii="宋体" w:hAnsi="宋体"/>
          <w:bCs/>
          <w:color w:val="auto"/>
          <w:szCs w:val="21"/>
        </w:rPr>
        <w:t>1、</w:t>
      </w:r>
      <w:r>
        <w:rPr>
          <w:rFonts w:hint="eastAsia" w:ascii="宋体" w:hAnsi="宋体"/>
          <w:color w:val="auto"/>
          <w:szCs w:val="21"/>
        </w:rPr>
        <w:t>本表用于计算政府采购优先采购产品（节能产品或环境标志产品）的政府采购政策加分或者价格扣除。</w:t>
      </w:r>
    </w:p>
    <w:p w14:paraId="778D2C35">
      <w:pPr>
        <w:adjustRightInd w:val="0"/>
        <w:snapToGrid w:val="0"/>
        <w:ind w:firstLine="630" w:firstLineChars="300"/>
        <w:jc w:val="left"/>
        <w:rPr>
          <w:rFonts w:ascii="宋体" w:hAnsi="宋体"/>
          <w:color w:val="auto"/>
          <w:szCs w:val="21"/>
        </w:rPr>
      </w:pPr>
      <w:r>
        <w:rPr>
          <w:rFonts w:hint="eastAsia" w:ascii="宋体" w:hAnsi="宋体"/>
          <w:color w:val="auto"/>
          <w:szCs w:val="21"/>
        </w:rPr>
        <w:t>2、栏目4“价格”为综合单价，包含货物所有隐含的内容，如运输费、保险费、管理费和利润等。</w:t>
      </w:r>
    </w:p>
    <w:p w14:paraId="3395DB87">
      <w:pPr>
        <w:adjustRightInd w:val="0"/>
        <w:snapToGrid w:val="0"/>
        <w:ind w:firstLine="630" w:firstLineChars="300"/>
        <w:jc w:val="left"/>
        <w:rPr>
          <w:rFonts w:ascii="宋体" w:hAnsi="宋体"/>
          <w:color w:val="auto"/>
          <w:szCs w:val="21"/>
        </w:rPr>
      </w:pPr>
      <w:r>
        <w:rPr>
          <w:rFonts w:hint="eastAsia" w:ascii="宋体" w:hAnsi="宋体"/>
          <w:color w:val="auto"/>
          <w:szCs w:val="21"/>
        </w:rPr>
        <w:t>3、栏目6“政策功能编码”是指货物的中国环境标志认证证书编号、中国节能标志认证证书号（货物同时属于节能产品、环境标志产品的，只须填写一种）。</w:t>
      </w:r>
    </w:p>
    <w:p w14:paraId="03F00D72">
      <w:pPr>
        <w:adjustRightInd w:val="0"/>
        <w:snapToGrid w:val="0"/>
        <w:ind w:firstLine="630" w:firstLineChars="300"/>
        <w:rPr>
          <w:rFonts w:ascii="宋体" w:hAnsi="宋体"/>
          <w:bCs/>
          <w:color w:val="auto"/>
          <w:szCs w:val="21"/>
        </w:rPr>
      </w:pPr>
      <w:r>
        <w:rPr>
          <w:rFonts w:hint="eastAsia" w:ascii="宋体" w:hAnsi="宋体"/>
          <w:bCs/>
          <w:color w:val="auto"/>
          <w:szCs w:val="21"/>
        </w:rPr>
        <w:t>4、供应商在最后报价环节修改报价（最后）表的，应修改本表相应内容。否则，评审时涉及本表所有优惠不予以考虑。</w:t>
      </w:r>
    </w:p>
    <w:p w14:paraId="0D8FF4F5">
      <w:pPr>
        <w:adjustRightInd w:val="0"/>
        <w:snapToGrid w:val="0"/>
        <w:rPr>
          <w:rFonts w:ascii="宋体" w:hAnsi="宋体"/>
          <w:color w:val="auto"/>
          <w:szCs w:val="21"/>
        </w:rPr>
      </w:pPr>
    </w:p>
    <w:p w14:paraId="586D825E">
      <w:pPr>
        <w:adjustRightInd w:val="0"/>
        <w:snapToGrid w:val="0"/>
        <w:rPr>
          <w:rFonts w:ascii="宋体" w:hAnsi="宋体"/>
          <w:color w:val="auto"/>
          <w:szCs w:val="21"/>
        </w:rPr>
      </w:pPr>
      <w:r>
        <w:rPr>
          <w:rFonts w:hint="eastAsia" w:ascii="宋体" w:hAnsi="宋体"/>
          <w:color w:val="auto"/>
          <w:szCs w:val="21"/>
        </w:rPr>
        <w:t>供应商名称（盖单位章）：</w:t>
      </w:r>
    </w:p>
    <w:p w14:paraId="06EF93A8">
      <w:pPr>
        <w:adjustRightInd w:val="0"/>
        <w:snapToGrid w:val="0"/>
        <w:rPr>
          <w:rFonts w:ascii="宋体" w:hAnsi="宋体"/>
          <w:color w:val="auto"/>
          <w:szCs w:val="21"/>
        </w:rPr>
      </w:pPr>
      <w:r>
        <w:rPr>
          <w:rFonts w:hint="eastAsia" w:ascii="宋体" w:hAnsi="宋体" w:cs="微软雅黑"/>
          <w:color w:val="auto"/>
          <w:kern w:val="0"/>
          <w:szCs w:val="21"/>
        </w:rPr>
        <w:t>法定代表人（单位负责人）</w:t>
      </w:r>
      <w:r>
        <w:rPr>
          <w:rFonts w:hint="eastAsia" w:ascii="宋体" w:hAnsi="宋体"/>
          <w:color w:val="auto"/>
          <w:szCs w:val="21"/>
        </w:rPr>
        <w:t>或其委托代理人（签字或印章）：</w:t>
      </w:r>
      <w:r>
        <w:rPr>
          <w:rFonts w:hint="eastAsia" w:ascii="宋体" w:hAnsi="宋体"/>
          <w:color w:val="auto"/>
          <w:szCs w:val="21"/>
          <w:u w:val="single"/>
        </w:rPr>
        <w:t xml:space="preserve">       </w:t>
      </w:r>
    </w:p>
    <w:p w14:paraId="244D6EE5">
      <w:pPr>
        <w:rPr>
          <w:color w:val="auto"/>
        </w:rPr>
      </w:pPr>
      <w:r>
        <w:rPr>
          <w:rFonts w:hint="eastAsia"/>
          <w:color w:val="auto"/>
        </w:rPr>
        <w:t>日期：        年    月   日</w:t>
      </w:r>
    </w:p>
    <w:p w14:paraId="1169E657">
      <w:pPr>
        <w:adjustRightInd w:val="0"/>
        <w:snapToGrid w:val="0"/>
        <w:spacing w:line="360" w:lineRule="auto"/>
        <w:ind w:firstLine="630" w:firstLineChars="300"/>
        <w:jc w:val="left"/>
        <w:rPr>
          <w:rFonts w:ascii="宋体" w:hAnsi="宋体"/>
          <w:color w:val="auto"/>
          <w:szCs w:val="21"/>
        </w:rPr>
      </w:pPr>
      <w:r>
        <w:rPr>
          <w:rFonts w:hAnsi="华文中宋" w:eastAsia="黑体" w:cs="宋体"/>
          <w:color w:val="auto"/>
          <w:kern w:val="0"/>
        </w:rPr>
        <w:br w:type="page"/>
      </w:r>
    </w:p>
    <w:p w14:paraId="6D48F1F6">
      <w:pPr>
        <w:pStyle w:val="5"/>
        <w:adjustRightInd w:val="0"/>
        <w:snapToGrid w:val="0"/>
        <w:spacing w:before="156" w:beforeLines="50"/>
        <w:jc w:val="center"/>
        <w:rPr>
          <w:rFonts w:ascii="黑体" w:hAnsi="黑体" w:eastAsia="黑体"/>
          <w:color w:val="auto"/>
          <w:sz w:val="28"/>
          <w:szCs w:val="28"/>
        </w:rPr>
      </w:pPr>
      <w:bookmarkStart w:id="97" w:name="_Toc34637809"/>
      <w:bookmarkStart w:id="98" w:name="_Toc30866"/>
      <w:r>
        <w:rPr>
          <w:rFonts w:hint="eastAsia" w:ascii="黑体" w:hAnsi="黑体" w:eastAsia="黑体"/>
          <w:color w:val="auto"/>
          <w:sz w:val="28"/>
          <w:szCs w:val="28"/>
        </w:rPr>
        <w:t>十、</w:t>
      </w:r>
      <w:r>
        <w:rPr>
          <w:rFonts w:hint="eastAsia" w:ascii="黑体" w:hAnsi="黑体" w:eastAsia="黑体"/>
          <w:color w:val="auto"/>
          <w:sz w:val="28"/>
          <w:szCs w:val="28"/>
          <w:lang w:val="en-US" w:eastAsia="zh-CN"/>
        </w:rPr>
        <w:t>商务评分证明资料</w:t>
      </w:r>
      <w:bookmarkEnd w:id="97"/>
      <w:bookmarkEnd w:id="98"/>
    </w:p>
    <w:p w14:paraId="7895EBF5">
      <w:pPr>
        <w:adjustRightInd w:val="0"/>
        <w:snapToGrid w:val="0"/>
        <w:spacing w:before="156" w:beforeLines="50" w:line="360" w:lineRule="auto"/>
        <w:rPr>
          <w:rFonts w:ascii="宋体" w:hAnsi="宋体"/>
          <w:color w:val="auto"/>
          <w:szCs w:val="21"/>
        </w:rPr>
      </w:pPr>
      <w:r>
        <w:rPr>
          <w:rFonts w:hint="eastAsia" w:ascii="宋体" w:hAnsi="宋体"/>
          <w:color w:val="auto"/>
          <w:sz w:val="21"/>
          <w:szCs w:val="21"/>
          <w:lang w:val="en-US" w:eastAsia="zh-CN"/>
        </w:rPr>
        <w:t>供应商根据商务评审标准提供相应</w:t>
      </w:r>
      <w:r>
        <w:rPr>
          <w:rFonts w:hint="eastAsia" w:ascii="宋体" w:hAnsi="宋体"/>
          <w:color w:val="auto"/>
          <w:szCs w:val="21"/>
        </w:rPr>
        <w:t>证明材料。</w:t>
      </w:r>
    </w:p>
    <w:p w14:paraId="1CC733C9">
      <w:pPr>
        <w:rPr>
          <w:color w:val="auto"/>
        </w:rPr>
      </w:pPr>
    </w:p>
    <w:p w14:paraId="3F3357F8">
      <w:pPr>
        <w:spacing w:line="480" w:lineRule="exact"/>
        <w:rPr>
          <w:rFonts w:ascii="黑体" w:eastAsia="黑体"/>
          <w:color w:val="auto"/>
          <w:sz w:val="24"/>
        </w:rPr>
      </w:pPr>
    </w:p>
    <w:p w14:paraId="7F426819">
      <w:pPr>
        <w:widowControl/>
        <w:jc w:val="left"/>
        <w:rPr>
          <w:rFonts w:ascii="黑体" w:eastAsia="黑体"/>
          <w:b/>
          <w:bCs/>
          <w:color w:val="auto"/>
          <w:sz w:val="32"/>
          <w:szCs w:val="32"/>
        </w:rPr>
      </w:pPr>
      <w:r>
        <w:rPr>
          <w:rFonts w:ascii="黑体" w:eastAsia="黑体"/>
          <w:b/>
          <w:bCs/>
          <w:color w:val="auto"/>
          <w:sz w:val="32"/>
          <w:szCs w:val="32"/>
        </w:rPr>
        <w:br w:type="page"/>
      </w:r>
    </w:p>
    <w:p w14:paraId="27C38F0A">
      <w:pPr>
        <w:pStyle w:val="5"/>
        <w:jc w:val="center"/>
        <w:rPr>
          <w:rFonts w:ascii="黑体" w:hAnsi="黑体" w:eastAsia="黑体"/>
          <w:color w:val="auto"/>
          <w:sz w:val="28"/>
          <w:szCs w:val="28"/>
        </w:rPr>
      </w:pPr>
      <w:bookmarkStart w:id="99" w:name="_Toc34637810"/>
      <w:bookmarkStart w:id="100" w:name="_Toc2466"/>
      <w:r>
        <w:rPr>
          <w:rFonts w:hint="eastAsia" w:ascii="黑体" w:hAnsi="黑体" w:eastAsia="黑体"/>
          <w:color w:val="auto"/>
          <w:sz w:val="28"/>
          <w:szCs w:val="28"/>
        </w:rPr>
        <w:t>十</w:t>
      </w:r>
      <w:r>
        <w:rPr>
          <w:rFonts w:hint="eastAsia" w:ascii="黑体" w:hAnsi="黑体" w:eastAsia="黑体"/>
          <w:color w:val="auto"/>
          <w:sz w:val="28"/>
          <w:szCs w:val="28"/>
          <w:lang w:val="en-US" w:eastAsia="zh-CN"/>
        </w:rPr>
        <w:t>一</w:t>
      </w:r>
      <w:r>
        <w:rPr>
          <w:rFonts w:hint="eastAsia" w:ascii="黑体" w:hAnsi="黑体" w:eastAsia="黑体"/>
          <w:color w:val="auto"/>
          <w:sz w:val="28"/>
          <w:szCs w:val="28"/>
        </w:rPr>
        <w:t>、</w:t>
      </w:r>
      <w:bookmarkEnd w:id="99"/>
      <w:r>
        <w:rPr>
          <w:rFonts w:hint="eastAsia" w:ascii="黑体" w:hAnsi="黑体" w:eastAsia="黑体"/>
          <w:color w:val="auto"/>
          <w:sz w:val="28"/>
          <w:szCs w:val="28"/>
        </w:rPr>
        <w:t>供应商认为需提供的其他资料</w:t>
      </w:r>
      <w:bookmarkEnd w:id="100"/>
    </w:p>
    <w:p w14:paraId="1677D1C5">
      <w:pPr>
        <w:adjustRightInd w:val="0"/>
        <w:snapToGrid w:val="0"/>
        <w:spacing w:line="360" w:lineRule="auto"/>
        <w:rPr>
          <w:rFonts w:ascii="宋体" w:hAnsi="宋体"/>
          <w:color w:val="auto"/>
          <w:szCs w:val="21"/>
        </w:rPr>
      </w:pPr>
    </w:p>
    <w:p w14:paraId="025E98A0">
      <w:pPr>
        <w:adjustRightInd w:val="0"/>
        <w:snapToGrid w:val="0"/>
        <w:spacing w:line="360" w:lineRule="auto"/>
        <w:rPr>
          <w:rFonts w:ascii="宋体" w:hAnsi="宋体"/>
          <w:color w:val="auto"/>
        </w:rPr>
      </w:pPr>
    </w:p>
    <w:p w14:paraId="20BEBC37">
      <w:pPr>
        <w:widowControl/>
        <w:jc w:val="left"/>
        <w:rPr>
          <w:rFonts w:ascii="黑体" w:eastAsia="黑体"/>
          <w:b/>
          <w:bCs/>
          <w:color w:val="auto"/>
          <w:sz w:val="28"/>
          <w:szCs w:val="28"/>
        </w:rPr>
      </w:pPr>
      <w:r>
        <w:rPr>
          <w:rFonts w:ascii="黑体" w:eastAsia="黑体"/>
          <w:b/>
          <w:bCs/>
          <w:color w:val="auto"/>
          <w:sz w:val="28"/>
          <w:szCs w:val="28"/>
        </w:rPr>
        <w:br w:type="page"/>
      </w:r>
    </w:p>
    <w:p w14:paraId="5FA7C0AC">
      <w:pPr>
        <w:pStyle w:val="5"/>
        <w:jc w:val="center"/>
        <w:rPr>
          <w:rFonts w:ascii="黑体" w:hAnsi="黑体" w:eastAsia="黑体"/>
          <w:color w:val="auto"/>
          <w:sz w:val="28"/>
          <w:szCs w:val="28"/>
        </w:rPr>
      </w:pPr>
      <w:bookmarkStart w:id="101" w:name="_Toc30729"/>
      <w:r>
        <w:rPr>
          <w:rFonts w:hint="eastAsia" w:ascii="黑体" w:hAnsi="黑体" w:eastAsia="黑体"/>
          <w:color w:val="auto"/>
          <w:sz w:val="28"/>
          <w:szCs w:val="28"/>
        </w:rPr>
        <w:t>十</w:t>
      </w:r>
      <w:r>
        <w:rPr>
          <w:rFonts w:hint="eastAsia" w:ascii="黑体" w:hAnsi="黑体" w:eastAsia="黑体"/>
          <w:color w:val="auto"/>
          <w:sz w:val="28"/>
          <w:szCs w:val="28"/>
          <w:lang w:val="en-US" w:eastAsia="zh-CN"/>
        </w:rPr>
        <w:t>二</w:t>
      </w:r>
      <w:r>
        <w:rPr>
          <w:rFonts w:hint="eastAsia" w:ascii="黑体" w:hAnsi="黑体" w:eastAsia="黑体"/>
          <w:color w:val="auto"/>
          <w:sz w:val="28"/>
          <w:szCs w:val="28"/>
        </w:rPr>
        <w:t>、最终报价</w:t>
      </w:r>
      <w:bookmarkEnd w:id="101"/>
    </w:p>
    <w:p w14:paraId="10A99CFC">
      <w:pPr>
        <w:adjustRightInd w:val="0"/>
        <w:snapToGrid w:val="0"/>
        <w:ind w:left="-88" w:leftChars="-42"/>
        <w:rPr>
          <w:rFonts w:ascii="宋体" w:hAnsi="宋体"/>
          <w:color w:val="auto"/>
          <w:szCs w:val="21"/>
        </w:rPr>
      </w:pPr>
    </w:p>
    <w:p w14:paraId="230FA338">
      <w:pPr>
        <w:adjustRightInd w:val="0"/>
        <w:snapToGrid w:val="0"/>
        <w:ind w:firstLine="480" w:firstLineChars="200"/>
        <w:rPr>
          <w:rFonts w:ascii="新宋体" w:hAnsi="新宋体" w:eastAsia="新宋体" w:cs="新宋体"/>
          <w:b/>
          <w:color w:val="auto"/>
          <w:sz w:val="24"/>
        </w:rPr>
      </w:pPr>
      <w:r>
        <w:rPr>
          <w:rFonts w:hint="eastAsia" w:ascii="新宋体" w:hAnsi="新宋体" w:eastAsia="新宋体" w:cs="新宋体"/>
          <w:b/>
          <w:color w:val="auto"/>
          <w:sz w:val="24"/>
        </w:rPr>
        <w:t>说明：不密封在磋商文件内，磋商现场另行提交</w:t>
      </w:r>
    </w:p>
    <w:p w14:paraId="32DEECBA">
      <w:pPr>
        <w:adjustRightInd w:val="0"/>
        <w:snapToGrid w:val="0"/>
        <w:ind w:firstLine="480" w:firstLineChars="200"/>
        <w:rPr>
          <w:rFonts w:ascii="新宋体" w:hAnsi="新宋体" w:eastAsia="新宋体" w:cs="新宋体"/>
          <w:b/>
          <w:color w:val="auto"/>
          <w:sz w:val="24"/>
        </w:rPr>
      </w:pPr>
    </w:p>
    <w:p w14:paraId="61F87BF0">
      <w:pPr>
        <w:spacing w:line="460" w:lineRule="exact"/>
        <w:jc w:val="center"/>
        <w:rPr>
          <w:rFonts w:ascii="宋体" w:hAnsi="宋体"/>
          <w:b/>
          <w:color w:val="auto"/>
          <w:sz w:val="32"/>
          <w:szCs w:val="32"/>
        </w:rPr>
      </w:pPr>
      <w:r>
        <w:rPr>
          <w:rFonts w:hint="eastAsia" w:ascii="宋体" w:hAnsi="宋体"/>
          <w:b/>
          <w:color w:val="auto"/>
          <w:sz w:val="32"/>
          <w:szCs w:val="32"/>
        </w:rPr>
        <w:t>最终报价表</w:t>
      </w:r>
    </w:p>
    <w:tbl>
      <w:tblPr>
        <w:tblStyle w:val="19"/>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2762"/>
        <w:gridCol w:w="1620"/>
        <w:gridCol w:w="2520"/>
      </w:tblGrid>
      <w:tr w14:paraId="2088E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918" w:type="dxa"/>
            <w:vMerge w:val="restart"/>
            <w:tcBorders>
              <w:top w:val="double" w:color="auto" w:sz="4" w:space="0"/>
              <w:left w:val="double" w:color="auto" w:sz="4" w:space="0"/>
              <w:bottom w:val="single" w:color="auto" w:sz="6" w:space="0"/>
              <w:right w:val="single" w:color="auto" w:sz="6" w:space="0"/>
            </w:tcBorders>
            <w:vAlign w:val="center"/>
          </w:tcPr>
          <w:p w14:paraId="548A1196">
            <w:pPr>
              <w:tabs>
                <w:tab w:val="left" w:pos="403"/>
                <w:tab w:val="center" w:pos="3781"/>
              </w:tabs>
              <w:spacing w:line="420" w:lineRule="exact"/>
              <w:ind w:right="-5205" w:rightChars="-2479" w:firstLine="210" w:firstLineChars="100"/>
              <w:rPr>
                <w:rFonts w:ascii="宋体" w:hAnsi="宋体" w:cs="宋体"/>
                <w:color w:val="auto"/>
                <w:szCs w:val="21"/>
              </w:rPr>
            </w:pPr>
            <w:r>
              <w:rPr>
                <w:rFonts w:hint="eastAsia" w:ascii="宋体" w:hAnsi="宋体" w:cs="宋体"/>
                <w:color w:val="auto"/>
                <w:szCs w:val="21"/>
              </w:rPr>
              <w:t>项目名称</w:t>
            </w:r>
            <w:r>
              <w:rPr>
                <w:rFonts w:hint="eastAsia" w:ascii="宋体" w:hAnsi="宋体" w:cs="宋体"/>
                <w:color w:val="auto"/>
                <w:szCs w:val="21"/>
              </w:rPr>
              <w:tab/>
            </w:r>
            <w:r>
              <w:rPr>
                <w:rFonts w:hint="eastAsia" w:ascii="宋体" w:hAnsi="宋体" w:cs="宋体"/>
                <w:color w:val="auto"/>
                <w:szCs w:val="21"/>
              </w:rPr>
              <w:t>项目名称</w:t>
            </w:r>
          </w:p>
        </w:tc>
        <w:tc>
          <w:tcPr>
            <w:tcW w:w="2762" w:type="dxa"/>
            <w:vMerge w:val="restart"/>
            <w:tcBorders>
              <w:top w:val="double" w:color="auto" w:sz="4" w:space="0"/>
              <w:left w:val="single" w:color="auto" w:sz="6" w:space="0"/>
              <w:bottom w:val="single" w:color="auto" w:sz="6" w:space="0"/>
              <w:right w:val="single" w:color="auto" w:sz="6" w:space="0"/>
            </w:tcBorders>
            <w:vAlign w:val="center"/>
          </w:tcPr>
          <w:p w14:paraId="12F7A5E2">
            <w:pPr>
              <w:spacing w:line="420" w:lineRule="exact"/>
              <w:jc w:val="center"/>
              <w:rPr>
                <w:rFonts w:ascii="宋体" w:hAnsi="宋体" w:cs="宋体"/>
                <w:color w:val="auto"/>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77292AC0">
            <w:pPr>
              <w:spacing w:line="420" w:lineRule="exact"/>
              <w:jc w:val="center"/>
              <w:rPr>
                <w:rFonts w:hint="eastAsia" w:ascii="宋体" w:hAnsi="宋体" w:eastAsia="宋体" w:cs="宋体"/>
                <w:color w:val="auto"/>
                <w:szCs w:val="21"/>
                <w:lang w:eastAsia="zh-CN"/>
              </w:rPr>
            </w:pPr>
            <w:r>
              <w:rPr>
                <w:rFonts w:hint="eastAsia" w:ascii="宋体" w:hAnsi="宋体" w:cs="宋体"/>
                <w:color w:val="auto"/>
                <w:szCs w:val="21"/>
                <w:lang w:eastAsia="zh-CN"/>
              </w:rPr>
              <w:t>采购项目编号</w:t>
            </w:r>
          </w:p>
        </w:tc>
        <w:tc>
          <w:tcPr>
            <w:tcW w:w="2520" w:type="dxa"/>
            <w:tcBorders>
              <w:top w:val="double" w:color="auto" w:sz="4" w:space="0"/>
              <w:left w:val="single" w:color="auto" w:sz="6" w:space="0"/>
              <w:bottom w:val="single" w:color="auto" w:sz="6" w:space="0"/>
              <w:right w:val="double" w:color="auto" w:sz="4" w:space="0"/>
            </w:tcBorders>
            <w:vAlign w:val="center"/>
          </w:tcPr>
          <w:p w14:paraId="0B135BB1">
            <w:pPr>
              <w:spacing w:line="420" w:lineRule="exact"/>
              <w:jc w:val="center"/>
              <w:rPr>
                <w:rFonts w:ascii="宋体" w:hAnsi="宋体" w:cs="宋体"/>
                <w:color w:val="auto"/>
                <w:szCs w:val="21"/>
              </w:rPr>
            </w:pPr>
          </w:p>
        </w:tc>
      </w:tr>
      <w:tr w14:paraId="171FD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918" w:type="dxa"/>
            <w:vMerge w:val="continue"/>
            <w:tcBorders>
              <w:top w:val="single" w:color="auto" w:sz="6" w:space="0"/>
              <w:left w:val="double" w:color="auto" w:sz="4" w:space="0"/>
              <w:bottom w:val="single" w:color="auto" w:sz="6" w:space="0"/>
              <w:right w:val="single" w:color="auto" w:sz="6" w:space="0"/>
            </w:tcBorders>
            <w:vAlign w:val="center"/>
          </w:tcPr>
          <w:p w14:paraId="7E22731A">
            <w:pPr>
              <w:tabs>
                <w:tab w:val="left" w:pos="403"/>
                <w:tab w:val="center" w:pos="3781"/>
              </w:tabs>
              <w:spacing w:line="420" w:lineRule="exact"/>
              <w:ind w:right="-5205" w:rightChars="-2479"/>
              <w:rPr>
                <w:rFonts w:ascii="宋体" w:hAnsi="宋体" w:cs="宋体"/>
                <w:color w:val="auto"/>
                <w:szCs w:val="21"/>
              </w:rPr>
            </w:pPr>
          </w:p>
        </w:tc>
        <w:tc>
          <w:tcPr>
            <w:tcW w:w="2762" w:type="dxa"/>
            <w:vMerge w:val="continue"/>
            <w:tcBorders>
              <w:top w:val="single" w:color="auto" w:sz="6" w:space="0"/>
              <w:left w:val="single" w:color="auto" w:sz="6" w:space="0"/>
              <w:bottom w:val="single" w:color="auto" w:sz="6" w:space="0"/>
              <w:right w:val="single" w:color="auto" w:sz="6" w:space="0"/>
            </w:tcBorders>
            <w:vAlign w:val="center"/>
          </w:tcPr>
          <w:p w14:paraId="12704F9E">
            <w:pPr>
              <w:spacing w:line="420" w:lineRule="exact"/>
              <w:jc w:val="center"/>
              <w:rPr>
                <w:rFonts w:ascii="宋体" w:hAnsi="宋体" w:cs="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3559EC4D">
            <w:pPr>
              <w:spacing w:line="420" w:lineRule="exact"/>
              <w:jc w:val="center"/>
              <w:rPr>
                <w:rFonts w:hint="eastAsia" w:ascii="宋体" w:hAnsi="宋体" w:eastAsia="宋体" w:cs="宋体"/>
                <w:color w:val="auto"/>
                <w:szCs w:val="21"/>
                <w:lang w:eastAsia="zh-CN"/>
              </w:rPr>
            </w:pPr>
            <w:r>
              <w:rPr>
                <w:rFonts w:hint="eastAsia" w:ascii="宋体" w:hAnsi="宋体" w:cs="宋体"/>
                <w:color w:val="auto"/>
                <w:szCs w:val="21"/>
                <w:lang w:eastAsia="zh-CN"/>
              </w:rPr>
              <w:t>代理机构编号</w:t>
            </w:r>
          </w:p>
        </w:tc>
        <w:tc>
          <w:tcPr>
            <w:tcW w:w="2520" w:type="dxa"/>
            <w:tcBorders>
              <w:top w:val="single" w:color="auto" w:sz="6" w:space="0"/>
              <w:left w:val="single" w:color="auto" w:sz="6" w:space="0"/>
              <w:bottom w:val="single" w:color="auto" w:sz="6" w:space="0"/>
              <w:right w:val="double" w:color="auto" w:sz="4" w:space="0"/>
            </w:tcBorders>
            <w:vAlign w:val="center"/>
          </w:tcPr>
          <w:p w14:paraId="3A925E37">
            <w:pPr>
              <w:spacing w:line="420" w:lineRule="exact"/>
              <w:jc w:val="center"/>
              <w:rPr>
                <w:rFonts w:ascii="宋体" w:hAnsi="宋体" w:cs="宋体"/>
                <w:color w:val="auto"/>
                <w:szCs w:val="21"/>
              </w:rPr>
            </w:pPr>
          </w:p>
        </w:tc>
      </w:tr>
      <w:tr w14:paraId="102126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918" w:type="dxa"/>
            <w:tcBorders>
              <w:top w:val="single" w:color="auto" w:sz="6" w:space="0"/>
              <w:left w:val="double" w:color="auto" w:sz="4" w:space="0"/>
              <w:right w:val="single" w:color="auto" w:sz="6" w:space="0"/>
            </w:tcBorders>
            <w:vAlign w:val="center"/>
          </w:tcPr>
          <w:p w14:paraId="1BE7385E">
            <w:pPr>
              <w:spacing w:line="420" w:lineRule="exact"/>
              <w:jc w:val="center"/>
              <w:rPr>
                <w:rFonts w:ascii="宋体" w:hAnsi="宋体" w:cs="宋体"/>
                <w:color w:val="auto"/>
                <w:szCs w:val="21"/>
              </w:rPr>
            </w:pPr>
            <w:r>
              <w:rPr>
                <w:rFonts w:hint="eastAsia" w:ascii="宋体" w:hAnsi="宋体" w:cs="宋体"/>
                <w:color w:val="auto"/>
                <w:szCs w:val="21"/>
              </w:rPr>
              <w:t>报价</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437CFD5E">
            <w:pPr>
              <w:rPr>
                <w:rFonts w:ascii="宋体" w:hAnsi="宋体" w:cs="宋体"/>
                <w:color w:val="auto"/>
                <w:szCs w:val="21"/>
              </w:rPr>
            </w:pPr>
            <w:r>
              <w:rPr>
                <w:rFonts w:hint="eastAsia" w:ascii="宋体" w:hAnsi="宋体" w:cs="宋体"/>
                <w:color w:val="auto"/>
                <w:szCs w:val="21"/>
              </w:rPr>
              <w:t>大写：</w:t>
            </w:r>
            <w:r>
              <w:rPr>
                <w:rFonts w:hint="eastAsia" w:ascii="宋体" w:hAnsi="宋体" w:cs="宋体"/>
                <w:color w:val="auto"/>
                <w:szCs w:val="21"/>
                <w:u w:val="single"/>
              </w:rPr>
              <w:t xml:space="preserve">                    </w:t>
            </w:r>
            <w:r>
              <w:rPr>
                <w:rFonts w:hint="eastAsia" w:ascii="宋体" w:hAnsi="宋体" w:cs="宋体"/>
                <w:color w:val="auto"/>
                <w:szCs w:val="21"/>
              </w:rPr>
              <w:t>（人民币）</w:t>
            </w:r>
          </w:p>
          <w:p w14:paraId="728E24D0">
            <w:pPr>
              <w:spacing w:line="420" w:lineRule="exact"/>
              <w:rPr>
                <w:rFonts w:ascii="宋体" w:hAnsi="宋体" w:cs="宋体"/>
                <w:color w:val="auto"/>
                <w:szCs w:val="21"/>
              </w:rPr>
            </w:pPr>
            <w:r>
              <w:rPr>
                <w:rFonts w:hint="eastAsia" w:ascii="宋体" w:hAnsi="宋体" w:cs="宋体"/>
                <w:color w:val="auto"/>
                <w:szCs w:val="21"/>
              </w:rPr>
              <w:t>小写：</w:t>
            </w:r>
            <w:r>
              <w:rPr>
                <w:rFonts w:hint="eastAsia" w:ascii="宋体" w:hAnsi="宋体" w:cs="宋体"/>
                <w:color w:val="auto"/>
                <w:szCs w:val="21"/>
                <w:u w:val="single"/>
              </w:rPr>
              <w:t xml:space="preserve">                    </w:t>
            </w:r>
            <w:r>
              <w:rPr>
                <w:rFonts w:hint="eastAsia" w:ascii="宋体" w:hAnsi="宋体" w:cs="宋体"/>
                <w:color w:val="auto"/>
                <w:szCs w:val="21"/>
              </w:rPr>
              <w:t>（人民币）</w:t>
            </w:r>
          </w:p>
        </w:tc>
      </w:tr>
      <w:tr w14:paraId="1F8A5F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918" w:type="dxa"/>
            <w:tcBorders>
              <w:top w:val="single" w:color="auto" w:sz="6" w:space="0"/>
              <w:left w:val="double" w:color="auto" w:sz="4" w:space="0"/>
              <w:bottom w:val="double" w:color="auto" w:sz="4" w:space="0"/>
              <w:right w:val="single" w:color="auto" w:sz="6" w:space="0"/>
            </w:tcBorders>
            <w:vAlign w:val="center"/>
          </w:tcPr>
          <w:p w14:paraId="10948BD5">
            <w:pPr>
              <w:spacing w:line="42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项目负责人</w:t>
            </w:r>
          </w:p>
        </w:tc>
        <w:tc>
          <w:tcPr>
            <w:tcW w:w="6902" w:type="dxa"/>
            <w:gridSpan w:val="3"/>
            <w:tcBorders>
              <w:top w:val="single" w:color="auto" w:sz="6" w:space="0"/>
              <w:left w:val="single" w:color="auto" w:sz="6" w:space="0"/>
              <w:bottom w:val="double" w:color="auto" w:sz="4" w:space="0"/>
              <w:right w:val="double" w:color="auto" w:sz="4" w:space="0"/>
            </w:tcBorders>
            <w:vAlign w:val="center"/>
          </w:tcPr>
          <w:p w14:paraId="17E8BA25">
            <w:pPr>
              <w:spacing w:line="420" w:lineRule="exact"/>
              <w:rPr>
                <w:rFonts w:ascii="宋体" w:hAnsi="宋体" w:cs="宋体"/>
                <w:color w:val="auto"/>
                <w:szCs w:val="21"/>
              </w:rPr>
            </w:pPr>
          </w:p>
        </w:tc>
      </w:tr>
      <w:tr w14:paraId="2E9AED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918" w:type="dxa"/>
            <w:tcBorders>
              <w:top w:val="single" w:color="auto" w:sz="6" w:space="0"/>
              <w:left w:val="double" w:color="auto" w:sz="4" w:space="0"/>
              <w:bottom w:val="single" w:color="auto" w:sz="6" w:space="0"/>
              <w:right w:val="single" w:color="auto" w:sz="6" w:space="0"/>
            </w:tcBorders>
            <w:vAlign w:val="center"/>
          </w:tcPr>
          <w:p w14:paraId="6706DACF">
            <w:pPr>
              <w:spacing w:line="420" w:lineRule="exact"/>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工期</w:t>
            </w:r>
          </w:p>
        </w:tc>
        <w:tc>
          <w:tcPr>
            <w:tcW w:w="6902" w:type="dxa"/>
            <w:gridSpan w:val="3"/>
            <w:tcBorders>
              <w:top w:val="single" w:color="auto" w:sz="6" w:space="0"/>
              <w:left w:val="single" w:color="auto" w:sz="6" w:space="0"/>
              <w:bottom w:val="single" w:color="auto" w:sz="6" w:space="0"/>
              <w:right w:val="double" w:color="auto" w:sz="4" w:space="0"/>
            </w:tcBorders>
            <w:vAlign w:val="center"/>
          </w:tcPr>
          <w:p w14:paraId="4C00EBF3">
            <w:pPr>
              <w:spacing w:line="420" w:lineRule="exact"/>
              <w:rPr>
                <w:rFonts w:ascii="宋体" w:hAnsi="宋体" w:cs="宋体"/>
                <w:color w:val="auto"/>
                <w:szCs w:val="21"/>
              </w:rPr>
            </w:pPr>
          </w:p>
        </w:tc>
      </w:tr>
      <w:tr w14:paraId="13620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918" w:type="dxa"/>
            <w:tcBorders>
              <w:top w:val="single" w:color="auto" w:sz="6" w:space="0"/>
              <w:left w:val="double" w:color="auto" w:sz="4" w:space="0"/>
              <w:bottom w:val="double" w:color="auto" w:sz="4" w:space="0"/>
              <w:right w:val="single" w:color="auto" w:sz="6" w:space="0"/>
            </w:tcBorders>
            <w:vAlign w:val="center"/>
          </w:tcPr>
          <w:p w14:paraId="20EFD60C">
            <w:pPr>
              <w:spacing w:line="420" w:lineRule="exact"/>
              <w:jc w:val="center"/>
              <w:rPr>
                <w:rFonts w:hint="eastAsia" w:ascii="宋体" w:hAnsi="宋体" w:eastAsia="宋体" w:cs="宋体"/>
                <w:color w:val="auto"/>
                <w:szCs w:val="21"/>
                <w:lang w:val="en-US" w:eastAsia="zh-CN"/>
              </w:rPr>
            </w:pPr>
            <w:r>
              <w:rPr>
                <w:rFonts w:hint="eastAsia" w:ascii="宋体" w:hAnsi="宋体" w:cs="宋体"/>
                <w:color w:val="auto"/>
                <w:szCs w:val="21"/>
              </w:rPr>
              <w:t>备  注</w:t>
            </w:r>
          </w:p>
        </w:tc>
        <w:tc>
          <w:tcPr>
            <w:tcW w:w="6902" w:type="dxa"/>
            <w:gridSpan w:val="3"/>
            <w:tcBorders>
              <w:top w:val="single" w:color="auto" w:sz="6" w:space="0"/>
              <w:left w:val="single" w:color="auto" w:sz="6" w:space="0"/>
              <w:bottom w:val="double" w:color="auto" w:sz="4" w:space="0"/>
              <w:right w:val="double" w:color="auto" w:sz="4" w:space="0"/>
            </w:tcBorders>
            <w:vAlign w:val="center"/>
          </w:tcPr>
          <w:p w14:paraId="75C1C620">
            <w:pPr>
              <w:spacing w:line="420" w:lineRule="exact"/>
              <w:rPr>
                <w:rFonts w:ascii="宋体" w:hAnsi="宋体" w:cs="宋体"/>
                <w:color w:val="auto"/>
                <w:szCs w:val="21"/>
              </w:rPr>
            </w:pPr>
          </w:p>
        </w:tc>
      </w:tr>
    </w:tbl>
    <w:p w14:paraId="661D54CA">
      <w:pPr>
        <w:pStyle w:val="6"/>
        <w:ind w:firstLine="0"/>
        <w:rPr>
          <w:rFonts w:ascii="宋体" w:hAnsi="宋体"/>
          <w:color w:val="auto"/>
          <w:szCs w:val="21"/>
        </w:rPr>
      </w:pPr>
    </w:p>
    <w:p w14:paraId="4DA80ECB">
      <w:pPr>
        <w:pStyle w:val="6"/>
        <w:ind w:firstLine="0"/>
        <w:rPr>
          <w:rFonts w:ascii="宋体" w:hAnsi="宋体"/>
          <w:color w:val="auto"/>
          <w:szCs w:val="21"/>
        </w:rPr>
      </w:pPr>
    </w:p>
    <w:p w14:paraId="36053B5A">
      <w:pPr>
        <w:pStyle w:val="6"/>
        <w:ind w:firstLine="0"/>
        <w:rPr>
          <w:rFonts w:ascii="宋体" w:hAnsi="宋体"/>
          <w:color w:val="auto"/>
          <w:szCs w:val="21"/>
        </w:rPr>
      </w:pPr>
    </w:p>
    <w:p w14:paraId="78B028C3">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575EA36B">
      <w:pPr>
        <w:adjustRightInd w:val="0"/>
        <w:snapToGrid w:val="0"/>
        <w:spacing w:line="360" w:lineRule="auto"/>
        <w:rPr>
          <w:rFonts w:ascii="宋体" w:hAnsi="宋体"/>
          <w:color w:val="auto"/>
          <w:szCs w:val="21"/>
        </w:rPr>
      </w:pPr>
      <w:r>
        <w:rPr>
          <w:rFonts w:hint="eastAsia" w:ascii="宋体" w:hAnsi="宋体" w:cs="微软雅黑"/>
          <w:color w:val="auto"/>
          <w:kern w:val="0"/>
          <w:szCs w:val="21"/>
        </w:rPr>
        <w:t>法定代表人（单位负责人）</w:t>
      </w:r>
      <w:r>
        <w:rPr>
          <w:rFonts w:hint="eastAsia" w:ascii="宋体" w:hAnsi="宋体"/>
          <w:color w:val="auto"/>
          <w:szCs w:val="21"/>
        </w:rPr>
        <w:t>或其授权的代理人（签字或印章）：</w:t>
      </w:r>
      <w:r>
        <w:rPr>
          <w:rFonts w:hint="eastAsia" w:ascii="宋体" w:hAnsi="宋体"/>
          <w:color w:val="auto"/>
          <w:szCs w:val="21"/>
          <w:u w:val="single"/>
        </w:rPr>
        <w:t xml:space="preserve">                </w:t>
      </w:r>
      <w:r>
        <w:rPr>
          <w:rFonts w:hint="eastAsia" w:ascii="宋体" w:hAnsi="宋体"/>
          <w:color w:val="auto"/>
          <w:szCs w:val="21"/>
        </w:rPr>
        <w:t>_</w:t>
      </w:r>
    </w:p>
    <w:p w14:paraId="780F691A">
      <w:pPr>
        <w:widowControl/>
        <w:jc w:val="left"/>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6DAF58F1">
      <w:pPr>
        <w:rPr>
          <w:color w:val="auto"/>
          <w:highlight w:val="none"/>
        </w:rPr>
      </w:pPr>
    </w:p>
    <w:sectPr>
      <w:headerReference r:id="rId7" w:type="default"/>
      <w:footerReference r:id="rId8" w:type="default"/>
      <w:footerReference r:id="rId9" w:type="even"/>
      <w:pgSz w:w="11906" w:h="16838"/>
      <w:pgMar w:top="1440" w:right="1366" w:bottom="1440" w:left="1366" w:header="851" w:footer="794" w:gutter="0"/>
      <w:pgBorders>
        <w:top w:val="none" w:sz="0" w:space="0"/>
        <w:left w:val="none" w:sz="0" w:space="0"/>
        <w:bottom w:val="none" w:sz="0" w:space="0"/>
        <w:right w:val="none" w:sz="0" w:space="0"/>
      </w:pgBorders>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华文宋体">
    <w:altName w:val="宋体"/>
    <w:panose1 w:val="02010600040101010101"/>
    <w:charset w:val="86"/>
    <w:family w:val="auto"/>
    <w:pitch w:val="default"/>
    <w:sig w:usb0="00000000" w:usb1="00000000" w:usb2="00000000" w:usb3="00000000" w:csb0="0004009F" w:csb1="DFD70000"/>
  </w:font>
  <w:font w:name="AlibabaPuHuiTi-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68EDA">
    <w:pPr>
      <w:kinsoku w:val="0"/>
      <w:autoSpaceDE w:val="0"/>
      <w:autoSpaceDN w:val="0"/>
      <w:adjustRightInd w:val="0"/>
      <w:snapToGrid w:val="0"/>
      <w:spacing w:line="209" w:lineRule="auto"/>
      <w:ind w:left="3601"/>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31"/>
        <w:lang w:val="en-US" w:eastAsia="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E417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40</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nKMU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mlGim0PHL92+X&#10;H78uP78S3EGgxvo54nYWkaF9a1qMzXDvcRl5t6VT8ReMCPyQ93yVV7SB8PhoNp3NxnBx+IYD8LPH&#10;59b58E4YRaKRU4f+JVnZaetDFzqExGzabGopUw+lJg1I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ScoxTgCAABxBAAADgAAAAAAAAABACAAAAAfAQAAZHJzL2Uyb0RvYy54&#10;bWxQSwUGAAAAAAYABgBZAQAAyQUAAAAA&#10;">
              <v:fill on="f" focussize="0,0"/>
              <v:stroke on="f" weight="0.5pt"/>
              <v:imagedata o:title=""/>
              <o:lock v:ext="edit" aspectratio="f"/>
              <v:textbox inset="0mm,0mm,0mm,0mm" style="mso-fit-shape-to-text:t;">
                <w:txbxContent>
                  <w:p w14:paraId="638E417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40</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B43D8">
    <w:pPr>
      <w:kinsoku w:val="0"/>
      <w:autoSpaceDE w:val="0"/>
      <w:autoSpaceDN w:val="0"/>
      <w:adjustRightInd w:val="0"/>
      <w:snapToGrid w:val="0"/>
      <w:spacing w:line="209" w:lineRule="auto"/>
      <w:ind w:left="3596"/>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31"/>
        <w:lang w:val="en-US" w:eastAsia="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1EE2FD">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42</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yVYo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9eU6KZQscv379d&#10;fvy6/PxKcAeBGuvniNtZRIb2rWkxNsO9x2Xk3ZZOxV8wIvBD3vNVXtEGwuOj2XQ2G8PF4RsOwM8e&#10;n1vnwzthFIlGTh36l2Rlp60PXegQErNps6mlTD2UmjSRxJtxenD1AFzqGCvSNPQwkVJXerRCu297&#10;nntTnEHTmW5SvOWbGqVsmQ8PzGE0UD6WJ9zjU0qDlKa3KKmM+/Kv+xiPjsFLSYNRy6nGZlEi32t0&#10;EoBhMNxg7AdDH9WdwexOsJSWJxMPXJCDWTqjPmOjVjEHXExzZMppGMy70I07NpKL1SoFHa2rD1X3&#10;AHNoWdjqneUxTZTK29UxQNqkeBSoUwWdigdMYupZvzVx1P88p6jHf4r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8lWKANwIAAHEEAAAOAAAAAAAAAAEAIAAAAB8BAABkcnMvZTJvRG9jLnht&#10;bFBLBQYAAAAABgAGAFkBAADIBQAAAAA=&#10;">
              <v:fill on="f" focussize="0,0"/>
              <v:stroke on="f" weight="0.5pt"/>
              <v:imagedata o:title=""/>
              <o:lock v:ext="edit" aspectratio="f"/>
              <v:textbox inset="0mm,0mm,0mm,0mm" style="mso-fit-shape-to-text:t;">
                <w:txbxContent>
                  <w:p w14:paraId="481EE2FD">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42</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A3A04">
    <w:pPr>
      <w:kinsoku w:val="0"/>
      <w:autoSpaceDE w:val="0"/>
      <w:autoSpaceDN w:val="0"/>
      <w:adjustRightInd w:val="0"/>
      <w:snapToGrid w:val="0"/>
      <w:spacing w:line="209" w:lineRule="auto"/>
      <w:ind w:left="3598"/>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31"/>
        <w:lang w:val="en-US" w:eastAsia="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22379A">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43</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qN5oE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l69oUQzhY6ffnw/&#10;/Xw4/fpGcAeBWutniLu3iAzdO9NhbIZ7j8vIu6ucir9gROCHvMeLvKILhMdH08l0msPF4RsOwM8e&#10;n1vnw3thFIlGQR36l2Rlh40PfegQErNps26kTD2UmrQg8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qN5oE5AgAAcQQAAA4AAAAAAAAAAQAgAAAAHwEAAGRycy9lMm9Eb2Mu&#10;eG1sUEsFBgAAAAAGAAYAWQEAAMoFAAAAAA==&#10;">
              <v:fill on="f" focussize="0,0"/>
              <v:stroke on="f" weight="0.5pt"/>
              <v:imagedata o:title=""/>
              <o:lock v:ext="edit" aspectratio="f"/>
              <v:textbox inset="0mm,0mm,0mm,0mm" style="mso-fit-shape-to-text:t;">
                <w:txbxContent>
                  <w:p w14:paraId="3F22379A">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43</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575407C6">
        <w:pPr>
          <w:pStyle w:val="13"/>
          <w:jc w:val="center"/>
        </w:pPr>
        <w:r>
          <w:fldChar w:fldCharType="begin"/>
        </w:r>
        <w:r>
          <w:instrText xml:space="preserve">PAGE   \* MERGEFORMAT</w:instrText>
        </w:r>
        <w:r>
          <w:fldChar w:fldCharType="separate"/>
        </w:r>
        <w:r>
          <w:rPr>
            <w:lang w:val="zh-CN"/>
          </w:rPr>
          <w:t>8</w:t>
        </w:r>
        <w:r>
          <w:fldChar w:fldCharType="end"/>
        </w:r>
      </w:p>
    </w:sdtContent>
  </w:sdt>
  <w:p w14:paraId="0293713A">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412FD">
    <w:pPr>
      <w:pStyle w:val="13"/>
      <w:framePr w:wrap="around" w:vAnchor="text" w:hAnchor="margin" w:xAlign="right" w:y="1"/>
      <w:rPr>
        <w:rStyle w:val="21"/>
      </w:rPr>
    </w:pPr>
    <w:r>
      <w:fldChar w:fldCharType="begin"/>
    </w:r>
    <w:r>
      <w:rPr>
        <w:rStyle w:val="21"/>
      </w:rPr>
      <w:instrText xml:space="preserve">PAGE  </w:instrText>
    </w:r>
    <w:r>
      <w:fldChar w:fldCharType="end"/>
    </w:r>
  </w:p>
  <w:p w14:paraId="249CDCE4">
    <w:pPr>
      <w:pStyle w:val="1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12CB6">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CDFF3">
    <w:pPr>
      <w:pStyle w:val="14"/>
      <w:jc w:val="left"/>
    </w:pPr>
    <w:r>
      <w:rPr>
        <w:rFonts w:hint="eastAsia"/>
        <w:lang w:eastAsia="zh-CN"/>
      </w:rPr>
      <w:t>张家界市原警卫处综合楼维修改造项目</w:t>
    </w:r>
    <w:r>
      <w:rPr>
        <w:rFonts w:hint="eastAsia"/>
      </w:rPr>
      <w:t xml:space="preserve">                             </w:t>
    </w:r>
    <w:r>
      <w:rPr>
        <w:rFonts w:hint="eastAsia"/>
        <w:lang w:val="en-US" w:eastAsia="zh-CN"/>
      </w:rPr>
      <w:t xml:space="preserve">                            </w:t>
    </w:r>
    <w:r>
      <w:rPr>
        <w:rFonts w:hint="eastAsia"/>
      </w:rPr>
      <w:t>磋商文件</w:t>
    </w:r>
  </w:p>
  <w:p w14:paraId="7DBDBAFD">
    <w:pPr>
      <w:pStyle w:val="14"/>
      <w:pBdr>
        <w:bottom w:val="none" w:color="auto" w:sz="0" w:space="0"/>
      </w:pBdr>
      <w:wordWrap w:val="0"/>
      <w:jc w:val="right"/>
      <w:rPr>
        <w:rFonts w:hint="eastAsia" w:eastAsia="宋体"/>
        <w:lang w:eastAsia="zh-CN"/>
      </w:rPr>
    </w:pP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596340"/>
    <w:multiLevelType w:val="singleLevel"/>
    <w:tmpl w:val="E8596340"/>
    <w:lvl w:ilvl="0" w:tentative="0">
      <w:start w:val="11"/>
      <w:numFmt w:val="decimal"/>
      <w:lvlText w:val="%1."/>
      <w:lvlJc w:val="left"/>
      <w:pPr>
        <w:tabs>
          <w:tab w:val="left" w:pos="312"/>
        </w:tabs>
      </w:pPr>
    </w:lvl>
  </w:abstractNum>
  <w:abstractNum w:abstractNumId="1">
    <w:nsid w:val="1372601B"/>
    <w:multiLevelType w:val="singleLevel"/>
    <w:tmpl w:val="1372601B"/>
    <w:lvl w:ilvl="0" w:tentative="0">
      <w:start w:val="36"/>
      <w:numFmt w:val="decimal"/>
      <w:lvlText w:val="%1."/>
      <w:lvlJc w:val="left"/>
      <w:pPr>
        <w:tabs>
          <w:tab w:val="left" w:pos="312"/>
        </w:tabs>
      </w:pPr>
    </w:lvl>
  </w:abstractNum>
  <w:abstractNum w:abstractNumId="2">
    <w:nsid w:val="686642FB"/>
    <w:multiLevelType w:val="singleLevel"/>
    <w:tmpl w:val="686642FB"/>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NjJjZWUxZDZjMjJmMmI5MmVhMzNlMTdlYTI5YjcifQ=="/>
  </w:docVars>
  <w:rsids>
    <w:rsidRoot w:val="05794F7E"/>
    <w:rsid w:val="002E132F"/>
    <w:rsid w:val="02A52B69"/>
    <w:rsid w:val="02D23D26"/>
    <w:rsid w:val="04CB64C9"/>
    <w:rsid w:val="05794F7E"/>
    <w:rsid w:val="08B2727F"/>
    <w:rsid w:val="08C72115"/>
    <w:rsid w:val="0C3721AC"/>
    <w:rsid w:val="0C42316D"/>
    <w:rsid w:val="0C6B3C40"/>
    <w:rsid w:val="0CC92C53"/>
    <w:rsid w:val="0CD619C5"/>
    <w:rsid w:val="0D8238FA"/>
    <w:rsid w:val="1B201E0F"/>
    <w:rsid w:val="1F531646"/>
    <w:rsid w:val="229A48AD"/>
    <w:rsid w:val="22AE0552"/>
    <w:rsid w:val="28150722"/>
    <w:rsid w:val="2A27165A"/>
    <w:rsid w:val="2AE4494B"/>
    <w:rsid w:val="2E550E22"/>
    <w:rsid w:val="2E9B0425"/>
    <w:rsid w:val="2EFE6E2D"/>
    <w:rsid w:val="31FA7720"/>
    <w:rsid w:val="348722BC"/>
    <w:rsid w:val="37AE4CF2"/>
    <w:rsid w:val="3BF868F0"/>
    <w:rsid w:val="3FCB4D76"/>
    <w:rsid w:val="407664FD"/>
    <w:rsid w:val="40D4166E"/>
    <w:rsid w:val="421502BE"/>
    <w:rsid w:val="42A4204C"/>
    <w:rsid w:val="43476135"/>
    <w:rsid w:val="43B50333"/>
    <w:rsid w:val="440234A3"/>
    <w:rsid w:val="449D3C26"/>
    <w:rsid w:val="45606970"/>
    <w:rsid w:val="461116AD"/>
    <w:rsid w:val="48E67A2D"/>
    <w:rsid w:val="4BD94968"/>
    <w:rsid w:val="506D39BB"/>
    <w:rsid w:val="570C5CDB"/>
    <w:rsid w:val="5BDB7A2A"/>
    <w:rsid w:val="5DBD517D"/>
    <w:rsid w:val="5E745F14"/>
    <w:rsid w:val="5EDD7F5D"/>
    <w:rsid w:val="5FFBDE64"/>
    <w:rsid w:val="61173548"/>
    <w:rsid w:val="6425617F"/>
    <w:rsid w:val="664D59C9"/>
    <w:rsid w:val="66C20F9E"/>
    <w:rsid w:val="67672ABA"/>
    <w:rsid w:val="6CE801F9"/>
    <w:rsid w:val="6DC92DFA"/>
    <w:rsid w:val="6F4E717D"/>
    <w:rsid w:val="7081437B"/>
    <w:rsid w:val="73220E26"/>
    <w:rsid w:val="73AB8A2D"/>
    <w:rsid w:val="74366E0F"/>
    <w:rsid w:val="775D17E4"/>
    <w:rsid w:val="778139C7"/>
    <w:rsid w:val="7A4078C7"/>
    <w:rsid w:val="7A635363"/>
    <w:rsid w:val="7ADC6EC3"/>
    <w:rsid w:val="7B7DAE5A"/>
    <w:rsid w:val="7EF73DDA"/>
    <w:rsid w:val="BE5F0C68"/>
    <w:rsid w:val="DA8999F9"/>
    <w:rsid w:val="FDB8FF6B"/>
    <w:rsid w:val="FF6B4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jc w:val="center"/>
      <w:outlineLvl w:val="0"/>
    </w:pPr>
    <w:rPr>
      <w:b/>
      <w:bCs/>
      <w:sz w:val="24"/>
      <w:szCs w:val="20"/>
    </w:rPr>
  </w:style>
  <w:style w:type="paragraph" w:styleId="5">
    <w:name w:val="heading 2"/>
    <w:basedOn w:val="1"/>
    <w:next w:val="6"/>
    <w:qFormat/>
    <w:uiPriority w:val="0"/>
    <w:pPr>
      <w:keepNext/>
      <w:keepLines/>
      <w:spacing w:line="360" w:lineRule="auto"/>
      <w:outlineLvl w:val="1"/>
    </w:pPr>
    <w:rPr>
      <w:rFonts w:ascii="Arial" w:hAnsi="Arial"/>
      <w:b/>
      <w:bCs/>
      <w:sz w:val="24"/>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unhideWhenUsed/>
    <w:qFormat/>
    <w:uiPriority w:val="0"/>
    <w:pPr>
      <w:spacing w:after="120"/>
      <w:ind w:left="420" w:leftChars="200"/>
    </w:pPr>
  </w:style>
  <w:style w:type="paragraph" w:styleId="6">
    <w:name w:val="Normal Indent"/>
    <w:basedOn w:val="1"/>
    <w:qFormat/>
    <w:uiPriority w:val="0"/>
    <w:pPr>
      <w:widowControl/>
      <w:ind w:firstLine="420"/>
      <w:jc w:val="left"/>
    </w:pPr>
    <w:rPr>
      <w:kern w:val="0"/>
      <w:sz w:val="20"/>
      <w:szCs w:val="20"/>
    </w:rPr>
  </w:style>
  <w:style w:type="paragraph" w:styleId="9">
    <w:name w:val="Body Text"/>
    <w:basedOn w:val="1"/>
    <w:qFormat/>
    <w:uiPriority w:val="0"/>
    <w:pPr>
      <w:spacing w:after="120"/>
    </w:pPr>
  </w:style>
  <w:style w:type="paragraph" w:styleId="10">
    <w:name w:val="toc 3"/>
    <w:basedOn w:val="1"/>
    <w:next w:val="1"/>
    <w:qFormat/>
    <w:uiPriority w:val="39"/>
    <w:pPr>
      <w:adjustRightInd w:val="0"/>
      <w:snapToGrid w:val="0"/>
      <w:spacing w:line="360" w:lineRule="auto"/>
      <w:ind w:left="400" w:leftChars="4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rPr>
      <w:sz w:val="24"/>
      <w:szCs w:val="20"/>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adjustRightInd w:val="0"/>
      <w:snapToGrid w:val="0"/>
      <w:spacing w:line="360" w:lineRule="auto"/>
    </w:pPr>
    <w:rPr>
      <w:b/>
      <w:sz w:val="28"/>
    </w:rPr>
  </w:style>
  <w:style w:type="paragraph" w:styleId="16">
    <w:name w:val="toc 2"/>
    <w:basedOn w:val="1"/>
    <w:next w:val="1"/>
    <w:qFormat/>
    <w:uiPriority w:val="39"/>
    <w:pPr>
      <w:adjustRightInd w:val="0"/>
      <w:snapToGrid w:val="0"/>
      <w:spacing w:line="360" w:lineRule="auto"/>
      <w:ind w:left="200" w:leftChars="200"/>
    </w:p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8">
    <w:name w:val="Body Text First Indent"/>
    <w:basedOn w:val="9"/>
    <w:qFormat/>
    <w:uiPriority w:val="0"/>
    <w:pPr>
      <w:spacing w:line="360" w:lineRule="auto"/>
      <w:ind w:firstLine="309" w:firstLineChars="100"/>
      <w:outlineLvl w:val="0"/>
    </w:pPr>
    <w:rPr>
      <w:bCs/>
      <w:color w:val="000000"/>
      <w:kern w:val="28"/>
      <w:szCs w:val="21"/>
    </w:rPr>
  </w:style>
  <w:style w:type="character" w:styleId="21">
    <w:name w:val="page number"/>
    <w:qFormat/>
    <w:uiPriority w:val="0"/>
  </w:style>
  <w:style w:type="paragraph" w:customStyle="1" w:styleId="22">
    <w:name w:val="列出段落1"/>
    <w:basedOn w:val="23"/>
    <w:autoRedefine/>
    <w:qFormat/>
    <w:uiPriority w:val="0"/>
    <w:pPr>
      <w:ind w:firstLine="420" w:firstLineChars="200"/>
    </w:pPr>
    <w:rPr>
      <w:szCs w:val="22"/>
    </w:rPr>
  </w:style>
  <w:style w:type="paragraph" w:customStyle="1" w:styleId="23">
    <w:name w:val="正文_10_43"/>
    <w:autoRedefine/>
    <w:qFormat/>
    <w:uiPriority w:val="0"/>
    <w:pPr>
      <w:widowControl w:val="0"/>
      <w:jc w:val="both"/>
    </w:pPr>
    <w:rPr>
      <w:rFonts w:ascii="Calibri" w:hAnsi="Calibri" w:eastAsia="宋体" w:cs="Times New Roman"/>
      <w:kern w:val="2"/>
      <w:sz w:val="24"/>
      <w:szCs w:val="22"/>
      <w:lang w:val="en-US" w:eastAsia="zh-CN" w:bidi="ar-SA"/>
    </w:rPr>
  </w:style>
  <w:style w:type="character" w:customStyle="1" w:styleId="24">
    <w:name w:val="NormalCharacter"/>
    <w:autoRedefine/>
    <w:semiHidden/>
    <w:qFormat/>
    <w:uiPriority w:val="0"/>
  </w:style>
  <w:style w:type="paragraph" w:customStyle="1" w:styleId="25">
    <w:name w:val="Heading1"/>
    <w:basedOn w:val="1"/>
    <w:next w:val="1"/>
    <w:autoRedefine/>
    <w:qFormat/>
    <w:uiPriority w:val="0"/>
    <w:pPr>
      <w:keepNext/>
      <w:jc w:val="center"/>
    </w:pPr>
    <w:rPr>
      <w:b/>
      <w:bCs/>
      <w:sz w:val="24"/>
      <w:szCs w:val="20"/>
    </w:rPr>
  </w:style>
  <w:style w:type="paragraph" w:customStyle="1" w:styleId="26">
    <w:name w:val="p0"/>
    <w:basedOn w:val="1"/>
    <w:autoRedefine/>
    <w:qFormat/>
    <w:uiPriority w:val="0"/>
    <w:pPr>
      <w:widowControl/>
    </w:pPr>
    <w:rPr>
      <w:rFonts w:asciiTheme="minorHAnsi" w:hAnsiTheme="minorHAnsi" w:cstheme="minorBidi"/>
      <w:szCs w:val="21"/>
    </w:rPr>
  </w:style>
  <w:style w:type="character" w:customStyle="1" w:styleId="27">
    <w:name w:val="标题 2 Char"/>
    <w:basedOn w:val="20"/>
    <w:autoRedefine/>
    <w:qFormat/>
    <w:uiPriority w:val="0"/>
    <w:rPr>
      <w:rFonts w:asciiTheme="majorHAnsi" w:hAnsiTheme="majorHAnsi" w:eastAsiaTheme="majorEastAsia" w:cstheme="majorBidi"/>
      <w:b/>
      <w:bCs/>
      <w:sz w:val="32"/>
      <w:szCs w:val="32"/>
    </w:rPr>
  </w:style>
  <w:style w:type="paragraph" w:customStyle="1" w:styleId="28">
    <w:name w:val="表格内容左对齐"/>
    <w:qFormat/>
    <w:uiPriority w:val="0"/>
    <w:pPr>
      <w:widowControl/>
      <w:tabs>
        <w:tab w:val="left" w:pos="0"/>
        <w:tab w:val="left" w:pos="33"/>
      </w:tabs>
      <w:spacing w:line="300" w:lineRule="exact"/>
      <w:ind w:firstLine="420" w:firstLineChars="200"/>
      <w:jc w:val="left"/>
    </w:pPr>
    <w:rPr>
      <w:rFonts w:ascii="宋体" w:hAnsi="宋体" w:eastAsia="微软雅黑" w:cs="Times New Roman"/>
      <w:kern w:val="2"/>
      <w:sz w:val="22"/>
      <w:szCs w:val="24"/>
      <w:lang w:val="en-US" w:eastAsia="zh-CN" w:bidi="ar-SA"/>
    </w:rPr>
  </w:style>
  <w:style w:type="paragraph" w:customStyle="1" w:styleId="29">
    <w:name w:val="Table Text"/>
    <w:basedOn w:val="1"/>
    <w:semiHidden/>
    <w:qFormat/>
    <w:uiPriority w:val="0"/>
    <w:rPr>
      <w:rFonts w:ascii="宋体" w:hAnsi="宋体" w:eastAsia="宋体" w:cs="宋体"/>
      <w:sz w:val="21"/>
      <w:szCs w:val="21"/>
      <w:lang w:val="en-US" w:eastAsia="en-US" w:bidi="ar-SA"/>
    </w:rPr>
  </w:style>
  <w:style w:type="table" w:customStyle="1" w:styleId="3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389322f7-5049-49cc-acac-fb5a9818c6f5</errorID>
      <errorWord xmlns="http://schemas.wps.cn/vas-ai-hub/contract-review">【2026】040号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〔2026〕40号</item>
      </candidateList>
      <explain xmlns="http://schemas.wps.cn/vas-ai-hub/contract-review">发文字号格式错误。</explain>
      <paraID xmlns="http://schemas.wps.cn/vas-ai-hub/contract-review">5E5F1998</paraID>
      <start xmlns="http://schemas.wps.cn/vas-ai-hub/contract-review">12</start>
      <end xmlns="http://schemas.wps.cn/vas-ai-hub/contract-review">21</end>
      <status xmlns="http://schemas.wps.cn/vas-ai-hub/contract-review">modified</status>
      <modifiedWord xmlns="http://schemas.wps.cn/vas-ai-hub/contract-review">〔2026〕40号</modifiedWord>
      <trackRevisions xmlns="http://schemas.wps.cn/vas-ai-hub/contract-review">false</trackRevisions>
    </reviewItem>
    <reviewItem xmlns="http://schemas.wps.cn/vas-ai-hub/contract-review">
      <errorID xmlns="http://schemas.wps.cn/vas-ai-hub/contract-review">c862a357-d36a-4624-8f47-0821347a64f0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5CDC223C</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c0f9c1f1-4e17-4803-a19a-3749792eb84e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5CDC223C</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8eb39fea-da53-4ae2-81b6-50906d2d6156</errorID>
      <errorWord xmlns="http://schemas.wps.cn/vas-ai-hub/contract-review">[2026]   </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〔2026〕040</item>
      </candidateList>
      <explain xmlns="http://schemas.wps.cn/vas-ai-hub/contract-review"/>
      <paraID xmlns="http://schemas.wps.cn/vas-ai-hub/contract-review">2E0CF1F4</paraID>
      <start xmlns="http://schemas.wps.cn/vas-ai-hub/contract-review">16</start>
      <end xmlns="http://schemas.wps.cn/vas-ai-hub/contract-review">25</end>
      <status xmlns="http://schemas.wps.cn/vas-ai-hub/contract-review">modified</status>
      <modifiedWord xmlns="http://schemas.wps.cn/vas-ai-hub/contract-review">〔2026〕040</modifiedWord>
      <trackRevisions xmlns="http://schemas.wps.cn/vas-ai-hub/contract-review">false</trackRevisions>
    </reviewItem>
    <reviewItem xmlns="http://schemas.wps.cn/vas-ai-hub/contract-review">
      <errorID xmlns="http://schemas.wps.cn/vas-ai-hub/contract-review">2c2c2121-3382-491d-8d77-cc046e8a4e48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41851772</paraID>
      <start xmlns="http://schemas.wps.cn/vas-ai-hub/contract-review">112</start>
      <end xmlns="http://schemas.wps.cn/vas-ai-hub/contract-review">113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04249566-e1c7-4cc7-94b8-13373423df4b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22599641</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9fc7838d-dc1c-49e9-a494-f04c4d6a5789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22599641</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fdcc0e0d-27aa-41a8-a605-59d0e6613bda</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13</start>
      <end xmlns="http://schemas.wps.cn/vas-ai-hub/contract-review">13</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2ffeef2c-74c2-4daa-bc6b-9892ab555190</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14</start>
      <end xmlns="http://schemas.wps.cn/vas-ai-hub/contract-review">14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a953952b-95ab-4171-a227-6f3aacba0fee</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15</start>
      <end xmlns="http://schemas.wps.cn/vas-ai-hub/contract-review">15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d2f445ab-a389-4ebf-9751-ac4ef52e20e5</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16</start>
      <end xmlns="http://schemas.wps.cn/vas-ai-hub/contract-review">16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99706d30-8dd7-46e8-ace3-bbf705473de7</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18</start>
      <end xmlns="http://schemas.wps.cn/vas-ai-hub/contract-review">18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b85c1b8f-99c6-45d9-be27-3086fbf11d9c</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20</start>
      <end xmlns="http://schemas.wps.cn/vas-ai-hub/contract-review">20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1c8bf708-d104-418f-ae2a-f024fe4a677d</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24</start>
      <end xmlns="http://schemas.wps.cn/vas-ai-hub/contract-review">24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45167bbd-d559-4176-96dd-fb45a09ad84d</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25</start>
      <end xmlns="http://schemas.wps.cn/vas-ai-hub/contract-review">25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b11cb289-9932-4957-925b-2ed6aca54562</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26</start>
      <end xmlns="http://schemas.wps.cn/vas-ai-hub/contract-review">26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cb0c3701-54b2-45d2-a508-29d6ccd22634</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27</start>
      <end xmlns="http://schemas.wps.cn/vas-ai-hub/contract-review">27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0b5d1338-036f-41df-8e18-401a7c1b7952</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29</start>
      <end xmlns="http://schemas.wps.cn/vas-ai-hub/contract-review">29</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38065a15-28da-4b77-82e2-a8abcc9839ef</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35</start>
      <end xmlns="http://schemas.wps.cn/vas-ai-hub/contract-review">35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123f1a74-3bba-4c7a-b2f7-3d2b0c9a39a8</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36</start>
      <end xmlns="http://schemas.wps.cn/vas-ai-hub/contract-review">36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cc9443a7-311c-4915-9889-60864ceb1adc</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40</start>
      <end xmlns="http://schemas.wps.cn/vas-ai-hub/contract-review">40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b713c0be-512e-40e6-9b65-29ac75b4e983</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44</start>
      <end xmlns="http://schemas.wps.cn/vas-ai-hub/contract-review">44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bb9576d6-d088-4408-a7aa-344801a4d3e5</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46</start>
      <end xmlns="http://schemas.wps.cn/vas-ai-hub/contract-review">46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8f1ef40e-cb52-4d73-8707-89cb276f1766</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48</start>
      <end xmlns="http://schemas.wps.cn/vas-ai-hub/contract-review">48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fd28fa2d-04b6-47f1-a127-2fe25e01f33d</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50</start>
      <end xmlns="http://schemas.wps.cn/vas-ai-hub/contract-review">50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994d653e-1638-43dc-9187-5b69727e9ff5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 C3C237D</paraID>
      <start xmlns="http://schemas.wps.cn/vas-ai-hub/contract-review">56</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b7b8ff10-0541-4457-aff8-e04f3a72f067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 C3C237D</paraID>
      <start xmlns="http://schemas.wps.cn/vas-ai-hub/contract-review">57</start>
      <end xmlns="http://schemas.wps.cn/vas-ai-hub/contract-review">58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12833e04-3276-44f1-8a01-8a517f7a915c</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 C3C237D</paraID>
      <start xmlns="http://schemas.wps.cn/vas-ai-hub/contract-review">60</start>
      <end xmlns="http://schemas.wps.cn/vas-ai-hub/contract-review">60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7acc4347-4868-48d0-ae45-c4c8f7c739a8</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7B1C8A40</paraID>
      <start xmlns="http://schemas.wps.cn/vas-ai-hub/contract-review">30</start>
      <end xmlns="http://schemas.wps.cn/vas-ai-hub/contract-review">30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79647295-2f6b-4376-b2e8-f776bd0a89fd</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215D7EA5</paraID>
      <start xmlns="http://schemas.wps.cn/vas-ai-hub/contract-review">14</start>
      <end xmlns="http://schemas.wps.cn/vas-ai-hub/contract-review">14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4b19d426-30e1-45c6-90d1-aa8a23b34d48</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215D7EA5</paraID>
      <start xmlns="http://schemas.wps.cn/vas-ai-hub/contract-review">20</start>
      <end xmlns="http://schemas.wps.cn/vas-ai-hub/contract-review">20</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5f8b7a99-7a0a-4774-89fa-11bf2a7bcec0</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215D7EA5</paraID>
      <start xmlns="http://schemas.wps.cn/vas-ai-hub/contract-review">21</start>
      <end xmlns="http://schemas.wps.cn/vas-ai-hub/contract-review">21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16b79921-d6e5-419a-86ed-efe5e9a27e83</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215D7EA5</paraID>
      <start xmlns="http://schemas.wps.cn/vas-ai-hub/contract-review">22</start>
      <end xmlns="http://schemas.wps.cn/vas-ai-hub/contract-review">22</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90547029-2a45-48ca-b8d0-3d36a3b22ba0</errorID>
      <errorWord xmlns="http://schemas.wps.cn/vas-ai-hub/contract-review">楼</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楼。</item>
      </candidateList>
      <explain xmlns="http://schemas.wps.cn/vas-ai-hub/contract-review"/>
      <paraID xmlns="http://schemas.wps.cn/vas-ai-hub/contract-review">75999E01</paraID>
      <start xmlns="http://schemas.wps.cn/vas-ai-hub/contract-review">25</start>
      <end xmlns="http://schemas.wps.cn/vas-ai-hub/contract-review">27</end>
      <status xmlns="http://schemas.wps.cn/vas-ai-hub/contract-review">modified</status>
      <modifiedWord xmlns="http://schemas.wps.cn/vas-ai-hub/contract-review">楼。</modifiedWord>
      <trackRevisions xmlns="http://schemas.wps.cn/vas-ai-hub/contract-review">false</trackRevisions>
    </reviewItem>
    <reviewItem xmlns="http://schemas.wps.cn/vas-ai-hub/contract-review">
      <errorID xmlns="http://schemas.wps.cn/vas-ai-hub/contract-review">024b1269-da2e-4c09-b50a-7cd91de48c95</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7</start>
      <end xmlns="http://schemas.wps.cn/vas-ai-hub/contract-review">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6ccba8bd-8b0e-4ed6-b779-dc2e88be3bb7</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11</start>
      <end xmlns="http://schemas.wps.cn/vas-ai-hub/contract-review">11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87a6dc89-7c74-4792-8426-86d28c8c29d6</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12</start>
      <end xmlns="http://schemas.wps.cn/vas-ai-hub/contract-review">12</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d1d92612-e828-499d-8001-9e202b70bf86</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13</start>
      <end xmlns="http://schemas.wps.cn/vas-ai-hub/contract-review">13</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aa304bd8-bfef-4858-8a6d-31a38106905e</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14</start>
      <end xmlns="http://schemas.wps.cn/vas-ai-hub/contract-review">14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642e62d9-7f21-4ed5-8779-aa2f1b9dd209</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16</start>
      <end xmlns="http://schemas.wps.cn/vas-ai-hub/contract-review">16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5038f462-38cf-4474-9ab2-81dd176c63e7</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17</start>
      <end xmlns="http://schemas.wps.cn/vas-ai-hub/contract-review">17</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a825a33c-5693-493c-9d07-9debe242d3d7</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18</start>
      <end xmlns="http://schemas.wps.cn/vas-ai-hub/contract-review">18</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f14ccacb-29ab-443e-b84a-49a9aca55be1</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19</start>
      <end xmlns="http://schemas.wps.cn/vas-ai-hub/contract-review">19</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152f7f24-f255-4b52-b5f6-fc6bdc6ff904</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2CCF2FF2</paraID>
      <start xmlns="http://schemas.wps.cn/vas-ai-hub/contract-review">21</start>
      <end xmlns="http://schemas.wps.cn/vas-ai-hub/contract-review">21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3ae883a9-acae-4b2b-8588-798e7a316f68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723ED70A</paraID>
      <start xmlns="http://schemas.wps.cn/vas-ai-hub/contract-review">97</start>
      <end xmlns="http://schemas.wps.cn/vas-ai-hub/contract-review">98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77817aae-3a32-4617-a119-1fdac38ee5e0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723ED70A</paraID>
      <start xmlns="http://schemas.wps.cn/vas-ai-hub/contract-review">110</start>
      <end xmlns="http://schemas.wps.cn/vas-ai-hub/contract-review">111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d5e3a787-6968-4cf9-887e-0870676c92d1</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4CE44ADB</paraID>
      <start xmlns="http://schemas.wps.cn/vas-ai-hub/contract-review">8</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c4b41df1-f648-4da5-93e2-36924eeacb16</errorID>
      <errorWord xmlns="http://schemas.wps.cn/vas-ai-hub/contract-review">名  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名称</item>
      </candidateList>
      <explain xmlns="http://schemas.wps.cn/vas-ai-hub/contract-review"/>
      <paraID xmlns="http://schemas.wps.cn/vas-ai-hub/contract-review">1FF22ECB</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e52dbef7-a3f8-4d9a-a9f5-7584e55c9d11</errorID>
      <errorWord xmlns="http://schemas.wps.cn/vas-ai-hub/contract-review">地  址</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地址</item>
      </candidateList>
      <explain xmlns="http://schemas.wps.cn/vas-ai-hub/contract-review"/>
      <paraID xmlns="http://schemas.wps.cn/vas-ai-hub/contract-review">23CA8530</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8a9faf81-15c2-4137-9764-c1a1d48ee793</errorID>
      <errorWord xmlns="http://schemas.wps.cn/vas-ai-hub/contract-review">邮  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邮编</item>
      </candidateList>
      <explain xmlns="http://schemas.wps.cn/vas-ai-hub/contract-review"/>
      <paraID xmlns="http://schemas.wps.cn/vas-ai-hub/contract-review">62A2632E</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7f7fe21b-41bd-450f-9bb0-178d49b78d25</errorID>
      <errorWord xmlns="http://schemas.wps.cn/vas-ai-hub/contract-review">电  话</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电话</item>
      </candidateList>
      <explain xmlns="http://schemas.wps.cn/vas-ai-hub/contract-review"/>
      <paraID xmlns="http://schemas.wps.cn/vas-ai-hub/contract-review">6F868084</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7e5cf7f5-06ef-4cf8-be72-5341ab2819c7</errorID>
      <errorWord xmlns="http://schemas.wps.cn/vas-ai-hub/contract-review">名  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名称</item>
      </candidateList>
      <explain xmlns="http://schemas.wps.cn/vas-ai-hub/contract-review"/>
      <paraID xmlns="http://schemas.wps.cn/vas-ai-hub/contract-review">62784E75</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57ed6710-a779-4f6d-b3a8-00b610573fb2</errorID>
      <errorWord xmlns="http://schemas.wps.cn/vas-ai-hub/contract-review">地  址</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地址</item>
      </candidateList>
      <explain xmlns="http://schemas.wps.cn/vas-ai-hub/contract-review"/>
      <paraID xmlns="http://schemas.wps.cn/vas-ai-hub/contract-review">524E0F50</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108cdfbd-165c-4c67-8d33-54eac9129678</errorID>
      <errorWord xmlns="http://schemas.wps.cn/vas-ai-hub/contract-review">邮  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邮编</item>
      </candidateList>
      <explain xmlns="http://schemas.wps.cn/vas-ai-hub/contract-review"/>
      <paraID xmlns="http://schemas.wps.cn/vas-ai-hub/contract-review">115418FE</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5bd12294-8007-43e1-8245-c02b2d56cae9</errorID>
      <errorWord xmlns="http://schemas.wps.cn/vas-ai-hub/contract-review">电  话</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电话</item>
      </candidateList>
      <explain xmlns="http://schemas.wps.cn/vas-ai-hub/contract-review"/>
      <paraID xmlns="http://schemas.wps.cn/vas-ai-hub/contract-review"> 7AE6AF2</paraID>
      <start xmlns="http://schemas.wps.cn/vas-ai-hub/contract-review">3</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d90716e1-628e-4d70-a32e-9c448f3e610b</errorID>
      <errorWord xmlns="http://schemas.wps.cn/vas-ai-hub/contract-review">com</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com。</item>
      </candidateList>
      <explain xmlns="http://schemas.wps.cn/vas-ai-hub/contract-review"/>
      <paraID xmlns="http://schemas.wps.cn/vas-ai-hub/contract-review">64C6B4BA</paraID>
      <start xmlns="http://schemas.wps.cn/vas-ai-hub/contract-review">20</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c5ec9536-0f56-4231-ae1b-cd666767c746</errorID>
      <errorWord xmlns="http://schemas.wps.cn/vas-ai-hub/contract-review">《政府采购法》</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《中华人民共和国政府采购法》</item>
      </candidateList>
      <explain xmlns="http://schemas.wps.cn/vas-ai-hub/contract-review">此处内容疑似含有固定表述相关错误，建议核查。</explain>
      <paraID xmlns="http://schemas.wps.cn/vas-ai-hub/contract-review">7415EDDF</paraID>
      <start xmlns="http://schemas.wps.cn/vas-ai-hub/contract-review">52</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33dd7e20-2796-44c8-b0a7-bbb748b8366d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17496362</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4980fd25-6e13-4d65-8dce-5ff93b8fa8b8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17496362</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19dd64f9-a761-476c-a8fa-fa9fd52f1938</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42F66948</paraID>
      <start xmlns="http://schemas.wps.cn/vas-ai-hub/contract-review">41</start>
      <end xmlns="http://schemas.wps.cn/vas-ai-hub/contract-review">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fabd89fe-3efd-4378-b26a-47e9e0331bee</errorID>
      <errorWord xmlns="http://schemas.wps.cn/vas-ai-hub/contract-review">政府采购</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政府</item>
      </candidateList>
      <explain xmlns="http://schemas.wps.cn/vas-ai-hub/contract-review"/>
      <paraID xmlns="http://schemas.wps.cn/vas-ai-hub/contract-review"> CB3B5BD</paraID>
      <start xmlns="http://schemas.wps.cn/vas-ai-hub/contract-review">47</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825267e9-5e80-467b-aa3a-9401f0d26e33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3B62FDA7</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5f085a53-e14a-4968-8f1a-676c5410f27b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3B62FDA7</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4c3e0d17-219b-4d5c-a088-b7a93fe0bc67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7FED500</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e20416ca-b159-4e04-a604-47236a27fd74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7FED500</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94e16ebd-5186-41bc-a67b-c6349ff35fdc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7FED500</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ba6335f9-5ad0-4a22-be6a-ff01c4d4940c</errorID>
      <errorWord xmlns="http://schemas.wps.cn/vas-ai-hub/contract-review">转帐等</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转账等</item>
      </candidateList>
      <explain xmlns="http://schemas.wps.cn/vas-ai-hub/contract-review">词汇[转帐等]为不规范表述或旧称，其规范书面表述为[转账等]。</explain>
      <paraID xmlns="http://schemas.wps.cn/vas-ai-hub/contract-review">6416D258</paraID>
      <start xmlns="http://schemas.wps.cn/vas-ai-hub/contract-review">18</start>
      <end xmlns="http://schemas.wps.cn/vas-ai-hub/contract-review">21</end>
      <status xmlns="http://schemas.wps.cn/vas-ai-hub/contract-review">modified</status>
      <modifiedWord xmlns="http://schemas.wps.cn/vas-ai-hub/contract-review">转账等</modifiedWord>
      <trackRevisions xmlns="http://schemas.wps.cn/vas-ai-hub/contract-review">false</trackRevisions>
    </reviewItem>
    <reviewItem xmlns="http://schemas.wps.cn/vas-ai-hub/contract-review">
      <errorID xmlns="http://schemas.wps.cn/vas-ai-hub/contract-review">6b91a7ad-8ddc-4866-852a-47c9fe23473b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6416D258</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1ab22bfb-2850-4e2d-a37f-0c4c2cc7ea97</errorID>
      <errorWord xmlns="http://schemas.wps.cn/vas-ai-hub/contract-review">时间截止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截止时间</item>
      </candidateList>
      <explain xmlns="http://schemas.wps.cn/vas-ai-hub/contract-review"/>
      <paraID xmlns="http://schemas.wps.cn/vas-ai-hub/contract-review">6416D258</paraID>
      <start xmlns="http://schemas.wps.cn/vas-ai-hub/contract-review">34</start>
      <end xmlns="http://schemas.wps.cn/vas-ai-hub/contract-review">38</end>
      <status xmlns="http://schemas.wps.cn/vas-ai-hub/contract-review">modified</status>
      <modifiedWord xmlns="http://schemas.wps.cn/vas-ai-hub/contract-review">截止时间</modifiedWord>
      <trackRevisions xmlns="http://schemas.wps.cn/vas-ai-hub/contract-review">false</trackRevisions>
    </reviewItem>
    <reviewItem xmlns="http://schemas.wps.cn/vas-ai-hub/contract-review">
      <errorID xmlns="http://schemas.wps.cn/vas-ai-hub/contract-review">fc914943-f43f-4e55-a347-ef902563e71b</errorID>
      <errorWord xmlns="http://schemas.wps.cn/vas-ai-hub/contract-review">转帐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转账</item>
      </candidateList>
      <explain xmlns="http://schemas.wps.cn/vas-ai-hub/contract-review"/>
      <paraID xmlns="http://schemas.wps.cn/vas-ai-hub/contract-review">6416D258</paraID>
      <start xmlns="http://schemas.wps.cn/vas-ai-hub/contract-review">49</start>
      <end xmlns="http://schemas.wps.cn/vas-ai-hub/contract-review">51</end>
      <status xmlns="http://schemas.wps.cn/vas-ai-hub/contract-review">modified</status>
      <modifiedWord xmlns="http://schemas.wps.cn/vas-ai-hub/contract-review">转账</modifiedWord>
      <trackRevisions xmlns="http://schemas.wps.cn/vas-ai-hub/contract-review">false</trackRevisions>
    </reviewItem>
    <reviewItem xmlns="http://schemas.wps.cn/vas-ai-hub/contract-review">
      <errorID xmlns="http://schemas.wps.cn/vas-ai-hub/contract-review">05d773d0-b957-4a58-a658-b56bfbf60d99</errorID>
      <errorWord xmlns="http://schemas.wps.cn/vas-ai-hub/contract-review">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账</item>
      </candidateList>
      <explain xmlns="http://schemas.wps.cn/vas-ai-hub/contract-review"/>
      <paraID xmlns="http://schemas.wps.cn/vas-ai-hub/contract-review">6416D258</paraID>
      <start xmlns="http://schemas.wps.cn/vas-ai-hub/contract-review">53</start>
      <end xmlns="http://schemas.wps.cn/vas-ai-hub/contract-review">54</end>
      <status xmlns="http://schemas.wps.cn/vas-ai-hub/contract-review">modified</status>
      <modifiedWord xmlns="http://schemas.wps.cn/vas-ai-hub/contract-review">账</modifiedWord>
      <trackRevisions xmlns="http://schemas.wps.cn/vas-ai-hub/contract-review">false</trackRevisions>
    </reviewItem>
    <reviewItem xmlns="http://schemas.wps.cn/vas-ai-hub/contract-review">
      <errorID xmlns="http://schemas.wps.cn/vas-ai-hub/contract-review">cb258b15-cae3-4acb-b191-bf3ccb1b00b2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B83DC3</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13974918-9466-4b99-b21d-31bd32991f2b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1DEACD1</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45da67d0-792d-43e6-9676-493f00877a65</errorID>
      <errorWord xmlns="http://schemas.wps.cn/vas-ai-hub/contract-review">银行帐号</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银行账号</item>
      </candidateList>
      <explain xmlns="http://schemas.wps.cn/vas-ai-hub/contract-review">词汇[银行帐号]为不规范表述或旧称，其规范书面表述为[银行账号]。</explain>
      <paraID xmlns="http://schemas.wps.cn/vas-ai-hub/contract-review"> 1E985E4</paraID>
      <start xmlns="http://schemas.wps.cn/vas-ai-hub/contract-review">0</start>
      <end xmlns="http://schemas.wps.cn/vas-ai-hub/contract-review">4</end>
      <status xmlns="http://schemas.wps.cn/vas-ai-hub/contract-review">modified</status>
      <modifiedWord xmlns="http://schemas.wps.cn/vas-ai-hub/contract-review">银行账号</modifiedWord>
      <trackRevisions xmlns="http://schemas.wps.cn/vas-ai-hub/contract-review">false</trackRevisions>
    </reviewItem>
    <reviewItem xmlns="http://schemas.wps.cn/vas-ai-hub/contract-review">
      <errorID xmlns="http://schemas.wps.cn/vas-ai-hub/contract-review">d5c98100-f900-4c8a-a180-b94c7baac9e9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1E985E4</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cff7e4ab-afcb-4554-8c1d-118a6f7267f2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476C301E</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8c9d38f5-f566-491c-9933-ca4c1a6a846b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476C301E</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fabf6154-0ad1-44eb-868f-9455fe8d4c35</errorID>
      <errorWord xmlns="http://schemas.wps.cn/vas-ai-hub/contract-review">【2026】040号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〔2026〕40号</item>
      </candidateList>
      <explain xmlns="http://schemas.wps.cn/vas-ai-hub/contract-review">发文字号格式错误。</explain>
      <paraID xmlns="http://schemas.wps.cn/vas-ai-hub/contract-review"> C745C7E</paraID>
      <start xmlns="http://schemas.wps.cn/vas-ai-hub/contract-review">12</start>
      <end xmlns="http://schemas.wps.cn/vas-ai-hub/contract-review">21</end>
      <status xmlns="http://schemas.wps.cn/vas-ai-hub/contract-review">modified</status>
      <modifiedWord xmlns="http://schemas.wps.cn/vas-ai-hub/contract-review">〔2026〕40号</modifiedWord>
      <trackRevisions xmlns="http://schemas.wps.cn/vas-ai-hub/contract-review">false</trackRevisions>
    </reviewItem>
    <reviewItem xmlns="http://schemas.wps.cn/vas-ai-hub/contract-review">
      <errorID xmlns="http://schemas.wps.cn/vas-ai-hub/contract-review">f4652d26-2a6c-4ba2-931f-7712b28f66da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781E9933</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ce512052-8ee4-4be0-af55-b838bbd6cf14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781E9933</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468294cf-db62-4cdf-94be-3df8acfebfff</errorID>
      <errorWord xmlns="http://schemas.wps.cn/vas-ai-hub/contract-review">10%-20%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10%—20%</item>
      </candidateList>
      <explain xmlns="http://schemas.wps.cn/vas-ai-hub/contract-review">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47FACF61</paraID>
      <start xmlns="http://schemas.wps.cn/vas-ai-hub/contract-review">17</start>
      <end xmlns="http://schemas.wps.cn/vas-ai-hub/contract-review">24</end>
      <status xmlns="http://schemas.wps.cn/vas-ai-hub/contract-review">modified</status>
      <modifiedWord xmlns="http://schemas.wps.cn/vas-ai-hub/contract-review">10%—20%</modifiedWord>
      <trackRevisions xmlns="http://schemas.wps.cn/vas-ai-hub/contract-review">false</trackRevisions>
    </reviewItem>
    <reviewItem xmlns="http://schemas.wps.cn/vas-ai-hub/contract-review">
      <errorID xmlns="http://schemas.wps.cn/vas-ai-hub/contract-review">6999e625-4311-4ff9-a8ea-2cabd03bd73f</errorID>
      <errorWord xmlns="http://schemas.wps.cn/vas-ai-hub/contract-review">2%-3%</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2%—3%</item>
      </candidateList>
      <explain xmlns="http://schemas.wps.cn/vas-ai-hub/contract-review">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60818BD4</paraID>
      <start xmlns="http://schemas.wps.cn/vas-ai-hub/contract-review">6</start>
      <end xmlns="http://schemas.wps.cn/vas-ai-hub/contract-review">11</end>
      <status xmlns="http://schemas.wps.cn/vas-ai-hub/contract-review">modified</status>
      <modifiedWord xmlns="http://schemas.wps.cn/vas-ai-hub/contract-review">2%—3%</modifiedWord>
      <trackRevisions xmlns="http://schemas.wps.cn/vas-ai-hub/contract-review">false</trackRevisions>
    </reviewItem>
    <reviewItem xmlns="http://schemas.wps.cn/vas-ai-hub/contract-review">
      <errorID xmlns="http://schemas.wps.cn/vas-ai-hub/contract-review">30503f43-67b7-4432-aa86-f22bbf545a11</errorID>
      <errorWord xmlns="http://schemas.wps.cn/vas-ai-hub/contract-review">采 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采购</item>
      </candidateList>
      <explain xmlns="http://schemas.wps.cn/vas-ai-hub/contract-review"/>
      <paraID xmlns="http://schemas.wps.cn/vas-ai-hub/contract-review">1F3BF012</paraID>
      <start xmlns="http://schemas.wps.cn/vas-ai-hub/contract-review">2</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273a75a5-71e1-42d9-88e4-bbddb67b619b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7CD269C9</paraID>
      <start xmlns="http://schemas.wps.cn/vas-ai-hub/contract-review">198</start>
      <end xmlns="http://schemas.wps.cn/vas-ai-hub/contract-review">199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1435ac4f-28f6-4dfd-8111-68506ef2b450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3273EB30</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60ff979c-6dbc-4873-8954-2391c0018230</errorID>
      <errorWord xmlns="http://schemas.wps.cn/vas-ai-hub/contract-review">4%-8%</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4%—8%</item>
      </candidateList>
      <explain xmlns="http://schemas.wps.cn/vas-ai-hub/contract-review">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3273EB30</paraID>
      <start xmlns="http://schemas.wps.cn/vas-ai-hub/contract-review">31</start>
      <end xmlns="http://schemas.wps.cn/vas-ai-hub/contract-review">36</end>
      <status xmlns="http://schemas.wps.cn/vas-ai-hub/contract-review">modified</status>
      <modifiedWord xmlns="http://schemas.wps.cn/vas-ai-hub/contract-review">4%—8%</modifiedWord>
      <trackRevisions xmlns="http://schemas.wps.cn/vas-ai-hub/contract-review">false</trackRevisions>
    </reviewItem>
    <reviewItem xmlns="http://schemas.wps.cn/vas-ai-hub/contract-review">
      <errorID xmlns="http://schemas.wps.cn/vas-ai-hub/contract-review">0b93f93a-a340-43b6-97fa-8fa792b416f5</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加分比例为 </item>
      </candidateList>
      <explain xmlns="http://schemas.wps.cn/vas-ai-hub/contract-review"/>
      <paraID xmlns="http://schemas.wps.cn/vas-ai-hub/contract-review">3273EB30</paraID>
      <start xmlns="http://schemas.wps.cn/vas-ai-hub/contract-review">55</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c67ced93-9d7c-4ff0-8d34-8ec708d29a9e</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加分比例为 %。</item>
      </candidateList>
      <explain xmlns="http://schemas.wps.cn/vas-ai-hub/contract-review"/>
      <paraID xmlns="http://schemas.wps.cn/vas-ai-hub/contract-review">3273EB30</paraID>
      <start xmlns="http://schemas.wps.cn/vas-ai-hub/contract-review">60</start>
      <end xmlns="http://schemas.wps.cn/vas-ai-hub/contract-review">68</end>
      <status xmlns="http://schemas.wps.cn/vas-ai-hub/contract-review">modified</status>
      <modifiedWord xmlns="http://schemas.wps.cn/vas-ai-hub/contract-review">加分比例为 %。</modifiedWord>
      <trackRevisions xmlns="http://schemas.wps.cn/vas-ai-hub/contract-review">false</trackRevisions>
    </reviewItem>
    <reviewItem xmlns="http://schemas.wps.cn/vas-ai-hub/contract-review">
      <errorID xmlns="http://schemas.wps.cn/vas-ai-hub/contract-review">1b98c8e7-be64-400f-938a-40daa00e8bd9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1E4B47CA</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d828db6b-3d7a-4b12-b130-c498510897f6</errorID>
      <errorWord xmlns="http://schemas.wps.cn/vas-ai-hub/contract-review">4%-8%</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4%—8%</item>
      </candidateList>
      <explain xmlns="http://schemas.wps.cn/vas-ai-hub/contract-review">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1E4B47CA</paraID>
      <start xmlns="http://schemas.wps.cn/vas-ai-hub/contract-review">28</start>
      <end xmlns="http://schemas.wps.cn/vas-ai-hub/contract-review">33</end>
      <status xmlns="http://schemas.wps.cn/vas-ai-hub/contract-review">modified</status>
      <modifiedWord xmlns="http://schemas.wps.cn/vas-ai-hub/contract-review">4%—8%</modifiedWord>
      <trackRevisions xmlns="http://schemas.wps.cn/vas-ai-hub/contract-review">false</trackRevisions>
    </reviewItem>
    <reviewItem xmlns="http://schemas.wps.cn/vas-ai-hub/contract-review">
      <errorID xmlns="http://schemas.wps.cn/vas-ai-hub/contract-review">18668b8d-475c-4413-bc4c-d626ded3b960</errorID>
      <errorWord xmlns="http://schemas.wps.cn/vas-ai-hub/contract-review">二类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两类</item>
      </candidateList>
      <explain xmlns="http://schemas.wps.cn/vas-ai-hub/contract-review"/>
      <paraID xmlns="http://schemas.wps.cn/vas-ai-hub/contract-review">2BE77269</paraID>
      <start xmlns="http://schemas.wps.cn/vas-ai-hub/contract-review">2</start>
      <end xmlns="http://schemas.wps.cn/vas-ai-hub/contract-review">4</end>
      <status xmlns="http://schemas.wps.cn/vas-ai-hub/contract-review">modified</status>
      <modifiedWord xmlns="http://schemas.wps.cn/vas-ai-hub/contract-review">两类</modifiedWord>
      <trackRevisions xmlns="http://schemas.wps.cn/vas-ai-hub/contract-review">false</trackRevisions>
    </reviewItem>
    <reviewItem xmlns="http://schemas.wps.cn/vas-ai-hub/contract-review">
      <errorID xmlns="http://schemas.wps.cn/vas-ai-hub/contract-review">50f3a36e-08b4-4f68-ad03-0c451215e691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6FAF704A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6729edfb-c90f-47fd-a60f-48c911ed44fc</errorID>
      <errorWord xmlns="http://schemas.wps.cn/vas-ai-hub/contract-review">得分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若得分</item>
      </candidateList>
      <explain xmlns="http://schemas.wps.cn/vas-ai-hub/contract-review"/>
      <paraID xmlns="http://schemas.wps.cn/vas-ai-hub/contract-review">76EB018D</paraID>
      <start xmlns="http://schemas.wps.cn/vas-ai-hub/contract-review">22</start>
      <end xmlns="http://schemas.wps.cn/vas-ai-hub/contract-review">25</end>
      <status xmlns="http://schemas.wps.cn/vas-ai-hub/contract-review">modified</status>
      <modifiedWord xmlns="http://schemas.wps.cn/vas-ai-hub/contract-review">若得分</modifiedWord>
      <trackRevisions xmlns="http://schemas.wps.cn/vas-ai-hub/contract-review">false</trackRevisions>
    </reviewItem>
    <reviewItem xmlns="http://schemas.wps.cn/vas-ai-hub/contract-review">
      <errorID xmlns="http://schemas.wps.cn/vas-ai-hub/contract-review">c20a1b30-f698-49a9-8ede-1b12c12e661d</errorID>
      <errorWord xmlns="http://schemas.wps.cn/vas-ai-hub/contract-review">相同的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相同</item>
      </candidateList>
      <explain xmlns="http://schemas.wps.cn/vas-ai-hub/contract-review"/>
      <paraID xmlns="http://schemas.wps.cn/vas-ai-hub/contract-review">76EB018D</paraID>
      <start xmlns="http://schemas.wps.cn/vas-ai-hub/contract-review">30</start>
      <end xmlns="http://schemas.wps.cn/vas-ai-hub/contract-review">32</end>
      <status xmlns="http://schemas.wps.cn/vas-ai-hub/contract-review">modified</status>
      <modifiedWord xmlns="http://schemas.wps.cn/vas-ai-hub/contract-review">相同</modifiedWord>
      <trackRevisions xmlns="http://schemas.wps.cn/vas-ai-hub/contract-review">false</trackRevisions>
    </reviewItem>
    <reviewItem xmlns="http://schemas.wps.cn/vas-ai-hub/contract-review">
      <errorID xmlns="http://schemas.wps.cn/vas-ai-hub/contract-review">f8bb08ec-bd35-49c2-9420-4797362e69ee</errorID>
      <errorWord xmlns="http://schemas.wps.cn/vas-ai-hub/contract-review">关于推动解决政府采购异常低价问题的通知</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《关于推动解决政府采购异常低价问题的通知》（</item>
      </candidateList>
      <explain xmlns="http://schemas.wps.cn/vas-ai-hub/contract-review"/>
      <paraID xmlns="http://schemas.wps.cn/vas-ai-hub/contract-review">3471D1A3</paraID>
      <start xmlns="http://schemas.wps.cn/vas-ai-hub/contract-review">11</start>
      <end xmlns="http://schemas.wps.cn/vas-ai-hub/contract-review">33</end>
      <status xmlns="http://schemas.wps.cn/vas-ai-hub/contract-review">modified</status>
      <modifiedWord xmlns="http://schemas.wps.cn/vas-ai-hub/contract-review">《关于推动解决政府采购异常低价问题的通知》（</modifiedWord>
      <trackRevisions xmlns="http://schemas.wps.cn/vas-ai-hub/contract-review">false</trackRevisions>
    </reviewItem>
    <reviewItem xmlns="http://schemas.wps.cn/vas-ai-hub/contract-review">
      <errorID xmlns="http://schemas.wps.cn/vas-ai-hub/contract-review">8188e66c-4da2-4a3a-bbee-a7926f48c404</errorID>
      <errorWord xmlns="http://schemas.wps.cn/vas-ai-hub/contract-review">文件</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）文件</item>
      </candidateList>
      <explain xmlns="http://schemas.wps.cn/vas-ai-hub/contract-review"/>
      <paraID xmlns="http://schemas.wps.cn/vas-ai-hub/contract-review">3471D1A3</paraID>
      <start xmlns="http://schemas.wps.cn/vas-ai-hub/contract-review">43</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da4e1d99-d924-4c05-a2ee-94bc413f296d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8ABB8B5</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175a8bbe-a167-4281-af7e-f1957ace1e2a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8ABB8B5</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30992cda-faf5-4906-8116-52fd5fa0499e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8ABB8B5</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fb20e170-4459-4325-a6ed-30298b9d66b5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8ABB8B5</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54e86cff-eb7d-46e0-9285-492ee1197a65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c9dae2fe-b3cd-4432-b3b0-2972bda94919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87ff08c0-0c9d-49e8-85dd-753fb96f895c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0a230fa3-3b46-4735-b606-a1f0b8a7c226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0b4a0559-4db3-4908-b09d-0540f0e03932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f8b5859e-7403-49b8-b59e-cc902b3c2f3f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25e996d6-bc7b-42bf-b6ce-29f9b653ecd6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f472e7e8-3dc3-46e4-8ca3-f5d37b9e6351</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181fe2d3-39d3-4b07-bc02-abf54e41eb0e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79dfaa76-8d62-494c-bc45-4ae4366720d9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53964255</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399a2b26-86f7-4e17-998c-7374776ffacd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b0e73555-648b-4721-aa91-b2e6e5f65029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fefe9400-76de-41d0-85ec-6cf61b1a0b72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fe594e77-5c62-4158-8d64-bfebbdd7701c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7b3ca3a7-a4ac-4bc1-af11-45fcb97b6f37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e2e756a2-31f0-4782-8afb-5152a5fada03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42fbc58b-67d1-4805-9e0b-d67c2089332b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abfbdc56-167f-45ea-9ee4-1ad551431e39</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e317ba61-6038-4650-8392-8f0ec99da1f6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16aa6569-88f6-4053-9245-ad48a6634391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2CD9442C</paraID>
      <start xmlns="http://schemas.wps.cn/vas-ai-hub/contract-review">68</start>
      <end xmlns="http://schemas.wps.cn/vas-ai-hub/contract-review">69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ef807aa0-b062-418b-a168-69a63e40381b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1EB79737</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a792bf7f-d241-41c8-ac1f-51104627ce80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1EB79737</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97f45dc4-4fb2-44cd-ab14-99245bdd0f39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1EB79737</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f2bff0ff-a56c-464f-b6ff-b8b098e903ab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1EB79737</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9f2943a0-5fb3-48e5-b7a9-cf35d5280b5e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1EB79737</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7b24695e-afad-44f7-ae0b-a290ba42be9e</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1EB79737</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6efac208-88c1-47f4-8a81-b61275ec3795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64A02F7E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2749e515-07bb-4ff6-b340-56fbd22e3491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64A02F7E</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dc792497-e821-4977-95f2-3d38b9742419</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64A02F7E</paraID>
      <start xmlns="http://schemas.wps.cn/vas-ai-hub/contract-review">45</start>
      <end xmlns="http://schemas.wps.cn/vas-ai-hub/contract-review">45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5f1d0cfb-8506-46c7-9b1f-48e1c1a55798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64A02F7E</paraID>
      <start xmlns="http://schemas.wps.cn/vas-ai-hub/contract-review">60</start>
      <end xmlns="http://schemas.wps.cn/vas-ai-hub/contract-review">61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c70a8c3e-1835-4cab-a26c-cb7a73168915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64A02F7E</paraID>
      <start xmlns="http://schemas.wps.cn/vas-ai-hub/contract-review">81</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761b7c17-2fac-40b4-9ac1-61f36c4706a2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64A02F7E</paraID>
      <start xmlns="http://schemas.wps.cn/vas-ai-hub/contract-review">84</start>
      <end xmlns="http://schemas.wps.cn/vas-ai-hub/contract-review">85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c043ba52-44a3-4ff5-a359-87abd7e3bd4e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64A02F7E</paraID>
      <start xmlns="http://schemas.wps.cn/vas-ai-hub/contract-review">92</start>
      <end xmlns="http://schemas.wps.cn/vas-ai-hub/contract-review">93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f55ff703-2a4a-42fd-861e-38b2359e7958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61E706EB</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1702708f-4fd2-4b8f-bc53-44f13f63c8b5</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7DA5F82F</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52b73c47-3852-4674-977b-af53ec52fc32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952839c7-6235-4fc5-ae29-12a989a6e704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88063436-5044-4e2d-bad4-6b6bc5b247b2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add27f28-fc81-43bd-a870-64dfcd6d044e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63880ddd-4f86-41b1-a770-1f5349469dd4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0ae61089-f5af-403c-b29f-126f3f44a62e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4191e642-0fb5-4d62-9f60-72e032e37d75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72</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01df2651-ad2e-4290-8b90-3647a1678e73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105</start>
      <end xmlns="http://schemas.wps.cn/vas-ai-hub/contract-review">106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20caa366-e542-48e1-944d-a295812dcd17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128</start>
      <end xmlns="http://schemas.wps.cn/vas-ai-hub/contract-review">129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33bd0c5f-73d7-4542-b882-397177408cb2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153</start>
      <end xmlns="http://schemas.wps.cn/vas-ai-hub/contract-review">154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8cb1f896-49cd-46e9-9d69-c2b2b95e96e5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161</start>
      <end xmlns="http://schemas.wps.cn/vas-ai-hub/contract-review">162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bcf86459-5d7c-4987-9ffd-c036c416d1dd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169</start>
      <end xmlns="http://schemas.wps.cn/vas-ai-hub/contract-review">170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cad74865-2be1-44f7-a23d-655c20009bda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172</start>
      <end xmlns="http://schemas.wps.cn/vas-ai-hub/contract-review">173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b122a397-0862-443f-92f8-e9f49ccb77c3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194</start>
      <end xmlns="http://schemas.wps.cn/vas-ai-hub/contract-review">195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5dfe7dc0-bda2-456d-96ff-44e318e81c99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220</start>
      <end xmlns="http://schemas.wps.cn/vas-ai-hub/contract-review">221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d2ce8412-5e83-4060-b534-c29a4575ee24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229</start>
      <end xmlns="http://schemas.wps.cn/vas-ai-hub/contract-review">230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2cd26926-e002-4557-a045-b1bf7acf4342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232</start>
      <end xmlns="http://schemas.wps.cn/vas-ai-hub/contract-review">233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2dbbef43-f350-4248-aa01-817bccc75a3e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280</start>
      <end xmlns="http://schemas.wps.cn/vas-ai-hub/contract-review">281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8b1e5652-c62e-4d82-9b10-03ae5995af1d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294</start>
      <end xmlns="http://schemas.wps.cn/vas-ai-hub/contract-review">295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f3c4edce-f504-495a-8941-b4c3140a7228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297</start>
      <end xmlns="http://schemas.wps.cn/vas-ai-hub/contract-review">298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911d30a9-af90-4d99-bfe4-ff3ff301d5fd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314</start>
      <end xmlns="http://schemas.wps.cn/vas-ai-hub/contract-review">315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b7cfbcc5-5660-4a1f-9d60-85e1345c07a1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340</start>
      <end xmlns="http://schemas.wps.cn/vas-ai-hub/contract-review">341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0f104cc7-467e-4ff8-abf0-cc5f19e4c809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356</start>
      <end xmlns="http://schemas.wps.cn/vas-ai-hub/contract-review">357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60bf538d-e38b-4b20-bdc1-8ac33b34f00c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7DA5F82F</paraID>
      <start xmlns="http://schemas.wps.cn/vas-ai-hub/contract-review">359</start>
      <end xmlns="http://schemas.wps.cn/vas-ai-hub/contract-review">360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b44c77f8-df96-4d93-a2d2-dd629eaf166f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418B020E</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16f30c6e-e763-4d3e-b4f7-eebe86a601f3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418B020E</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265704f4-a257-4beb-939f-4aee55efbd7a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418B020E</paraID>
      <start xmlns="http://schemas.wps.cn/vas-ai-hub/contract-review">113</start>
      <end xmlns="http://schemas.wps.cn/vas-ai-hub/contract-review">114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6e2f6b57-8d8e-4b90-a5ab-20d1a3bc1acd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418B020E</paraID>
      <start xmlns="http://schemas.wps.cn/vas-ai-hub/contract-review">126</start>
      <end xmlns="http://schemas.wps.cn/vas-ai-hub/contract-review">127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51f6b61c-13e4-4f2d-9ff4-c99f3d269133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756D4855</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4e773687-a862-43a0-a379-e5f9633adf9a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756D4855</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a2e830ab-e8f5-44df-82c0-caf9938abd46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756D4855</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47b263e1-c328-487c-9972-583da7a8271a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756D4855</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c055b86c-be4c-4709-bf89-20c8ad14341e</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54B30DEA</paraID>
      <start xmlns="http://schemas.wps.cn/vas-ai-hub/contract-review">25</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5e5de6cf-d5e0-414d-9944-bffac409e107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68542EDC</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1bbd0e45-6fa4-4abc-9b4f-c1dfccc1294d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68542EDC</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d9a4fcef-d19b-4fd0-987b-e1f9dfa859bd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E7AF80D</paraID>
      <start xmlns="http://schemas.wps.cn/vas-ai-hub/contract-review">80</start>
      <end xmlns="http://schemas.wps.cn/vas-ai-hub/contract-review">81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e75e1de2-61ea-449b-83e6-d6312d6e124a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E7AF80D</paraID>
      <start xmlns="http://schemas.wps.cn/vas-ai-hub/contract-review">89</start>
      <end xmlns="http://schemas.wps.cn/vas-ai-hub/contract-review">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c814d4bc-2824-4847-b515-bc237ffd4c3f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373844B</paraID>
      <start xmlns="http://schemas.wps.cn/vas-ai-hub/contract-review">80</start>
      <end xmlns="http://schemas.wps.cn/vas-ai-hub/contract-review">81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b009f66b-6a71-4024-bf69-d5d752fac99b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373844B</paraID>
      <start xmlns="http://schemas.wps.cn/vas-ai-hub/contract-review">89</start>
      <end xmlns="http://schemas.wps.cn/vas-ai-hub/contract-review">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07e158fa-c033-4a62-b435-56c0b9dbe32b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69C1190E</paraID>
      <start xmlns="http://schemas.wps.cn/vas-ai-hub/contract-review">65</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d7f9b464-bb66-4584-a753-f1bd843dee39</errorID>
      <errorWord xmlns="http://schemas.wps.cn/vas-ai-hub/contract-review">等级制度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登记制度</item>
      </candidateList>
      <explain xmlns="http://schemas.wps.cn/vas-ai-hub/contract-review"/>
      <paraID xmlns="http://schemas.wps.cn/vas-ai-hub/contract-review">2595875A</paraID>
      <start xmlns="http://schemas.wps.cn/vas-ai-hub/contract-review">81</start>
      <end xmlns="http://schemas.wps.cn/vas-ai-hub/contract-review">85</end>
      <status xmlns="http://schemas.wps.cn/vas-ai-hub/contract-review">modified</status>
      <modifiedWord xmlns="http://schemas.wps.cn/vas-ai-hub/contract-review">登记制度</modifiedWord>
      <trackRevisions xmlns="http://schemas.wps.cn/vas-ai-hub/contract-review">false</trackRevisions>
    </reviewItem>
    <reviewItem xmlns="http://schemas.wps.cn/vas-ai-hub/contract-review">
      <errorID xmlns="http://schemas.wps.cn/vas-ai-hub/contract-review">639ef204-a115-4be7-9b41-8561b47e809e</errorID>
      <errorWord xmlns="http://schemas.wps.cn/vas-ai-hub/contract-review">新政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新证</item>
      </candidateList>
      <explain xmlns="http://schemas.wps.cn/vas-ai-hub/contract-review"/>
      <paraID xmlns="http://schemas.wps.cn/vas-ai-hub/contract-review">2595875A</paraID>
      <start xmlns="http://schemas.wps.cn/vas-ai-hub/contract-review">88</start>
      <end xmlns="http://schemas.wps.cn/vas-ai-hub/contract-review">90</end>
      <status xmlns="http://schemas.wps.cn/vas-ai-hub/contract-review">modified</status>
      <modifiedWord xmlns="http://schemas.wps.cn/vas-ai-hub/contract-review">新证</modifiedWord>
      <trackRevisions xmlns="http://schemas.wps.cn/vas-ai-hub/contract-review">false</trackRevisions>
    </reviewItem>
    <reviewItem xmlns="http://schemas.wps.cn/vas-ai-hub/contract-review">
      <errorID xmlns="http://schemas.wps.cn/vas-ai-hub/contract-review">435487c8-a0ec-430d-aeb7-b820f910ade1</errorID>
      <errorWord xmlns="http://schemas.wps.cn/vas-ai-hub/contract-review">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商各</item>
      </candidateList>
      <explain xmlns="http://schemas.wps.cn/vas-ai-hub/contract-review"/>
      <paraID xmlns="http://schemas.wps.cn/vas-ai-hub/contract-review">328654F9</paraID>
      <start xmlns="http://schemas.wps.cn/vas-ai-hub/contract-review">45</start>
      <end xmlns="http://schemas.wps.cn/vas-ai-hub/contract-review">47</end>
      <status xmlns="http://schemas.wps.cn/vas-ai-hub/contract-review">modified</status>
      <modifiedWord xmlns="http://schemas.wps.cn/vas-ai-hub/contract-review">商各</modifiedWord>
      <trackRevisions xmlns="http://schemas.wps.cn/vas-ai-hub/contract-review">false</trackRevisions>
    </reviewItem>
    <reviewItem xmlns="http://schemas.wps.cn/vas-ai-hub/contract-review">
      <errorID xmlns="http://schemas.wps.cn/vas-ai-hub/contract-review">76d313dc-3edc-4cf8-8237-8bfad0e1fa91</errorID>
      <errorWord xmlns="http://schemas.wps.cn/vas-ai-hub/contract-review">每</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，每</item>
      </candidateList>
      <explain xmlns="http://schemas.wps.cn/vas-ai-hub/contract-review"/>
      <paraID xmlns="http://schemas.wps.cn/vas-ai-hub/contract-review">33A5E516</paraID>
      <start xmlns="http://schemas.wps.cn/vas-ai-hub/contract-review">26</start>
      <end xmlns="http://schemas.wps.cn/vas-ai-hub/contract-review">28</end>
      <status xmlns="http://schemas.wps.cn/vas-ai-hub/contract-review">modified</status>
      <modifiedWord xmlns="http://schemas.wps.cn/vas-ai-hub/contract-review">，每</modifiedWord>
      <trackRevisions xmlns="http://schemas.wps.cn/vas-ai-hub/contract-review">false</trackRevisions>
    </reviewItem>
    <reviewItem xmlns="http://schemas.wps.cn/vas-ai-hub/contract-review">
      <errorID xmlns="http://schemas.wps.cn/vas-ai-hub/contract-review">0b301321-9926-4ade-9151-ea52b16088b6</errorID>
      <errorWord xmlns="http://schemas.wps.cn/vas-ai-hub/contract-review">每</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，每</item>
      </candidateList>
      <explain xmlns="http://schemas.wps.cn/vas-ai-hub/contract-review"/>
      <paraID xmlns="http://schemas.wps.cn/vas-ai-hub/contract-review">33A5E516</paraID>
      <start xmlns="http://schemas.wps.cn/vas-ai-hub/contract-review">54</start>
      <end xmlns="http://schemas.wps.cn/vas-ai-hub/contract-review">56</end>
      <status xmlns="http://schemas.wps.cn/vas-ai-hub/contract-review">modified</status>
      <modifiedWord xmlns="http://schemas.wps.cn/vas-ai-hub/contract-review">，每</modifiedWord>
      <trackRevisions xmlns="http://schemas.wps.cn/vas-ai-hub/contract-review">false</trackRevisions>
    </reviewItem>
    <reviewItem xmlns="http://schemas.wps.cn/vas-ai-hub/contract-review">
      <errorID xmlns="http://schemas.wps.cn/vas-ai-hub/contract-review">87f7060b-55b7-4bb6-8ae0-58225c341b11</errorID>
      <errorWord xmlns="http://schemas.wps.cn/vas-ai-hub/contract-review">不</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，不</item>
      </candidateList>
      <explain xmlns="http://schemas.wps.cn/vas-ai-hub/contract-review"/>
      <paraID xmlns="http://schemas.wps.cn/vas-ai-hub/contract-review">33A5E516</paraID>
      <start xmlns="http://schemas.wps.cn/vas-ai-hub/contract-review">76</start>
      <end xmlns="http://schemas.wps.cn/vas-ai-hub/contract-review">78</end>
      <status xmlns="http://schemas.wps.cn/vas-ai-hub/contract-review">modified</status>
      <modifiedWord xmlns="http://schemas.wps.cn/vas-ai-hub/contract-review">，不</modifiedWord>
      <trackRevisions xmlns="http://schemas.wps.cn/vas-ai-hub/contract-review">false</trackRevisions>
    </reviewItem>
    <reviewItem xmlns="http://schemas.wps.cn/vas-ai-hub/contract-review">
      <errorID xmlns="http://schemas.wps.cn/vas-ai-hub/contract-review">bc98a101-02f9-4d45-8327-a5eae73df4ec</errorID>
      <errorWord xmlns="http://schemas.wps.cn/vas-ai-hub/contract-review">每</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，每</item>
      </candidateList>
      <explain xmlns="http://schemas.wps.cn/vas-ai-hub/contract-review"/>
      <paraID xmlns="http://schemas.wps.cn/vas-ai-hub/contract-review"> 7284E58</paraID>
      <start xmlns="http://schemas.wps.cn/vas-ai-hub/contract-review">26</start>
      <end xmlns="http://schemas.wps.cn/vas-ai-hub/contract-review">28</end>
      <status xmlns="http://schemas.wps.cn/vas-ai-hub/contract-review">modified</status>
      <modifiedWord xmlns="http://schemas.wps.cn/vas-ai-hub/contract-review">，每</modifiedWord>
      <trackRevisions xmlns="http://schemas.wps.cn/vas-ai-hub/contract-review">false</trackRevisions>
    </reviewItem>
    <reviewItem xmlns="http://schemas.wps.cn/vas-ai-hub/contract-review">
      <errorID xmlns="http://schemas.wps.cn/vas-ai-hub/contract-review">4c861fb2-be2b-4714-b553-005e8dd943a2</errorID>
      <errorWord xmlns="http://schemas.wps.cn/vas-ai-hub/contract-review">每</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，每</item>
      </candidateList>
      <explain xmlns="http://schemas.wps.cn/vas-ai-hub/contract-review"/>
      <paraID xmlns="http://schemas.wps.cn/vas-ai-hub/contract-review"> 7284E58</paraID>
      <start xmlns="http://schemas.wps.cn/vas-ai-hub/contract-review">56</start>
      <end xmlns="http://schemas.wps.cn/vas-ai-hub/contract-review">58</end>
      <status xmlns="http://schemas.wps.cn/vas-ai-hub/contract-review">modified</status>
      <modifiedWord xmlns="http://schemas.wps.cn/vas-ai-hub/contract-review">，每</modifiedWord>
      <trackRevisions xmlns="http://schemas.wps.cn/vas-ai-hub/contract-review">false</trackRevisions>
    </reviewItem>
    <reviewItem xmlns="http://schemas.wps.cn/vas-ai-hub/contract-review">
      <errorID xmlns="http://schemas.wps.cn/vas-ai-hub/contract-review">10da049d-84d6-4935-8db3-f07f01951010</errorID>
      <errorWord xmlns="http://schemas.wps.cn/vas-ai-hub/contract-review">不</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，不</item>
      </candidateList>
      <explain xmlns="http://schemas.wps.cn/vas-ai-hub/contract-review"/>
      <paraID xmlns="http://schemas.wps.cn/vas-ai-hub/contract-review"> 7284E58</paraID>
      <start xmlns="http://schemas.wps.cn/vas-ai-hub/contract-review">78</start>
      <end xmlns="http://schemas.wps.cn/vas-ai-hub/contract-review">80</end>
      <status xmlns="http://schemas.wps.cn/vas-ai-hub/contract-review">modified</status>
      <modifiedWord xmlns="http://schemas.wps.cn/vas-ai-hub/contract-review">，不</modifiedWord>
      <trackRevisions xmlns="http://schemas.wps.cn/vas-ai-hub/contract-review">false</trackRevisions>
    </reviewItem>
    <reviewItem xmlns="http://schemas.wps.cn/vas-ai-hub/contract-review">
      <errorID xmlns="http://schemas.wps.cn/vas-ai-hub/contract-review">223bdb1b-6514-4916-9685-e456ff6520ed</errorID>
      <errorWord xmlns="http://schemas.wps.cn/vas-ai-hub/contract-review">每</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，每</item>
      </candidateList>
      <explain xmlns="http://schemas.wps.cn/vas-ai-hub/contract-review"/>
      <paraID xmlns="http://schemas.wps.cn/vas-ai-hub/contract-review">3092C832</paraID>
      <start xmlns="http://schemas.wps.cn/vas-ai-hub/contract-review">26</start>
      <end xmlns="http://schemas.wps.cn/vas-ai-hub/contract-review">28</end>
      <status xmlns="http://schemas.wps.cn/vas-ai-hub/contract-review">modified</status>
      <modifiedWord xmlns="http://schemas.wps.cn/vas-ai-hub/contract-review">，每</modifiedWord>
      <trackRevisions xmlns="http://schemas.wps.cn/vas-ai-hub/contract-review">false</trackRevisions>
    </reviewItem>
    <reviewItem xmlns="http://schemas.wps.cn/vas-ai-hub/contract-review">
      <errorID xmlns="http://schemas.wps.cn/vas-ai-hub/contract-review">8013e5e7-7ce7-4917-a6c3-d94036225ec7</errorID>
      <errorWord xmlns="http://schemas.wps.cn/vas-ai-hub/contract-review">每</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，每</item>
      </candidateList>
      <explain xmlns="http://schemas.wps.cn/vas-ai-hub/contract-review"/>
      <paraID xmlns="http://schemas.wps.cn/vas-ai-hub/contract-review">3092C832</paraID>
      <start xmlns="http://schemas.wps.cn/vas-ai-hub/contract-review">56</start>
      <end xmlns="http://schemas.wps.cn/vas-ai-hub/contract-review">58</end>
      <status xmlns="http://schemas.wps.cn/vas-ai-hub/contract-review">modified</status>
      <modifiedWord xmlns="http://schemas.wps.cn/vas-ai-hub/contract-review">，每</modifiedWord>
      <trackRevisions xmlns="http://schemas.wps.cn/vas-ai-hub/contract-review">false</trackRevisions>
    </reviewItem>
    <reviewItem xmlns="http://schemas.wps.cn/vas-ai-hub/contract-review">
      <errorID xmlns="http://schemas.wps.cn/vas-ai-hub/contract-review">1cf32a72-e76b-4e73-9df2-320bf88363e3</errorID>
      <errorWord xmlns="http://schemas.wps.cn/vas-ai-hub/contract-review">不</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，不</item>
      </candidateList>
      <explain xmlns="http://schemas.wps.cn/vas-ai-hub/contract-review"/>
      <paraID xmlns="http://schemas.wps.cn/vas-ai-hub/contract-review">3092C832</paraID>
      <start xmlns="http://schemas.wps.cn/vas-ai-hub/contract-review">78</start>
      <end xmlns="http://schemas.wps.cn/vas-ai-hub/contract-review">80</end>
      <status xmlns="http://schemas.wps.cn/vas-ai-hub/contract-review">modified</status>
      <modifiedWord xmlns="http://schemas.wps.cn/vas-ai-hub/contract-review">，不</modifiedWord>
      <trackRevisions xmlns="http://schemas.wps.cn/vas-ai-hub/contract-review">false</trackRevisions>
    </reviewItem>
    <reviewItem xmlns="http://schemas.wps.cn/vas-ai-hub/contract-review">
      <errorID xmlns="http://schemas.wps.cn/vas-ai-hub/contract-review">2b516b9d-cab9-4173-a5c3-88b2cd751d70</errorID>
      <errorWord xmlns="http://schemas.wps.cn/vas-ai-hub/contract-review">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item>
      </candidateList>
      <explain xmlns="http://schemas.wps.cn/vas-ai-hub/contract-review">❶起：振～｜日出而～｜一鼓～气｜枪声大～。❷〈动〉从事某种活动：～孽｜～报告｜自～自受。❸〈动〉写作：著～｜～曲｜～书（写信）。❹作品：佳～｜杰～｜成功之～。❺装：～态｜装模～样。❻〈动〉当成；作为：～保｜～废｜认贼～父。❼发作：～呕｜～怪。</explain>
      <paraID xmlns="http://schemas.wps.cn/vas-ai-hub/contract-review">7BADEAA1</paraID>
      <start xmlns="http://schemas.wps.cn/vas-ai-hub/contract-review">45</start>
      <end xmlns="http://schemas.wps.cn/vas-ai-hub/contract-review">46</end>
      <status xmlns="http://schemas.wps.cn/vas-ai-hub/contract-review">modified</status>
      <modifiedWord xmlns="http://schemas.wps.cn/vas-ai-hub/contract-review">作</modifiedWord>
      <trackRevisions xmlns="http://schemas.wps.cn/vas-ai-hub/contract-review">false</trackRevisions>
    </reviewItem>
    <reviewItem xmlns="http://schemas.wps.cn/vas-ai-hub/contract-review">
      <errorID xmlns="http://schemas.wps.cn/vas-ai-hub/contract-review">a56f2401-48c3-406f-8f2b-9a5eca5e3368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38941EA2</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bfcd6141-38af-4055-8696-54f65fbe2fb4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38941EA2</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2b370b80-28cf-46af-96e8-a15111fb4d50</errorID>
      <errorWord xmlns="http://schemas.wps.cn/vas-ai-hub/contract-review">原资料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原材料</item>
      </candidateList>
      <explain xmlns="http://schemas.wps.cn/vas-ai-hub/contract-review"/>
      <paraID xmlns="http://schemas.wps.cn/vas-ai-hub/contract-review">4A155386</paraID>
      <start xmlns="http://schemas.wps.cn/vas-ai-hub/contract-review">23</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13e71088-7421-4fdf-97c0-93515467db25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4A155386</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0daba48e-26e4-4373-be42-62a1beb4c269</errorID>
      <errorWord xmlns="http://schemas.wps.cn/vas-ai-hub/contract-review">[2013]189号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〔2013〕189号</item>
      </candidateList>
      <explain xmlns="http://schemas.wps.cn/vas-ai-hub/contract-review">发文字号格式错误。</explain>
      <paraID xmlns="http://schemas.wps.cn/vas-ai-hub/contract-review">4A155386</paraID>
      <start xmlns="http://schemas.wps.cn/vas-ai-hub/contract-review">54</start>
      <end xmlns="http://schemas.wps.cn/vas-ai-hub/contract-review">64</end>
      <status xmlns="http://schemas.wps.cn/vas-ai-hub/contract-review">modified</status>
      <modifiedWord xmlns="http://schemas.wps.cn/vas-ai-hub/contract-review">〔2013〕189号</modifiedWord>
      <trackRevisions xmlns="http://schemas.wps.cn/vas-ai-hub/contract-review">false</trackRevisions>
    </reviewItem>
    <reviewItem xmlns="http://schemas.wps.cn/vas-ai-hub/contract-review">
      <errorID xmlns="http://schemas.wps.cn/vas-ai-hub/contract-review">f02c3a84-d696-48fa-9a55-a4d5fbc0adeb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4A155386</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55cd6d28-fba4-4b10-b804-21a9ebae5a02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5E2B2B05</paraID>
      <start xmlns="http://schemas.wps.cn/vas-ai-hub/contract-review">58</start>
      <end xmlns="http://schemas.wps.cn/vas-ai-hub/contract-review">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f30de08c-d10c-46a4-a651-d10503b05d01</errorID>
      <errorWord xmlns="http://schemas.wps.cn/vas-ai-hub/contract-review">[2013]189号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〔2013〕189号</item>
      </candidateList>
      <explain xmlns="http://schemas.wps.cn/vas-ai-hub/contract-review">发文字号格式错误。</explain>
      <paraID xmlns="http://schemas.wps.cn/vas-ai-hub/contract-review">5E2B2B05</paraID>
      <start xmlns="http://schemas.wps.cn/vas-ai-hub/contract-review">61</start>
      <end xmlns="http://schemas.wps.cn/vas-ai-hub/contract-review">71</end>
      <status xmlns="http://schemas.wps.cn/vas-ai-hub/contract-review">modified</status>
      <modifiedWord xmlns="http://schemas.wps.cn/vas-ai-hub/contract-review">〔2013〕189号</modifiedWord>
      <trackRevisions xmlns="http://schemas.wps.cn/vas-ai-hub/contract-review">false</trackRevisions>
    </reviewItem>
    <reviewItem xmlns="http://schemas.wps.cn/vas-ai-hub/contract-review">
      <errorID xmlns="http://schemas.wps.cn/vas-ai-hub/contract-review">a1faf6bf-29ca-4d4d-bfc8-fd7b57938739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5E2B2B05</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9f597342-31c5-47fc-8995-ba1774239e59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1771A838</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07c64c8b-62ea-418d-b574-4ab5195db99b</errorID>
      <errorWord xmlns="http://schemas.wps.cn/vas-ai-hub/contract-review">[2013]189号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〔2013〕189号</item>
      </candidateList>
      <explain xmlns="http://schemas.wps.cn/vas-ai-hub/contract-review">发文字号格式错误。</explain>
      <paraID xmlns="http://schemas.wps.cn/vas-ai-hub/contract-review">1771A838</paraID>
      <start xmlns="http://schemas.wps.cn/vas-ai-hub/contract-review">45</start>
      <end xmlns="http://schemas.wps.cn/vas-ai-hub/contract-review">55</end>
      <status xmlns="http://schemas.wps.cn/vas-ai-hub/contract-review">modified</status>
      <modifiedWord xmlns="http://schemas.wps.cn/vas-ai-hub/contract-review">〔2013〕189号</modifiedWord>
      <trackRevisions xmlns="http://schemas.wps.cn/vas-ai-hub/contract-review">false</trackRevisions>
    </reviewItem>
    <reviewItem xmlns="http://schemas.wps.cn/vas-ai-hub/contract-review">
      <errorID xmlns="http://schemas.wps.cn/vas-ai-hub/contract-review">d952d337-6573-42f8-a880-b53bd5471d06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1771A838</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2b1f0817-13d7-46ab-aa2a-03502ec9f445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4BB41CAA</paraID>
      <start xmlns="http://schemas.wps.cn/vas-ai-hub/contract-review">60</start>
      <end xmlns="http://schemas.wps.cn/vas-ai-hub/contract-review">61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bf17aff2-0930-4e3b-970d-f089609d211a</errorID>
      <errorWord xmlns="http://schemas.wps.cn/vas-ai-hub/contract-review">[2007]119号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〔2007〕119号</item>
      </candidateList>
      <explain xmlns="http://schemas.wps.cn/vas-ai-hub/contract-review">发文字号格式错误。</explain>
      <paraID xmlns="http://schemas.wps.cn/vas-ai-hub/contract-review">4BB41CAA</paraID>
      <start xmlns="http://schemas.wps.cn/vas-ai-hub/contract-review">63</start>
      <end xmlns="http://schemas.wps.cn/vas-ai-hub/contract-review">73</end>
      <status xmlns="http://schemas.wps.cn/vas-ai-hub/contract-review">modified</status>
      <modifiedWord xmlns="http://schemas.wps.cn/vas-ai-hub/contract-review">〔2007〕119号</modifiedWord>
      <trackRevisions xmlns="http://schemas.wps.cn/vas-ai-hub/contract-review">false</trackRevisions>
    </reviewItem>
    <reviewItem xmlns="http://schemas.wps.cn/vas-ai-hub/contract-review">
      <errorID xmlns="http://schemas.wps.cn/vas-ai-hub/contract-review">21cc5894-9a20-44c7-888d-00a988f5d1b0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4BB41CAA</paraID>
      <start xmlns="http://schemas.wps.cn/vas-ai-hub/contract-review">73</start>
      <end xmlns="http://schemas.wps.cn/vas-ai-hub/contract-review">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8aa5c921-fdec-4d85-a0a5-27190681b30a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78394352</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7550ce53-3134-48c0-ac10-fdb4810211a0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78394352</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29ca09bc-13e9-43b7-ba6d-2fc3ad5c10aa</errorID>
      <errorWord xmlns="http://schemas.wps.cn/vas-ai-hub/contract-review">l</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1</item>
      </candidateList>
      <explain xmlns="http://schemas.wps.cn/vas-ai-hub/contract-review"/>
      <paraID xmlns="http://schemas.wps.cn/vas-ai-hub/contract-review">541D448C</paraID>
      <start xmlns="http://schemas.wps.cn/vas-ai-hub/contract-review">1</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fa2da330-e61c-4d49-8312-058a88427ac2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28EF989E</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56f255e6-3699-460e-80b2-c05e768b954d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191BC48F</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67139b51-5934-45b0-a86b-933158922c1a</errorID>
      <errorWord xmlns="http://schemas.wps.cn/vas-ai-hub/contract-review">l</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1</item>
      </candidateList>
      <explain xmlns="http://schemas.wps.cn/vas-ai-hub/contract-review"/>
      <paraID xmlns="http://schemas.wps.cn/vas-ai-hub/contract-review">67C57017</paraID>
      <start xmlns="http://schemas.wps.cn/vas-ai-hub/contract-review">1</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05c64820-304a-4285-a723-65d4112b559c</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进行</item>
      </candidateList>
      <explain xmlns="http://schemas.wps.cn/vas-ai-hub/contract-review"/>
      <paraID xmlns="http://schemas.wps.cn/vas-ai-hub/contract-review"> 40D799E</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cded8e0b-f330-4612-a8d2-126e014921ca</errorID>
      <errorWord xmlns="http://schemas.wps.cn/vas-ai-hub/contract-review">勘察现场</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勘查现场</item>
      </candidateList>
      <explain xmlns="http://schemas.wps.cn/vas-ai-hub/contract-review">词汇[勘察现场]为不规范表述或旧称，其规范书面表述为[勘查现场]。</explain>
      <paraID xmlns="http://schemas.wps.cn/vas-ai-hub/contract-review">1ADCCFA8</paraID>
      <start xmlns="http://schemas.wps.cn/vas-ai-hub/contract-review">3</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fc7270cc-f898-4beb-a18e-250caf123dcf</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1CC54398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4505ea90-5c9e-497b-88a8-486ba73b131a</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774DD0AF</paraID>
      <start xmlns="http://schemas.wps.cn/vas-ai-hub/contract-review">15</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90ba5c98-123b-4d0a-a56c-95a93a884663</errorID>
      <errorWord xmlns="http://schemas.wps.cn/vas-ai-hub/contract-review">自己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其自行</item>
      </candidateList>
      <explain xmlns="http://schemas.wps.cn/vas-ai-hub/contract-review"/>
      <paraID xmlns="http://schemas.wps.cn/vas-ai-hub/contract-review">5468BA96</paraID>
      <start xmlns="http://schemas.wps.cn/vas-ai-hub/contract-review">21</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c9dc1585-d294-4e1b-986e-97eca09f8eed</errorID>
      <errorWord xmlns="http://schemas.wps.cn/vas-ai-hub/contract-review">自己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其自行</item>
      </candidateList>
      <explain xmlns="http://schemas.wps.cn/vas-ai-hub/contract-review"/>
      <paraID xmlns="http://schemas.wps.cn/vas-ai-hub/contract-review">5468BA96</paraID>
      <start xmlns="http://schemas.wps.cn/vas-ai-hub/contract-review">46</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9faf4c2e-cf72-4115-a03b-ecdf15dbb47a</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2721F958</paraID>
      <start xmlns="http://schemas.wps.cn/vas-ai-hub/contract-review">35</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55b0ac80-8844-488d-a75a-41f223cc3d5b</errorID>
      <errorWord xmlns="http://schemas.wps.cn/vas-ai-hub/contract-review">(即一般条款)</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（即一般条款）</item>
      </candidateList>
      <explain xmlns="http://schemas.wps.cn/vas-ai-hub/contract-review"/>
      <paraID xmlns="http://schemas.wps.cn/vas-ai-hub/contract-review">18545028</paraID>
      <start xmlns="http://schemas.wps.cn/vas-ai-hub/contract-review">124</start>
      <end xmlns="http://schemas.wps.cn/vas-ai-hub/contract-review">131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ba739f2c-3ef2-47ff-941a-ce4a4ee6bfda</errorID>
      <errorWord xmlns="http://schemas.wps.cn/vas-ai-hub/contract-review">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4FD34209</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b698a3d6-bf77-4a76-885c-fc35af4589f5</errorID>
      <errorWord xmlns="http://schemas.wps.cn/vas-ai-hub/contract-review">）时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4FD34209</paraID>
      <start xmlns="http://schemas.wps.cn/vas-ai-hub/contract-review">64</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f5695efa-818f-4899-a624-e60fc0ec4eb7</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2665FCA8</paraID>
      <start xmlns="http://schemas.wps.cn/vas-ai-hub/contract-review">39</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326fb1b7-e3d2-4f24-aa26-08da2a23da74</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2FC2C13A</paraID>
      <start xmlns="http://schemas.wps.cn/vas-ai-hub/contract-review">20</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2f53705a-d2fd-49c4-99ac-fca066fc48ac</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24F0E505</paraID>
      <start xmlns="http://schemas.wps.cn/vas-ai-hub/contract-review">21</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5e0fceb2-c9c0-4dd8-a1fe-3111e0652b33</errorID>
      <errorWord xmlns="http://schemas.wps.cn/vas-ai-hub/contract-review">日5日前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日前5日</item>
      </candidateList>
      <explain xmlns="http://schemas.wps.cn/vas-ai-hub/contract-review"/>
      <paraID xmlns="http://schemas.wps.cn/vas-ai-hub/contract-review">654D5272</paraID>
      <start xmlns="http://schemas.wps.cn/vas-ai-hub/contract-review">49</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e3db92bc-0e9d-497a-85f3-41f6e78747fa</errorID>
      <errorWord xmlns="http://schemas.wps.cn/vas-ai-hub/contract-review">澄清</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进行的澄清</item>
      </candidateList>
      <explain xmlns="http://schemas.wps.cn/vas-ai-hub/contract-review"/>
      <paraID xmlns="http://schemas.wps.cn/vas-ai-hub/contract-review">32654F1D</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2f298e6f-7be9-40ca-bfb1-e80787d530a6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item>
      </candidateList>
      <explain xmlns="http://schemas.wps.cn/vas-ai-hub/contract-review"/>
      <paraID xmlns="http://schemas.wps.cn/vas-ai-hub/contract-review">32654F1D</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d0ae5bc9-733e-4154-9d1b-a87e17a0e75a</errorID>
      <errorWord xmlns="http://schemas.wps.cn/vas-ai-hub/contract-review">其它语言</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其他语言</item>
      </candidateList>
      <explain xmlns="http://schemas.wps.cn/vas-ai-hub/contract-review">词汇[其它语言]为不规范表述或旧称，其规范书面表述为[其他语言]。</explain>
      <paraID xmlns="http://schemas.wps.cn/vas-ai-hub/contract-review">4368BA76</paraID>
      <start xmlns="http://schemas.wps.cn/vas-ai-hub/contract-review">60</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5f98b214-f512-4830-be27-e39a5c2ef158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39C57C</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bc1550e3-6033-46cc-b49a-30a9e3199706</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62D1EE1D</paraID>
      <start xmlns="http://schemas.wps.cn/vas-ai-hub/contract-review">3</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8cb398ad-54d2-4375-b0aa-a475f3e0edd6</errorID>
      <errorWord xmlns="http://schemas.wps.cn/vas-ai-hub/contract-review">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在</item>
      </candidateList>
      <explain xmlns="http://schemas.wps.cn/vas-ai-hub/contract-review"/>
      <paraID xmlns="http://schemas.wps.cn/vas-ai-hub/contract-review">227A261C</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f4e98413-35e1-40c5-864a-6cd6edfc7dc5</errorID>
      <errorWord xmlns="http://schemas.wps.cn/vas-ai-hub/contract-review">(或者重新提交的响应文件和最后报价)</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（或者重新提交的响应文件和最后报价）</item>
      </candidateList>
      <explain xmlns="http://schemas.wps.cn/vas-ai-hub/contract-review"/>
      <paraID xmlns="http://schemas.wps.cn/vas-ai-hub/contract-review">227A261C</paraID>
      <start xmlns="http://schemas.wps.cn/vas-ai-hub/contract-review">33</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1ca83350-24e0-415a-a195-ebb24c4ffd59</errorID>
      <errorWord xmlns="http://schemas.wps.cn/vas-ai-hub/contract-review">《政府采购法》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《中华人民共和国政府采购法》</item>
      </candidateList>
      <explain xmlns="http://schemas.wps.cn/vas-ai-hub/contract-review"/>
      <paraID xmlns="http://schemas.wps.cn/vas-ai-hub/contract-review">6BAFA7B4</paraID>
      <start xmlns="http://schemas.wps.cn/vas-ai-hub/contract-review">6</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a1ac15b4-0434-4e60-8b1a-c80ec489af70</errorID>
      <errorWord xmlns="http://schemas.wps.cn/vas-ai-hub/contract-review">供应商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供应商</item>
      </candidateList>
      <explain xmlns="http://schemas.wps.cn/vas-ai-hub/contract-review"/>
      <paraID xmlns="http://schemas.wps.cn/vas-ai-hub/contract-review">1FCB4808</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b23453d9-e187-4841-8689-b64531456e5a</errorID>
      <errorWord xmlns="http://schemas.wps.cn/vas-ai-hub/contract-review">磋商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若磋商</item>
      </candidateList>
      <explain xmlns="http://schemas.wps.cn/vas-ai-hub/contract-review"/>
      <paraID xmlns="http://schemas.wps.cn/vas-ai-hub/contract-review">1FCB4808</paraID>
      <start xmlns="http://schemas.wps.cn/vas-ai-hub/contract-review">35</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26135250-3d01-4abd-bfc0-53f7bb153d0f</errorID>
      <errorWord xmlns="http://schemas.wps.cn/vas-ai-hub/contract-review">提供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item>
      </candidateList>
      <explain xmlns="http://schemas.wps.cn/vas-ai-hub/contract-review"/>
      <paraID xmlns="http://schemas.wps.cn/vas-ai-hub/contract-review">1FCB4808</paraID>
      <start xmlns="http://schemas.wps.cn/vas-ai-hub/contract-review">42</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d29624b7-5753-43b4-ba27-2d39021f1e3a</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1FCB4808</paraID>
      <start xmlns="http://schemas.wps.cn/vas-ai-hub/contract-review">53</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b4035d20-3a96-4dbe-8c5e-779b6a759b11</errorID>
      <errorWord xmlns="http://schemas.wps.cn/vas-ai-hub/contract-review">填写报价时</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时，</item>
      </candidateList>
      <explain xmlns="http://schemas.wps.cn/vas-ai-hub/contract-review"/>
      <paraID xmlns="http://schemas.wps.cn/vas-ai-hub/contract-review">31572304</paraID>
      <start xmlns="http://schemas.wps.cn/vas-ai-hub/contract-review">14</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6960fc6a-5ded-4e38-9d9c-9740c9fb4773</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8C9EA2B</paraID>
      <start xmlns="http://schemas.wps.cn/vas-ai-hub/contract-review">10</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fcda118b-9710-4600-be63-5451b16e4ffe</errorID>
      <errorWord xmlns="http://schemas.wps.cn/vas-ai-hub/contract-review">交纳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缴纳</item>
      </candidateList>
      <explain xmlns="http://schemas.wps.cn/vas-ai-hub/contract-review">存在发音相同字词的误用。</explain>
      <paraID xmlns="http://schemas.wps.cn/vas-ai-hub/contract-review"> 8C9EA2B</paraID>
      <start xmlns="http://schemas.wps.cn/vas-ai-hub/contract-review">19</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dd8f21a9-4e4f-4f0b-88ea-94081482e72a</errorID>
      <errorWord xmlns="http://schemas.wps.cn/vas-ai-hub/contract-review">供应商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供应商</item>
      </candidateList>
      <explain xmlns="http://schemas.wps.cn/vas-ai-hub/contract-review"/>
      <paraID xmlns="http://schemas.wps.cn/vas-ai-hub/contract-review">19798AB0</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dad07fc1-2cbd-4bd8-bc28-f20e561d28c1</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19798AB0</paraID>
      <start xmlns="http://schemas.wps.cn/vas-ai-hub/contract-review">30</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fede0d96-db74-45d4-b5f5-5d41e99e1398</errorID>
      <errorWord xmlns="http://schemas.wps.cn/vas-ai-hub/contract-review">报价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报价</item>
      </candidateList>
      <explain xmlns="http://schemas.wps.cn/vas-ai-hub/contract-review"/>
      <paraID xmlns="http://schemas.wps.cn/vas-ai-hub/contract-review">5C5C028B</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e13f645a-a487-4756-8468-72f4d9428730</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5C5C028B</paraID>
      <start xmlns="http://schemas.wps.cn/vas-ai-hub/contract-review">12</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c126c5ad-d024-4971-9660-fcc55f624125</errorID>
      <errorWord xmlns="http://schemas.wps.cn/vas-ai-hub/contract-review">供应商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供应商</item>
      </candidateList>
      <explain xmlns="http://schemas.wps.cn/vas-ai-hub/contract-review"/>
      <paraID xmlns="http://schemas.wps.cn/vas-ai-hub/contract-review">53BEB533</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7cba7646-65a7-4f2e-807e-ead4cecd96c9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53BEB533</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314331a3-98ba-41af-b987-cfa5b2598fee</errorID>
      <errorWord xmlns="http://schemas.wps.cn/vas-ai-hub/contract-review">磋商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 若磋商</item>
      </candidateList>
      <explain xmlns="http://schemas.wps.cn/vas-ai-hub/contract-review"/>
      <paraID xmlns="http://schemas.wps.cn/vas-ai-hub/contract-review">41EC58BC</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5a8bbabd-7ffb-4917-a339-7d6c16d4be26</errorID>
      <errorWord xmlns="http://schemas.wps.cn/vas-ai-hub/contract-review">保证金的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保证金</item>
      </candidateList>
      <explain xmlns="http://schemas.wps.cn/vas-ai-hub/contract-review"/>
      <paraID xmlns="http://schemas.wps.cn/vas-ai-hub/contract-review">41EC58BC</paraID>
      <start xmlns="http://schemas.wps.cn/vas-ai-hub/contract-review">15</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e9da2ca0-373e-43d8-bad0-6161315e8e89</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41EC58BC</paraID>
      <start xmlns="http://schemas.wps.cn/vas-ai-hub/contract-review">25</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f1512f51-e9e0-490b-a0e1-4fbbc7f4322b</errorID>
      <errorWord xmlns="http://schemas.wps.cn/vas-ai-hub/contract-review">供应商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 若供应商</item>
      </candidateList>
      <explain xmlns="http://schemas.wps.cn/vas-ai-hub/contract-review"/>
      <paraID xmlns="http://schemas.wps.cn/vas-ai-hub/contract-review">166F8134</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03605f06-6a4e-4407-afe2-2f165fa95afa</errorID>
      <errorWord xmlns="http://schemas.wps.cn/vas-ai-hub/contract-review">联合体的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联合体</item>
      </candidateList>
      <explain xmlns="http://schemas.wps.cn/vas-ai-hub/contract-review"/>
      <paraID xmlns="http://schemas.wps.cn/vas-ai-hub/contract-review">166F8134</paraID>
      <start xmlns="http://schemas.wps.cn/vas-ai-hub/contract-review">8</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37141744-43e8-4d65-81b0-92f9c45b05c5</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166F8134</paraID>
      <start xmlns="http://schemas.wps.cn/vas-ai-hub/contract-review">23</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99454357-0e3a-44dd-8d15-a5b8cb059ed9</errorID>
      <errorWord xmlns="http://schemas.wps.cn/vas-ai-hub/contract-review">采购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采购</item>
      </candidateList>
      <explain xmlns="http://schemas.wps.cn/vas-ai-hub/contract-review"/>
      <paraID xmlns="http://schemas.wps.cn/vas-ai-hub/contract-review">2B90D245</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33dba640-678c-4c76-82b4-702818ebc899</errorID>
      <errorWord xmlns="http://schemas.wps.cn/vas-ai-hub/contract-review">合同签定后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合同签订后</item>
      </candidateList>
      <explain xmlns="http://schemas.wps.cn/vas-ai-hub/contract-review"/>
      <paraID xmlns="http://schemas.wps.cn/vas-ai-hub/contract-review">2B90D245</paraID>
      <start xmlns="http://schemas.wps.cn/vas-ai-hub/contract-review">43</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c42cda4d-5f3f-4d16-90e3-e38ffe358fa5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79E6DDA9</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af24365a-9ad8-4925-b9f6-443ad9e51fff</errorID>
      <errorWord xmlns="http://schemas.wps.cn/vas-ai-hub/contract-review">响应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响应</item>
      </candidateList>
      <explain xmlns="http://schemas.wps.cn/vas-ai-hub/contract-review"/>
      <paraID xmlns="http://schemas.wps.cn/vas-ai-hub/contract-review">7EB1EE2B</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c2b046e0-98dc-4d88-ad8a-417f982862c0</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7EB1EE2B</paraID>
      <start xmlns="http://schemas.wps.cn/vas-ai-hub/contract-review">12</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dacbb27b-45b5-430d-b2e7-4ecdb53c122c</errorID>
      <errorWord xmlns="http://schemas.wps.cn/vas-ai-hub/contract-review">响应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响应</item>
      </candidateList>
      <explain xmlns="http://schemas.wps.cn/vas-ai-hub/contract-review"/>
      <paraID xmlns="http://schemas.wps.cn/vas-ai-hub/contract-review">56A225BD</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0247416c-459a-4b0d-a39f-4b50ce6b38e2</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56A225BD</paraID>
      <start xmlns="http://schemas.wps.cn/vas-ai-hub/contract-review">30</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882d3866-b1eb-475d-a2a4-3591ac27c613</errorID>
      <errorWord xmlns="http://schemas.wps.cn/vas-ai-hub/contract-review">签章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在签章</item>
      </candidateList>
      <explain xmlns="http://schemas.wps.cn/vas-ai-hub/contract-review"/>
      <paraID xmlns="http://schemas.wps.cn/vas-ai-hub/contract-review"> A54BD02</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4c64501b-671d-495f-ba3f-a2857ee2aae8</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 A54BD02</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041612fe-39df-40f7-b1eb-fabde8a42eac</errorID>
      <errorWord xmlns="http://schemas.wps.cn/vas-ai-hub/contract-review">任何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若出现</item>
      </candidateList>
      <explain xmlns="http://schemas.wps.cn/vas-ai-hub/contract-review"/>
      <paraID xmlns="http://schemas.wps.cn/vas-ai-hub/contract-review"> A54BD02</paraID>
      <start xmlns="http://schemas.wps.cn/vas-ai-hub/contract-review">46</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b8912301-4fbe-4fe2-851c-f8f802a32f15</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等情况，</item>
      </candidateList>
      <explain xmlns="http://schemas.wps.cn/vas-ai-hub/contract-review"/>
      <paraID xmlns="http://schemas.wps.cn/vas-ai-hub/contract-review"> A54BD02</paraID>
      <start xmlns="http://schemas.wps.cn/vas-ai-hub/contract-review">56</start>
      <end xmlns="http://schemas.wps.cn/vas-ai-hub/contract-review">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f276263b-21ca-4e17-b66c-5f94dbeff309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7B50FD56</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84da6fa4-118b-4f98-922d-5e193f919fa9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7B50FD56</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56f7eaa0-4845-4a8f-906c-32e9a8299784</errorID>
      <errorWord xmlns="http://schemas.wps.cn/vas-ai-hub/contract-review">退色</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褪色</item>
      </candidateList>
      <explain xmlns="http://schemas.wps.cn/vas-ai-hub/contract-review">词汇[退色]为不规范表述或旧称，其规范书面表述为[褪色]。</explain>
      <paraID xmlns="http://schemas.wps.cn/vas-ai-hub/contract-review">7B50FD56</paraID>
      <start xmlns="http://schemas.wps.cn/vas-ai-hub/contract-review">66</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3b35493d-1b02-452f-a1ea-ea958cd1b01b</errorID>
      <errorWord xmlns="http://schemas.wps.cn/vas-ai-hub/contract-review">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处加</item>
      </candidateList>
      <explain xmlns="http://schemas.wps.cn/vas-ai-hub/contract-review"/>
      <paraID xmlns="http://schemas.wps.cn/vas-ai-hub/contract-review">780330F3</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255cf879-595f-4534-b9ad-5deac95ba1e6</errorID>
      <errorWord xmlns="http://schemas.wps.cn/vas-ai-hub/contract-review">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间之</item>
      </candidateList>
      <explain xmlns="http://schemas.wps.cn/vas-ai-hub/contract-review"/>
      <paraID xmlns="http://schemas.wps.cn/vas-ai-hub/contract-review">346A06A5</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ee050423-2097-40cd-9e92-b777e6f6c476</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56378843</paraID>
      <start xmlns="http://schemas.wps.cn/vas-ai-hub/contract-review">54</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ee77c052-a34e-4183-950c-8ed97b6f3e7e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3CFFA4CA</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e14e71e6-8613-4295-a70b-9451000996bc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3CFFA4CA</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01d39549-ae4c-4b51-a719-d4dec6257d06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C06C715</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a7f9a526-2f16-4189-9e45-5bf004b5aabe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C06C715</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f134ddb0-513a-45f0-8ba0-3aa8b7e5215d</errorID>
      <errorWord xmlns="http://schemas.wps.cn/vas-ai-hub/contract-review">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属于</item>
      </candidateList>
      <explain xmlns="http://schemas.wps.cn/vas-ai-hub/contract-review"/>
      <paraID xmlns="http://schemas.wps.cn/vas-ai-hub/contract-review">6BF1C4C8</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0dc6e382-1e16-4932-b52a-4526136cf544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52FB3D98</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308dd1d5-2dc6-438a-88a4-e085396b0da9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52FB3D98</paraID>
      <start xmlns="http://schemas.wps.cn/vas-ai-hub/contract-review">124</start>
      <end xmlns="http://schemas.wps.cn/vas-ai-hub/contract-review">125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1720bda6-ce2a-4f15-99ec-baeca8e7f08a</errorID>
      <errorWord xmlns="http://schemas.wps.cn/vas-ai-hub/contract-review">(或者重新提交的响应文件和最后报价)</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（或者重新提交的响应文件和最后报价）</item>
      </candidateList>
      <explain xmlns="http://schemas.wps.cn/vas-ai-hub/contract-review"/>
      <paraID xmlns="http://schemas.wps.cn/vas-ai-hub/contract-review">6A0A3ED8</paraID>
      <start xmlns="http://schemas.wps.cn/vas-ai-hub/contract-review">38</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512e435c-a7fc-4471-b558-fc54ce4adbb4</errorID>
      <errorWord xmlns="http://schemas.wps.cn/vas-ai-hub/contract-review">且又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且</item>
      </candidateList>
      <explain xmlns="http://schemas.wps.cn/vas-ai-hub/contract-review"/>
      <paraID xmlns="http://schemas.wps.cn/vas-ai-hub/contract-review">6A0A3ED8</paraID>
      <start xmlns="http://schemas.wps.cn/vas-ai-hub/contract-review">57</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db4933b3-af12-459a-8d96-04c384cc478f</errorID>
      <errorWord xmlns="http://schemas.wps.cn/vas-ai-hub/contract-review">且</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，且</item>
      </candidateList>
      <explain xmlns="http://schemas.wps.cn/vas-ai-hub/contract-review"/>
      <paraID xmlns="http://schemas.wps.cn/vas-ai-hub/contract-review"> 5360F4D</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6bc081cd-4c5e-474c-9a01-df3bdec8c64c</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 5360F4D</paraID>
      <start xmlns="http://schemas.wps.cn/vas-ai-hub/contract-review">78</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bd50b499-688d-4d36-a6b3-61517f185da2</errorID>
      <errorWord xmlns="http://schemas.wps.cn/vas-ai-hub/contract-review">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章第</item>
      </candidateList>
      <explain xmlns="http://schemas.wps.cn/vas-ai-hub/contract-review"/>
      <paraID xmlns="http://schemas.wps.cn/vas-ai-hub/contract-review">2EB1426C</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7bfae0ec-5d88-4e26-9dba-b3f0d14a218a</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69A6D274</paraID>
      <start xmlns="http://schemas.wps.cn/vas-ai-hub/contract-review">16</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1d7aa6fe-9002-4299-84ac-60ec1620a03a</errorID>
      <errorWord xmlns="http://schemas.wps.cn/vas-ai-hub/contract-review">33．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5A9E6044</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a648aab4-ccc4-4b9b-8018-41aeb46b503d</errorID>
      <errorWord xmlns="http://schemas.wps.cn/vas-ai-hub/contract-review">本及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本级</item>
      </candidateList>
      <explain xmlns="http://schemas.wps.cn/vas-ai-hub/contract-review"/>
      <paraID xmlns="http://schemas.wps.cn/vas-ai-hub/contract-review">459E9388</paraID>
      <start xmlns="http://schemas.wps.cn/vas-ai-hub/contract-review">57</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0c5cb013-1265-4909-8ecf-96fac1900533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26F2F9F</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5d0252a1-81e0-4faf-9e30-2417b7ed1331</errorID>
      <errorWord xmlns="http://schemas.wps.cn/vas-ai-hub/contract-review">【磋商须知前附表】</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《磋商须知前附表》</item>
      </candidateList>
      <explain xmlns="http://schemas.wps.cn/vas-ai-hub/contract-review"/>
      <paraID xmlns="http://schemas.wps.cn/vas-ai-hub/contract-review">561A4E9F</paraID>
      <start xmlns="http://schemas.wps.cn/vas-ai-hub/contract-review">27</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f7478eab-cdc2-44dc-a98e-433a2dcd8820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62E39102</paraID>
      <start xmlns="http://schemas.wps.cn/vas-ai-hub/contract-review">55</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95cf180e-197f-466d-9e32-9ce2a5e42430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62E39102</paraID>
      <start xmlns="http://schemas.wps.cn/vas-ai-hub/contract-review">73</start>
      <end xmlns="http://schemas.wps.cn/vas-ai-hub/contract-review">74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80b11def-a1a9-4c2f-8c78-0861dd473e3e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62E39102</paraID>
      <start xmlns="http://schemas.wps.cn/vas-ai-hub/contract-review">78</start>
      <end xmlns="http://schemas.wps.cn/vas-ai-hub/contract-review">79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8f720919-2d67-4b18-9e09-d68a48af28cf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62E39102</paraID>
      <start xmlns="http://schemas.wps.cn/vas-ai-hub/contract-review">91</start>
      <end xmlns="http://schemas.wps.cn/vas-ai-hub/contract-review">92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1eae06fb-84be-4597-8d46-5550f9b6aee6</errorID>
      <errorWord xmlns="http://schemas.wps.cn/vas-ai-hub/contract-review"/>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EF867C7</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9f78cbf5-ecdb-47fa-a8ea-54a0e65a7b34</errorID>
      <errorWord xmlns="http://schemas.wps.cn/vas-ai-hub/contract-review">中并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item>
      </candidateList>
      <explain xmlns="http://schemas.wps.cn/vas-ai-hub/contract-review"/>
      <paraID xmlns="http://schemas.wps.cn/vas-ai-hub/contract-review">6D37FA65</paraID>
      <start xmlns="http://schemas.wps.cn/vas-ai-hub/contract-review">59</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5ecde627-b661-44ba-882f-5277fd0c7b5e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1700EC46</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f604ea75-8c36-4001-a625-d7087509cb42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1700EC46</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614d23b2-67f8-441f-8605-7ccb48c26819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1700EC46</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e567bd3b-aae5-49be-a39b-c51bc9e4df66</errorID>
      <errorWord xmlns="http://schemas.wps.cn/vas-ai-hub/contract-review">[2011]181号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〔2011〕181号</item>
      </candidateList>
      <explain xmlns="http://schemas.wps.cn/vas-ai-hub/contract-review">发文字号格式错误。</explain>
      <paraID xmlns="http://schemas.wps.cn/vas-ai-hub/contract-review">1700EC46</paraID>
      <start xmlns="http://schemas.wps.cn/vas-ai-hub/contract-review">39</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7f85bede-0cd7-41d6-ac27-7119223384fb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1700EC46</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9b24ea6a-7133-499e-8e71-1941fb441582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3CCA454D</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de3d8d4d-e39a-459c-a07f-07ea07f42ffe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3CCA454D</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cb53e3ab-78dc-4905-bcf0-c69bd53f24d5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22F931D3</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065df87c-1536-4685-898f-1b6e2a4c6060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22F931D3</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f7671d9a-5860-4bfc-8523-49e831034dde</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23936332</paraID>
      <start xmlns="http://schemas.wps.cn/vas-ai-hub/contract-review">18</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14fc50a1-5359-4ef5-b9b1-5561c16b22cd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3251B926</paraID>
      <start xmlns="http://schemas.wps.cn/vas-ai-hub/contract-review">103</start>
      <end xmlns="http://schemas.wps.cn/vas-ai-hub/contract-review">104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b789d780-f85e-4bec-ae5f-7d8727fff1a0</errorID>
      <errorWord xmlns="http://schemas.wps.cn/vas-ai-hub/contract-review">勘查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勘察</item>
      </candidateList>
      <explain xmlns="http://schemas.wps.cn/vas-ai-hub/contract-review">存在发音相同字词的误用。</explain>
      <paraID xmlns="http://schemas.wps.cn/vas-ai-hub/contract-review">64E9394D</paraID>
      <start xmlns="http://schemas.wps.cn/vas-ai-hub/contract-review">12</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74a7dd98-d872-4099-9168-982b86c94252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53ACF797</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7f7a71d3-7642-4246-a2b2-9fe45aae6641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53ACF797</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24bbfed6-6cf9-4b4d-8787-534765dee55a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53ACF797</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28ffd261-c3a3-4afd-9c6f-017ead578b70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53ACF797</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c1c9bb5c-f546-4d5b-93da-0b3e027e2b5e</errorID>
      <errorWord xmlns="http://schemas.wps.cn/vas-ai-hub/contract-review">报告编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报告</item>
      </candidateList>
      <explain xmlns="http://schemas.wps.cn/vas-ai-hub/contract-review">❶〈动〉把事情或意见正式告诉上级或群众：你应当把事情的经过向领导～｜大会主席～了开会宗旨。❷〈名〉用口头或书面的形式向上级或群众所做的正式陈述：总结～｜动员～。</explain>
      <paraID xmlns="http://schemas.wps.cn/vas-ai-hub/contract-review">53ACF797</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b1f050ab-b95b-430a-bedf-006768cf2868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53ACF797</paraID>
      <start xmlns="http://schemas.wps.cn/vas-ai-hub/contract-review">87</start>
      <end xmlns="http://schemas.wps.cn/vas-ai-hub/contract-review">88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49075bb5-302a-4db7-92a2-b96f7155ad10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53ACF797</paraID>
      <start xmlns="http://schemas.wps.cn/vas-ai-hub/contract-review">89</start>
      <end xmlns="http://schemas.wps.cn/vas-ai-hub/contract-review">90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bf58feb6-abb1-46d5-a733-89b756461e15</errorID>
      <errorWord xmlns="http://schemas.wps.cn/vas-ai-hub/contract-review">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4F516625</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e1c2db20-370e-4f29-bd69-52da7459b386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7C134626</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1a3989f8-b41c-4468-91eb-c6c76e297fa4</errorID>
      <errorWord xmlns="http://schemas.wps.cn/vas-ai-hub/contract-review">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位公</item>
      </candidateList>
      <explain xmlns="http://schemas.wps.cn/vas-ai-hub/contract-review"/>
      <paraID xmlns="http://schemas.wps.cn/vas-ai-hub/contract-review">1EA11BCE</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2385ae16-b116-4068-aa0c-0884cd4962e5</errorID>
      <errorWord xmlns="http://schemas.wps.cn/vas-ai-hub/contract-review">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编制</item>
      </candidateList>
      <explain xmlns="http://schemas.wps.cn/vas-ai-hub/contract-review"/>
      <paraID xmlns="http://schemas.wps.cn/vas-ai-hub/contract-review"> 3ADF702</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7fa3b472-9e7c-4988-b49a-3e57003e1fb8</errorID>
      <errorWord xmlns="http://schemas.wps.cn/vas-ai-hub/contract-review">通过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达到</item>
      </candidateList>
      <explain xmlns="http://schemas.wps.cn/vas-ai-hub/contract-review"/>
      <paraID xmlns="http://schemas.wps.cn/vas-ai-hub/contract-review"> 3ADF702</paraID>
      <start xmlns="http://schemas.wps.cn/vas-ai-hub/contract-review">35</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ae437839-a6b8-40f5-959e-656fe1b6821b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22832098</paraID>
      <start xmlns="http://schemas.wps.cn/vas-ai-hub/contract-review">60</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cedf56e3-7bf3-4d64-acf4-e09868c93425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 691B7DE</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49c26f78-7620-4830-a4a3-0b5a8dd83eab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 691B7DE</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060a5c4b-8163-4a5b-9d46-c8d5139db3cb</errorID>
      <errorWord xmlns="http://schemas.wps.cn/vas-ai-hub/contract-review">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位公</item>
      </candidateList>
      <explain xmlns="http://schemas.wps.cn/vas-ai-hub/contract-review"/>
      <paraID xmlns="http://schemas.wps.cn/vas-ai-hub/contract-review"> 691B7DE</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29faabe7-6ab3-49b4-bf3b-6cc56687c5a0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3ADA17B1</paraID>
      <start xmlns="http://schemas.wps.cn/vas-ai-hub/contract-review">157</start>
      <end xmlns="http://schemas.wps.cn/vas-ai-hub/contract-review">159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db495931-92c8-43a6-968b-d7896b07a690</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6F237AA3</paraID>
      <start xmlns="http://schemas.wps.cn/vas-ai-hub/contract-review">32</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c930b7e0-3248-4d53-9f73-7ae8339f6ab9</errorID>
      <errorWord xmlns="http://schemas.wps.cn/vas-ai-hub/contract-review">均</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，均</item>
      </candidateList>
      <explain xmlns="http://schemas.wps.cn/vas-ai-hub/contract-review"/>
      <paraID xmlns="http://schemas.wps.cn/vas-ai-hub/contract-review"> DA2FD50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c54c6eee-10c0-4013-b25a-420a228467f1</errorID>
      <errorWord xmlns="http://schemas.wps.cn/vas-ai-hub/contract-review">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若</item>
      </candidateList>
      <explain xmlns="http://schemas.wps.cn/vas-ai-hub/contract-review"/>
      <paraID xmlns="http://schemas.wps.cn/vas-ai-hub/contract-review">4C6F1A07</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a652d16d-2771-45c9-ac81-8ff333ed9436</errorID>
      <errorWord xmlns="http://schemas.wps.cn/vas-ai-hub/contract-review">涉及有关</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
      <paraID xmlns="http://schemas.wps.cn/vas-ai-hub/contract-review">4C6F1A07</paraID>
      <start xmlns="http://schemas.wps.cn/vas-ai-hub/contract-review">8</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a11e51cc-8592-4d97-b730-764ae57ae2c9</errorID>
      <errorWord xmlns="http://schemas.wps.cn/vas-ai-hub/contract-review">出台的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出台</item>
      </candidateList>
      <explain xmlns="http://schemas.wps.cn/vas-ai-hub/contract-review"/>
      <paraID xmlns="http://schemas.wps.cn/vas-ai-hub/contract-review">4C6F1A07</paraID>
      <start xmlns="http://schemas.wps.cn/vas-ai-hub/contract-review">28</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907ef852-eefa-45c7-aa97-57c9f0778994</errorID>
      <errorWord xmlns="http://schemas.wps.cn/vas-ai-hub/contract-review">乙方</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，乙方</item>
      </candidateList>
      <explain xmlns="http://schemas.wps.cn/vas-ai-hub/contract-review"/>
      <paraID xmlns="http://schemas.wps.cn/vas-ai-hub/contract-review">732044ED</paraID>
      <start xmlns="http://schemas.wps.cn/vas-ai-hub/contract-review">14</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aaeb05e1-5e26-4574-8474-11c3741a091c</errorID>
      <errorWord xmlns="http://schemas.wps.cn/vas-ai-hub/contract-review"/>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此处空格冗余，建议删除。</explain>
      <paraID xmlns="http://schemas.wps.cn/vas-ai-hub/contract-review">127881D8</paraID>
      <start xmlns="http://schemas.wps.cn/vas-ai-hub/contract-review">4</start>
      <end xmlns="http://schemas.wps.cn/vas-ai-hub/contract-review">4</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731ba4ee-5f0e-4c0a-99ec-04ff30ba8a16</errorID>
      <errorWord xmlns="http://schemas.wps.cn/vas-ai-hub/contract-review">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下简</item>
      </candidateList>
      <explain xmlns="http://schemas.wps.cn/vas-ai-hub/contract-review"/>
      <paraID xmlns="http://schemas.wps.cn/vas-ai-hub/contract-review">7DE513FF</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3015c559-e944-41cd-865f-1d2c5e778554</errorID>
      <errorWord xmlns="http://schemas.wps.cn/vas-ai-hub/contract-review">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下简</item>
      </candidateList>
      <explain xmlns="http://schemas.wps.cn/vas-ai-hub/contract-review"/>
      <paraID xmlns="http://schemas.wps.cn/vas-ai-hub/contract-review"> 1147D00</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edea22a0-e795-4ac4-8dcd-f9462022de35</errorID>
      <errorWord xmlns="http://schemas.wps.cn/vas-ai-hub/contract-review">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〈代〉指示代词。别的：今天的文娱晚会，除了京剧、曲艺以外，还有～精彩节目。</explain>
      <paraID xmlns="http://schemas.wps.cn/vas-ai-hub/contract-review">35431B6E</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572ff17e-57c4-4567-b63f-7b864738c6b9</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382359F2</paraID>
      <start xmlns="http://schemas.wps.cn/vas-ai-hub/contract-review">28</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f95aa411-a3cd-4c4a-a656-4b80242a1f7a</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22AEF99</paraID>
      <start xmlns="http://schemas.wps.cn/vas-ai-hub/contract-review">54</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8ff9bfd8-3df5-4ada-a6ce-0dc68daf3fd0</errorID>
      <errorWord xmlns="http://schemas.wps.cn/vas-ai-hub/contract-review">服务的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服务</item>
      </candidateList>
      <explain xmlns="http://schemas.wps.cn/vas-ai-hub/contract-review">〈动〉为集体（或别人的）利益或为某种事业而工作：～行业｜为人民～｜科学为生产～｜他在邮局～了三十年。</explain>
      <paraID xmlns="http://schemas.wps.cn/vas-ai-hub/contract-review">1BD3844A</paraID>
      <start xmlns="http://schemas.wps.cn/vas-ai-hub/contract-review">8</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8015aec4-17e9-447f-baa7-10b0d9926a14</errorID>
      <errorWord xmlns="http://schemas.wps.cn/vas-ai-hub/contract-review">工作内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工作日内</item>
      </candidateList>
      <explain xmlns="http://schemas.wps.cn/vas-ai-hub/contract-review"/>
      <paraID xmlns="http://schemas.wps.cn/vas-ai-hub/contract-review">4465531A</paraID>
      <start xmlns="http://schemas.wps.cn/vas-ai-hub/contract-review">40</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6cba75dd-b84c-4cc6-bad4-acffd84a0151</errorID>
      <errorWord xmlns="http://schemas.wps.cn/vas-ai-hub/contract-review">按《中华人民共和国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按照《中华人民共和国</item>
      </candidateList>
      <explain xmlns="http://schemas.wps.cn/vas-ai-hub/contract-review"/>
      <paraID xmlns="http://schemas.wps.cn/vas-ai-hub/contract-review">742BB62B</paraID>
      <start xmlns="http://schemas.wps.cn/vas-ai-hub/contract-review">34</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07d4ae6d-dc75-4063-96a9-bf6c818e09ee</errorID>
      <errorWord xmlns="http://schemas.wps.cn/vas-ai-hub/contract-review">其它部分</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其他部分</item>
      </candidateList>
      <explain xmlns="http://schemas.wps.cn/vas-ai-hub/contract-review">词汇[其它部分]为不规范表述或旧称，其规范书面表述为[其他部分]。</explain>
      <paraID xmlns="http://schemas.wps.cn/vas-ai-hub/contract-review">2135F663</paraID>
      <start xmlns="http://schemas.wps.cn/vas-ai-hub/contract-review">18</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736130b0-ed62-4058-896e-10005d83364e</errorID>
      <errorWord xmlns="http://schemas.wps.cn/vas-ai-hub/contract-review">的其它部分</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的其他部分</item>
      </candidateList>
      <explain xmlns="http://schemas.wps.cn/vas-ai-hub/contract-review">词汇[的其它部分]为不规范表述或旧称，其规范书面表述为[的其他部分]。</explain>
      <paraID xmlns="http://schemas.wps.cn/vas-ai-hub/contract-review">2135F663</paraID>
      <start xmlns="http://schemas.wps.cn/vas-ai-hub/contract-review">53</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cbb89e59-7f78-4e62-a076-04ba6ce6272e</errorID>
      <errorWord xmlns="http://schemas.wps.cn/vas-ai-hub/contract-review">送到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送达</item>
      </candidateList>
      <explain xmlns="http://schemas.wps.cn/vas-ai-hub/contract-review">存在发音相近字词的误用。</explain>
      <paraID xmlns="http://schemas.wps.cn/vas-ai-hub/contract-review">48356590</paraID>
      <start xmlns="http://schemas.wps.cn/vas-ai-hub/contract-review">7</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8afc73fb-74e4-4605-8542-29a4263cbe97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65FF47E9</paraID>
      <start xmlns="http://schemas.wps.cn/vas-ai-hub/contract-review">14</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58cd6fa6-921e-4147-8b07-c09038893da3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3EA6A54E</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dbf56794-e69a-4c88-8551-091b3cdac498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3EA6A54E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00ceb5ce-d94a-4d7d-bcd6-4692caef9f67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5AA1D1FE</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a6966848-1a23-41e7-b92c-9c34f8b68b4d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5AA1D1FE</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8ba56201-bbc8-48ba-8d87-8ab4c227988b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35EF790B</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880fdd32-bfaf-4d06-b935-17f23fda6201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35EF790B</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7f20b991-4241-4ac5-96cc-b82e44379395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2B78D940</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6364f4ea-921b-40cf-a71c-98b85b3d8b4e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2B78D940</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4eabb67f-163d-4ec5-b484-835611b45693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7F5C083</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10f99403-e582-46af-87c6-75279ce21a24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7F5C083</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ff92cc20-f628-452f-a740-4bedbf31362c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49BA910C</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420310dc-9fa7-4ce0-97d6-734860cbbefa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6BDA3DE3</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2e8dcd94-1a27-4cb4-b713-867ec068b29f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12D8F271</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10222888-166e-4133-928c-1eba3f442cd0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12D8F271</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64d15b06-6e6c-480b-a172-b1c5bc621d7c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720C1A25</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cbc9f760-8b2b-4475-a182-9633c58271a4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720C1A25</paraID>
      <start xmlns="http://schemas.wps.cn/vas-ai-hub/contract-review">88</start>
      <end xmlns="http://schemas.wps.cn/vas-ai-hub/contract-review">89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147f7e61-2829-4442-9c08-7e5236007f52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930010D</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78a638d0-2dfb-499b-b78d-99e71cabba40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930010D</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48ff0d35-7fcd-4f1a-abe9-6e8226136b95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4E625D51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981a4f13-8fcb-43fd-be7d-64cc9976aa91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4E625D51</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d2916056-b057-4163-8fd7-2d47843c3b75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50CC9A7B</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01645c74-4055-422c-9fde-f069dcc4691b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50CC9A7B</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ffa5ab77-c837-4106-bfcd-99d2b497004f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5522D07D</paraID>
      <start xmlns="http://schemas.wps.cn/vas-ai-hub/contract-review">115</start>
      <end xmlns="http://schemas.wps.cn/vas-ai-hub/contract-review">116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ebc8fdae-cabb-43ca-826c-e7801067d914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3787B63B</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44d9adae-ae27-4268-83db-6400ea43510b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3787B63B</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a7c981a4-0922-4c8a-bedb-cb658d331b22</errorID>
      <errorWord xmlns="http://schemas.wps.cn/vas-ai-hub/contract-review">《政府采购法》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《中华人民共和国政府采购法》</item>
      </candidateList>
      <explain xmlns="http://schemas.wps.cn/vas-ai-hub/contract-review"/>
      <paraID xmlns="http://schemas.wps.cn/vas-ai-hub/contract-review"> 8CEF9D0</paraID>
      <start xmlns="http://schemas.wps.cn/vas-ai-hub/contract-review">8</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7aff60f6-fe1f-4606-b25b-1c629c077098</errorID>
      <errorWord xmlns="http://schemas.wps.cn/vas-ai-hub/contract-review">《政府采购法》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《中华人民共和国政府采购法》</item>
      </candidateList>
      <explain xmlns="http://schemas.wps.cn/vas-ai-hub/contract-review"/>
      <paraID xmlns="http://schemas.wps.cn/vas-ai-hub/contract-review">48FDB660</paraID>
      <start xmlns="http://schemas.wps.cn/vas-ai-hub/contract-review">21</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ecc915af-a5a2-4d2d-8a6f-aad7c89b32a1</errorID>
      <errorWord xmlns="http://schemas.wps.cn/vas-ai-hub/contract-review">政府采购法实施条例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中华人民共和国政府采购法实施条例</item>
      </candidateList>
      <explain xmlns="http://schemas.wps.cn/vas-ai-hub/contract-review">当前法律法规名称使用简称，请注意是否应当使用全称。</explain>
      <paraID xmlns="http://schemas.wps.cn/vas-ai-hub/contract-review">48FDB660</paraID>
      <start xmlns="http://schemas.wps.cn/vas-ai-hub/contract-review">35</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ca090996-ffa4-4bdd-be3e-20fca5029f8e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29D470EE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ad0b5982-b764-4cec-859c-d3b9fe745b81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29D470EE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af4efd88-4c39-498d-ba64-624bc991c179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3AD231C0</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de0a2a8d-114a-415d-922a-312c570c4df3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3AD231C0</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dcf95dee-0f6f-4a52-afea-5e9030b77312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25874AEA</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2c23abc4-b470-42c2-aecf-fd797bab7863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25874AEA</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632b53f2-f5a5-4248-bd22-c8465c865869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726E1461</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c826e21b-9b8d-45ad-a89d-98b3419f6a2e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726E1461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b9e7ab8d-2f12-4162-b0ab-a15c54bfa1ca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107</start>
      <end xmlns="http://schemas.wps.cn/vas-ai-hub/contract-review">108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5edeedae-e926-4c97-8682-6152b6a05f63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109</start>
      <end xmlns="http://schemas.wps.cn/vas-ai-hub/contract-review">110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fa6e440e-42fa-4154-b4b6-2cc11e75546e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173</start>
      <end xmlns="http://schemas.wps.cn/vas-ai-hub/contract-review">174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19657edd-efb0-4a07-8a23-6252e5d07ebb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175</start>
      <end xmlns="http://schemas.wps.cn/vas-ai-hub/contract-review">176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eb34d0b4-cb01-4585-812a-1e47e1f96f6e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193</start>
      <end xmlns="http://schemas.wps.cn/vas-ai-hub/contract-review">194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f99ec895-258c-4ab0-aab6-54fae3108a97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195</start>
      <end xmlns="http://schemas.wps.cn/vas-ai-hub/contract-review">196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c207f9da-2139-47ea-9983-5729fa3c8fdd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206</start>
      <end xmlns="http://schemas.wps.cn/vas-ai-hub/contract-review">207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d6f48d25-a16f-4548-8d88-1677709c751a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9F1BABF</paraID>
      <start xmlns="http://schemas.wps.cn/vas-ai-hub/contract-review">208</start>
      <end xmlns="http://schemas.wps.cn/vas-ai-hub/contract-review">209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96c579ce-862f-4de3-a6f5-7352a5c3a380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786EB99C</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ac689122-7bae-47a0-a38e-f9449a96d43c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786EB99C</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43ed631d-c566-4e12-b29f-5fff6b0033a7</errorID>
      <errorWord xmlns="http://schemas.wps.cn/vas-ai-hub/contract-review">及帐号</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及账号</item>
      </candidateList>
      <explain xmlns="http://schemas.wps.cn/vas-ai-hub/contract-review">词汇[及帐号]为不规范表述或旧称，其规范书面表述为[及账号]。</explain>
      <paraID xmlns="http://schemas.wps.cn/vas-ai-hub/contract-review">6F148641</paraID>
      <start xmlns="http://schemas.wps.cn/vas-ai-hub/contract-review">7</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f83f499a-7c04-44fc-95d0-5c500ecb5b7c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34640A4</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787fab4f-2251-46ec-9ad0-00435fc6fd47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34640A4</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0e390710-bfde-461c-9f0c-71b008351bbd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5F29BB50</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792e4bb9-57da-4f68-bf5d-68163ecb67a6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5F29BB50</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b50fb24e-9359-4a9a-9a21-9ce3ab7e129a</errorID>
      <errorWord xmlns="http://schemas.wps.cn/vas-ai-hub/contract-review">《政府采购法》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《中华人民共和国政府采购法》</item>
      </candidateList>
      <explain xmlns="http://schemas.wps.cn/vas-ai-hub/contract-review"/>
      <paraID xmlns="http://schemas.wps.cn/vas-ai-hub/contract-review">5145F249</paraID>
      <start xmlns="http://schemas.wps.cn/vas-ai-hub/contract-review">5</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82b97a26-1c7c-47b4-bbd6-66cdb592441c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4CE9A088</paraID>
      <start xmlns="http://schemas.wps.cn/vas-ai-hub/contract-review">63</start>
      <end xmlns="http://schemas.wps.cn/vas-ai-hub/contract-review">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7510cb63-c752-462f-8215-ff0ccc30c4f6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4CE9A088</paraID>
      <start xmlns="http://schemas.wps.cn/vas-ai-hub/contract-review">75</start>
      <end xmlns="http://schemas.wps.cn/vas-ai-hub/contract-review">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8821e4a1-147f-41af-82d5-57222dd77710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115EB0B0</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e18e0a88-a859-4ebd-bc24-9e2c5657d55d</errorID>
      <errorWord xmlns="http://schemas.wps.cn/vas-ai-hub/contract-review">[2020]46号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〔2020〕46号</item>
      </candidateList>
      <explain xmlns="http://schemas.wps.cn/vas-ai-hub/contract-review">发文字号格式错误。</explain>
      <paraID xmlns="http://schemas.wps.cn/vas-ai-hub/contract-review">115EB0B0</paraID>
      <start xmlns="http://schemas.wps.cn/vas-ai-hub/contract-review">23</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057daca4-252f-4ffe-88a5-1d8d6fa6d440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115EB0B0</paraID>
      <start xmlns="http://schemas.wps.cn/vas-ai-hub/contract-review">32</start>
      <end xmlns="http://schemas.wps.cn/vas-ai-hub/contract-review">34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fdd13176-0c48-4a84-b163-ded1c69f352d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115EB0B0</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8a64e5aa-aac0-4216-bc33-880d7a8af4ae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6EFA94C9</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b5184ce6-5017-4689-8eda-4d3b050bc6ec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6EFA94C9</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f9fb55b7-0b3d-4de9-8bc1-55a84dc2d3a4</errorID>
      <errorWord xmlns="http://schemas.wps.cn/vas-ai-hub/contract-review">[2019] 27号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〔2019〕27号</item>
      </candidateList>
      <explain xmlns="http://schemas.wps.cn/vas-ai-hub/contract-review">发文字号格式错误。</explain>
      <paraID xmlns="http://schemas.wps.cn/vas-ai-hub/contract-review">6EFA94C9</paraID>
      <start xmlns="http://schemas.wps.cn/vas-ai-hub/contract-review">43</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86c7c93d-bff6-4edf-9505-1a192ac0b1d6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6EFA94C9</paraID>
      <start xmlns="http://schemas.wps.cn/vas-ai-hub/contract-review">53</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c5084c67-7a00-428b-afaa-043e3e2a8110</errorID>
      <errorWord xmlns="http://schemas.wps.cn/vas-ai-hub/contract-review">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证金</item>
      </candidateList>
      <explain xmlns="http://schemas.wps.cn/vas-ai-hub/contract-review"/>
      <paraID xmlns="http://schemas.wps.cn/vas-ai-hub/contract-review">6EFA94C9</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5344d6cd-5577-4d15-b3f8-2ebbb2e7d42e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6EFA94C9</paraID>
      <start xmlns="http://schemas.wps.cn/vas-ai-hub/contract-review">76</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0a6d9919-059f-4b53-be8b-126edc3734c6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6EFA94C9</paraID>
      <start xmlns="http://schemas.wps.cn/vas-ai-hub/contract-review">92</start>
      <end xmlns="http://schemas.wps.cn/vas-ai-hub/contract-review">93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4774754d-2355-4489-820e-4e578f6a27e7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46DDC095</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a287b57d-5ec2-4b62-8722-ecc616ee1774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46DDC095</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a75478bb-8967-42a3-b077-fafd838da570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46DDC095</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7d2d430f-b4a8-4690-a5dd-a20ff287f1f2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46DDC095</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6c8735da-e175-4dfc-991c-fd00176351c5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23E8FC64</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c4f39797-accb-4b48-a69e-d86bc34ada5f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23E8FC64</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29bccfe7-6ecb-4c10-955c-359c64679887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23E8FC64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416875d0-f791-48db-9ac5-35f44e2a1922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23E8FC64</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74db4a3f-6ac7-4b8e-81b3-539c2f8b0063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857ABEE</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8d3a81a7-ac39-4237-bf1a-0673dad150ac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6C6E42CC</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a77bbbc9-ab56-49f5-82e4-d095255b3152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6C6E42CC</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7ab41e2a-7f2b-449d-acbd-3f9c460ded37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17621F94</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6aec94cb-237c-45e8-8abc-f1ed89b8e361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3E938661</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fbcc27e7-75d9-442f-b543-747174d3d38a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3E938661</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8e784ade-cf80-4439-8de9-c813fdd7f860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当引号中还需要使用引号时，外面一层用双引号，里面一层用单引号。</explain>
      <paraID xmlns="http://schemas.wps.cn/vas-ai-hub/contract-review">450111C0</paraID>
      <start xmlns="http://schemas.wps.cn/vas-ai-hub/contract-review">162</start>
      <end xmlns="http://schemas.wps.cn/vas-ai-hub/contract-review">163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7a5e91e9-712e-421c-b9aa-0c1bdc48293d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当引号中还需要使用引号时，外面一层用双引号，里面一层用单引号。</explain>
      <paraID xmlns="http://schemas.wps.cn/vas-ai-hub/contract-review">450111C0</paraID>
      <start xmlns="http://schemas.wps.cn/vas-ai-hub/contract-review">169</start>
      <end xmlns="http://schemas.wps.cn/vas-ai-hub/contract-review">170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5797e3d5-e85b-4572-9767-1fdc9755160d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4C516F7F</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3ff5e8ff-6d48-478e-ba04-934e637ea351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4C516F7F</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b48cdc2e-0cf6-42ec-9781-c6caaed69659</errorID>
      <errorWord xmlns="http://schemas.wps.cn/vas-ai-hub/contract-review">赠与</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赠予</item>
      </candidateList>
      <explain xmlns="http://schemas.wps.cn/vas-ai-hub/contract-review">词汇[赠与]为不规范表述或旧称，其规范书面表述为[赠予]。</explain>
      <paraID xmlns="http://schemas.wps.cn/vas-ai-hub/contract-review"> E2FCF0F</paraID>
      <start xmlns="http://schemas.wps.cn/vas-ai-hub/contract-review">13</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3925266b-8eaf-475f-a55b-a17cbad36faa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5A2A8319</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adb1a999-775d-481b-9d3e-d1d246b9669c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5A2A8319</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27c1de77-4dce-4b7e-bebb-a4b51f4d3a03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17469C6A</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7f156282-1377-4502-93de-50de598c67d5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17469C6A</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cc3bfa7f-65e7-4a06-b029-bd548546a94c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593CF631</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976eb30b-8df3-4b2b-b361-03547233991b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73B597FE</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5e8830da-0392-41ca-a985-24697db0082b</errorID>
      <errorWord xmlns="http://schemas.wps.cn/vas-ai-hub/contract-review">予以考虑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予考虑</item>
      </candidateList>
      <explain xmlns="http://schemas.wps.cn/vas-ai-hub/contract-review"/>
      <paraID xmlns="http://schemas.wps.cn/vas-ai-hub/contract-review">2FFB41D4</paraID>
      <start xmlns="http://schemas.wps.cn/vas-ai-hub/contract-review">44</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85b42820-57e2-4591-8450-fe12675bebcf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3B783438</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590c14b1-95aa-4f2f-8bc2-9bab618eacdb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3B783438</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3ef3471b-cefb-4760-84ef-68586a0352c3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20B50FE7</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ce90bc84-4819-4f7c-9572-aac0b5c9caec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20B50FE7</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73f0abc0-04a8-4a38-b1fa-45bb0b4b261f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9129379a-5247-446b-b86a-b3694ed0b21b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e8cb83b9-aab2-4ad2-80c6-73b019326ec5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fd6eebe2-ebfc-4555-bb9e-10d02b2e3a12</errorID>
      <errorWord xmlns="http://schemas.wps.cn/vas-ai-hub/contract-review">[2020]46号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〔2020〕46号</item>
      </candidateList>
      <explain xmlns="http://schemas.wps.cn/vas-ai-hub/contract-review">发文字号格式错误。</explain>
      <paraID xmlns="http://schemas.wps.cn/vas-ai-hub/contract-review">56108D66</paraID>
      <start xmlns="http://schemas.wps.cn/vas-ai-hub/contract-review">36</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e4bd2ff9-6432-4706-85d7-49e100011bbb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7128c913-46db-4ae6-bd60-e549ae91fd86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a12c1995-9d89-4e8e-af6e-50699994cf1a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335c2f18-ca39-44d2-a238-21eea55d7cde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66</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6d3d08ee-cd91-4beb-ba13-53b185ebc404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a1850c67-09c8-4359-a35b-1f72ac84ef02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79</start>
      <end xmlns="http://schemas.wps.cn/vas-ai-hub/contract-review">80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18bae5b1-d4d2-4427-9e91-e1870761964f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84</start>
      <end xmlns="http://schemas.wps.cn/vas-ai-hub/contract-review">85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41360da6-df06-42c4-9281-9c065a114676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111</start>
      <end xmlns="http://schemas.wps.cn/vas-ai-hub/contract-review">112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29d8b539-d541-48d6-a9a4-d1f721406c35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133</start>
      <end xmlns="http://schemas.wps.cn/vas-ai-hub/contract-review">134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263720a7-c160-4a23-8fb6-84ce61e095b2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139</start>
      <end xmlns="http://schemas.wps.cn/vas-ai-hub/contract-review">140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65fd0c71-2bfa-49d0-b971-95dd24e1f54e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164</start>
      <end xmlns="http://schemas.wps.cn/vas-ai-hub/contract-review">165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fbbf5417-8967-4aea-8a5e-714ff42e83a4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56108D66</paraID>
      <start xmlns="http://schemas.wps.cn/vas-ai-hub/contract-review">172</start>
      <end xmlns="http://schemas.wps.cn/vas-ai-hub/contract-review">173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b7ffb643-3ba7-457a-bedf-24292dba045f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df65f38c-7ac6-48e0-87f6-2760c522a019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f5eb7646-3ce9-4cf1-9798-e06949c3d403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34b3769a-4ac0-4c07-89dc-56ed8a0581a7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6752b144-55f1-4adf-a3ba-40f86a1725c0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02237988-e80d-4150-ade9-06e5108f8365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73fc5265-03f8-4e47-aec7-8b95559559d8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392b9309-5fd2-48f4-acfc-ce824a5f87a1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98</start>
      <end xmlns="http://schemas.wps.cn/vas-ai-hub/contract-review">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10728b0e-8337-458e-9a17-d24e809ca52d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FC8D3A7</paraID>
      <start xmlns="http://schemas.wps.cn/vas-ai-hub/contract-review">113</start>
      <end xmlns="http://schemas.wps.cn/vas-ai-hub/contract-review">114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ec3782b6-bec8-4074-99d2-780cead7c947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cad7fd49-be89-497b-8cee-a7d26a9fa479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965cad51-062f-4b34-a15e-1805d6b5b35d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a225d899-fe2d-477c-af95-47fe4dca8148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cd1095c4-56f2-4d8d-b7a2-f0d22fed2550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c9ae6788-1235-4383-ae4c-ade1f6520d3a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aa600f45-06e4-4e82-82f5-c809ce57ab32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85885f95-6405-4931-9d60-f8b5a29522c8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94</start>
      <end xmlns="http://schemas.wps.cn/vas-ai-hub/contract-review">95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55e82c48-ba14-41aa-89fa-4d999b51f590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9C35F97</paraID>
      <start xmlns="http://schemas.wps.cn/vas-ai-hub/contract-review">109</start>
      <end xmlns="http://schemas.wps.cn/vas-ai-hub/contract-review">110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7e8b5f11-d9bb-4545-85dc-30969f8df804</errorID>
      <errorWord xmlns="http://schemas.wps.cn/vas-ai-hub/contract-review">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将依</item>
      </candidateList>
      <explain xmlns="http://schemas.wps.cn/vas-ai-hub/contract-review"/>
      <paraID xmlns="http://schemas.wps.cn/vas-ai-hub/contract-review">3C99F250</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0dae0d1e-c8d6-4331-9c53-7a73486269df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51658142</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7407464c-afff-4436-a24c-a06364800fad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51658142</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fd1813e2-6238-46f4-9f0e-0b3e19ebca45</errorID>
      <errorWord xmlns="http://schemas.wps.cn/vas-ai-hub/contract-review">予以考虑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予考虑</item>
      </candidateList>
      <explain xmlns="http://schemas.wps.cn/vas-ai-hub/contract-review"/>
      <paraID xmlns="http://schemas.wps.cn/vas-ai-hub/contract-review">2BCE3ED9</paraID>
      <start xmlns="http://schemas.wps.cn/vas-ai-hub/contract-review">48</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5f7d7740-bb72-4f48-ac75-120359855739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9DB8B28</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422bd9c6-1284-4b98-82a4-ebddb4db15b2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9DB8B28</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5c7ffca4-0649-43c3-9f20-b93d5741dad0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7A6A3B78</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af581f46-5826-4912-8a33-c4b55928200d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7A6A3B78</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6af023af-0328-4313-b7f0-d713d221a157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1EF24085</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d2fcb3e6-e1e1-4daa-aa25-52abe47db483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1EF24085</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b54832d9-2722-43ed-92f2-2daf92d098bd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59F0771D</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aee8a3b3-c8c4-4ed3-b8f1-d7b6fd3b001e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59F0771D</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3359dedc-98fd-4131-9269-84713a6b591c</errorID>
      <errorWord xmlns="http://schemas.wps.cn/vas-ai-hub/contract-review">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存在发音相同字词的误用。</explain>
      <paraID xmlns="http://schemas.wps.cn/vas-ai-hub/contract-review">3395DB87</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3585930b-d628-4121-b2ef-3d68acfff0d4</errorID>
      <errorWord xmlns="http://schemas.wps.cn/vas-ai-hub/contract-review">予以考虑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予考虑</item>
      </candidateList>
      <explain xmlns="http://schemas.wps.cn/vas-ai-hub/contract-review"/>
      <paraID xmlns="http://schemas.wps.cn/vas-ai-hub/contract-review"> 3F00D72</paraID>
      <start xmlns="http://schemas.wps.cn/vas-ai-hub/contract-review">48</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308ede02-ea4d-4032-b361-9dc34a7b4196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6D48F1F6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78a9ad1f-2b3f-4128-a54a-38b8621cd45f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6D48F1F6</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bff3cf26-c3dc-4514-9996-c9ee9092cf61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4C0F60FB</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1d19244e-98ad-434a-8714-457143b94970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4C0F60FB</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dfa7aa-605a-463c-b7f3-b09de80f8d4b}">
  <ds:schemaRefs/>
</ds:datastoreItem>
</file>

<file path=docProps/app.xml><?xml version="1.0" encoding="utf-8"?>
<Properties xmlns="http://schemas.openxmlformats.org/officeDocument/2006/extended-properties" xmlns:vt="http://schemas.openxmlformats.org/officeDocument/2006/docPropsVTypes">
  <Template>Normal.dotm</Template>
  <Pages>93</Pages>
  <Words>29604</Words>
  <Characters>31182</Characters>
  <Lines>0</Lines>
  <Paragraphs>0</Paragraphs>
  <TotalTime>579</TotalTime>
  <ScaleCrop>false</ScaleCrop>
  <LinksUpToDate>false</LinksUpToDate>
  <CharactersWithSpaces>34699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2024-10-24T20:50:00Z</dcterms:created>
  <dc:creator>小小...</dc:creator>
  <cp:lastModifiedBy>Administrator</cp:lastModifiedBy>
  <dcterms:modified xsi:type="dcterms:W3CDTF">2026-10-10T00:14:11Z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98ED447C2F8C418BAE1576D1CC177DBC_13</vt:lpwstr>
  </property>
  <property fmtid="{D5CDD505-2E9C-101B-9397-08002B2CF9AE}" pid="4" name="KSOTemplateDocerSaveRecord">
    <vt:lpwstr>eyJoZGlkIjoiOTNkNzNhNGQwMTdlYWRiOWEwYTYwM2UzNzEwYWVmMTAiLCJ1c2VySWQiOiIxMDcwNTUwNjAxIn0=</vt:lpwstr>
  </property>
</Properties>
</file>