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499CF">
      <w:pPr>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 xml:space="preserve"> </w:t>
      </w:r>
    </w:p>
    <w:p w14:paraId="33FCCAEF">
      <w:pPr>
        <w:spacing w:line="360" w:lineRule="auto"/>
        <w:jc w:val="center"/>
        <w:rPr>
          <w:rFonts w:hint="eastAsia" w:ascii="宋体" w:hAnsi="宋体" w:eastAsia="宋体" w:cs="宋体"/>
          <w:b/>
          <w:bCs/>
          <w:color w:val="000000" w:themeColor="text1"/>
          <w:sz w:val="72"/>
          <w:szCs w:val="72"/>
          <w14:textFill>
            <w14:solidFill>
              <w14:schemeClr w14:val="tx1"/>
            </w14:solidFill>
          </w14:textFill>
        </w:rPr>
      </w:pPr>
    </w:p>
    <w:p w14:paraId="037539FD">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r>
        <w:rPr>
          <w:rFonts w:hint="eastAsia" w:ascii="宋体" w:hAnsi="宋体" w:eastAsia="宋体" w:cs="宋体"/>
          <w:b/>
          <w:bCs/>
          <w:color w:val="000000" w:themeColor="text1"/>
          <w:sz w:val="84"/>
          <w:szCs w:val="84"/>
          <w14:textFill>
            <w14:solidFill>
              <w14:schemeClr w14:val="tx1"/>
            </w14:solidFill>
          </w14:textFill>
        </w:rPr>
        <w:t>政府采购</w:t>
      </w:r>
    </w:p>
    <w:p w14:paraId="2037230D">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r>
        <w:rPr>
          <w:rFonts w:hint="eastAsia" w:ascii="宋体" w:hAnsi="宋体" w:eastAsia="宋体" w:cs="宋体"/>
          <w:b/>
          <w:bCs/>
          <w:color w:val="000000" w:themeColor="text1"/>
          <w:sz w:val="84"/>
          <w:szCs w:val="84"/>
          <w14:textFill>
            <w14:solidFill>
              <w14:schemeClr w14:val="tx1"/>
            </w14:solidFill>
          </w14:textFill>
        </w:rPr>
        <w:t>竞争性磋商文件</w:t>
      </w:r>
    </w:p>
    <w:p w14:paraId="223C2971">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宋体" w:hAnsi="宋体" w:eastAsia="宋体" w:cs="宋体"/>
          <w:b/>
          <w:bCs/>
          <w:color w:val="000000" w:themeColor="text1"/>
          <w:sz w:val="44"/>
          <w:szCs w:val="44"/>
          <w:highlight w:val="none"/>
          <w:lang w:eastAsia="zh-CN"/>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w:t>
      </w:r>
      <w:r>
        <w:rPr>
          <w:rFonts w:hint="eastAsia" w:ascii="宋体" w:hAnsi="宋体" w:eastAsia="宋体" w:cs="宋体"/>
          <w:b/>
          <w:bCs/>
          <w:color w:val="000000" w:themeColor="text1"/>
          <w:sz w:val="44"/>
          <w:szCs w:val="44"/>
          <w:highlight w:val="none"/>
          <w:lang w:val="en-US" w:eastAsia="zh-CN"/>
          <w14:textFill>
            <w14:solidFill>
              <w14:schemeClr w14:val="tx1"/>
            </w14:solidFill>
          </w14:textFill>
        </w:rPr>
        <w:t>包1、包2</w:t>
      </w:r>
      <w:r>
        <w:rPr>
          <w:rFonts w:hint="eastAsia" w:ascii="宋体" w:hAnsi="宋体" w:eastAsia="宋体" w:cs="宋体"/>
          <w:b/>
          <w:bCs/>
          <w:color w:val="000000" w:themeColor="text1"/>
          <w:sz w:val="44"/>
          <w:szCs w:val="44"/>
          <w:highlight w:val="none"/>
          <w:lang w:eastAsia="zh-CN"/>
          <w14:textFill>
            <w14:solidFill>
              <w14:schemeClr w14:val="tx1"/>
            </w14:solidFill>
          </w14:textFill>
        </w:rPr>
        <w:t>）</w:t>
      </w:r>
    </w:p>
    <w:p w14:paraId="7ED5344A">
      <w:pPr>
        <w:rPr>
          <w:rFonts w:hint="eastAsia" w:ascii="宋体" w:hAnsi="宋体" w:eastAsia="宋体" w:cs="宋体"/>
          <w:color w:val="000000" w:themeColor="text1"/>
          <w14:textFill>
            <w14:solidFill>
              <w14:schemeClr w14:val="tx1"/>
            </w14:solidFill>
          </w14:textFill>
        </w:rPr>
      </w:pPr>
    </w:p>
    <w:p w14:paraId="7BE9CFC5">
      <w:pPr>
        <w:rPr>
          <w:rFonts w:hint="eastAsia" w:ascii="宋体" w:hAnsi="宋体" w:eastAsia="宋体" w:cs="宋体"/>
          <w:b/>
          <w:bCs/>
          <w:color w:val="000000" w:themeColor="text1"/>
          <w:sz w:val="24"/>
          <w14:textFill>
            <w14:solidFill>
              <w14:schemeClr w14:val="tx1"/>
            </w14:solidFill>
          </w14:textFill>
        </w:rPr>
      </w:pPr>
    </w:p>
    <w:p w14:paraId="599B59FD">
      <w:pPr>
        <w:rPr>
          <w:rFonts w:hint="eastAsia" w:ascii="宋体" w:hAnsi="宋体" w:eastAsia="宋体" w:cs="宋体"/>
          <w:b/>
          <w:bCs/>
          <w:color w:val="000000" w:themeColor="text1"/>
          <w:sz w:val="24"/>
          <w14:textFill>
            <w14:solidFill>
              <w14:schemeClr w14:val="tx1"/>
            </w14:solidFill>
          </w14:textFill>
        </w:rPr>
      </w:pPr>
    </w:p>
    <w:p w14:paraId="0B5ACC92">
      <w:pPr>
        <w:spacing w:line="740" w:lineRule="exact"/>
        <w:ind w:firstLine="1285" w:firstLineChars="400"/>
        <w:jc w:val="left"/>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采购项目名称：</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花垣县2026年高素质农民培育服务</w:t>
      </w:r>
    </w:p>
    <w:p w14:paraId="0AC11DD6">
      <w:pPr>
        <w:spacing w:line="740" w:lineRule="exact"/>
        <w:ind w:firstLine="3534" w:firstLineChars="1100"/>
        <w:jc w:val="left"/>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u w:val="single"/>
          <w:lang w:val="en-US" w:eastAsia="zh-CN"/>
          <w14:textFill>
            <w14:solidFill>
              <w14:schemeClr w14:val="tx1"/>
            </w14:solidFill>
          </w14:textFill>
        </w:rPr>
        <w:t xml:space="preserve">采购项目  </w:t>
      </w:r>
    </w:p>
    <w:p w14:paraId="475EA56E">
      <w:pPr>
        <w:spacing w:line="740" w:lineRule="exact"/>
        <w:ind w:left="638" w:leftChars="304" w:firstLine="643" w:firstLineChars="200"/>
        <w:jc w:val="left"/>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政府采购</w:t>
      </w:r>
      <w:r>
        <w:rPr>
          <w:rFonts w:hint="eastAsia" w:ascii="宋体" w:hAnsi="宋体" w:eastAsia="宋体" w:cs="宋体"/>
          <w:b/>
          <w:bCs/>
          <w:color w:val="000000" w:themeColor="text1"/>
          <w:sz w:val="32"/>
          <w:szCs w:val="32"/>
          <w:lang w:val="en-US" w:eastAsia="zh-CN"/>
          <w14:textFill>
            <w14:solidFill>
              <w14:schemeClr w14:val="tx1"/>
            </w14:solidFill>
          </w14:textFill>
        </w:rPr>
        <w:t>计划</w:t>
      </w:r>
      <w:r>
        <w:rPr>
          <w:rFonts w:hint="eastAsia" w:ascii="宋体" w:hAnsi="宋体" w:eastAsia="宋体" w:cs="宋体"/>
          <w:b/>
          <w:bCs/>
          <w:color w:val="000000" w:themeColor="text1"/>
          <w:sz w:val="32"/>
          <w:szCs w:val="32"/>
          <w14:textFill>
            <w14:solidFill>
              <w14:schemeClr w14:val="tx1"/>
            </w14:solidFill>
          </w14:textFill>
        </w:rPr>
        <w:t>编号：</w:t>
      </w:r>
      <w:r>
        <w:rPr>
          <w:rFonts w:hint="eastAsia" w:ascii="宋体" w:hAnsi="宋体" w:eastAsia="宋体" w:cs="宋体"/>
          <w:b/>
          <w:bCs/>
          <w:color w:val="000000" w:themeColor="text1"/>
          <w:sz w:val="32"/>
          <w:szCs w:val="32"/>
          <w:u w:val="single"/>
          <w:lang w:val="en-US" w:eastAsia="zh-CN"/>
          <w14:textFill>
            <w14:solidFill>
              <w14:schemeClr w14:val="tx1"/>
            </w14:solidFill>
          </w14:textFill>
        </w:rPr>
        <w:t>包1 (2026)433124000006-1</w:t>
      </w:r>
    </w:p>
    <w:p w14:paraId="067B89E7">
      <w:pPr>
        <w:spacing w:line="740" w:lineRule="exact"/>
        <w:ind w:left="638" w:leftChars="304" w:firstLine="3534" w:firstLineChars="1100"/>
        <w:jc w:val="left"/>
        <w:rPr>
          <w:rFonts w:hint="default"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u w:val="single"/>
          <w:lang w:val="en-US" w:eastAsia="zh-CN"/>
          <w14:textFill>
            <w14:solidFill>
              <w14:schemeClr w14:val="tx1"/>
            </w14:solidFill>
          </w14:textFill>
        </w:rPr>
        <w:t>包2 (2026)433124000006-2</w:t>
      </w:r>
    </w:p>
    <w:p w14:paraId="4CBB7E68">
      <w:pPr>
        <w:spacing w:line="740" w:lineRule="exact"/>
        <w:ind w:left="638" w:leftChars="304" w:firstLine="643" w:firstLineChars="200"/>
        <w:jc w:val="left"/>
        <w:rPr>
          <w:rFonts w:hint="default" w:ascii="宋体" w:hAnsi="宋体" w:eastAsia="宋体" w:cs="宋体"/>
          <w:b/>
          <w:bCs/>
          <w:color w:val="000000" w:themeColor="text1"/>
          <w:sz w:val="32"/>
          <w:szCs w:val="32"/>
          <w:lang w:val="en-US" w:eastAsia="zh-CN"/>
          <w14:textFill>
            <w14:solidFill>
              <w14:schemeClr w14:val="tx1"/>
            </w14:solidFill>
          </w14:textFill>
        </w:rPr>
      </w:pPr>
      <w:r>
        <w:rPr>
          <w:rFonts w:hint="eastAsia" w:ascii="宋体" w:hAnsi="宋体" w:eastAsia="宋体" w:cs="宋体"/>
          <w:b/>
          <w:bCs/>
          <w:color w:val="000000" w:themeColor="text1"/>
          <w:sz w:val="32"/>
          <w:szCs w:val="32"/>
          <w:lang w:val="en-US" w:eastAsia="zh-CN"/>
          <w14:textFill>
            <w14:solidFill>
              <w14:schemeClr w14:val="tx1"/>
            </w14:solidFill>
          </w14:textFill>
        </w:rPr>
        <w:t>采购</w:t>
      </w:r>
      <w:r>
        <w:rPr>
          <w:rFonts w:hint="eastAsia" w:ascii="宋体" w:hAnsi="宋体" w:eastAsia="宋体" w:cs="宋体"/>
          <w:b/>
          <w:bCs/>
          <w:color w:val="000000" w:themeColor="text1"/>
          <w:sz w:val="32"/>
          <w:szCs w:val="32"/>
          <w14:textFill>
            <w14:solidFill>
              <w14:schemeClr w14:val="tx1"/>
            </w14:solidFill>
          </w14:textFill>
        </w:rPr>
        <w:t>代理编号：</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XDGS-2026-035</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 xml:space="preserve"> </w:t>
      </w:r>
    </w:p>
    <w:p w14:paraId="3651CB94">
      <w:pPr>
        <w:spacing w:line="740" w:lineRule="exact"/>
        <w:ind w:firstLine="1285" w:firstLineChars="40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采   购   人：</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eastAsia="zh-CN"/>
          <w14:textFill>
            <w14:solidFill>
              <w14:schemeClr w14:val="tx1"/>
            </w14:solidFill>
          </w14:textFill>
        </w:rPr>
        <w:t>花垣县农业农村局</w:t>
      </w:r>
      <w:r>
        <w:rPr>
          <w:rFonts w:hint="eastAsia" w:ascii="宋体" w:hAnsi="宋体" w:eastAsia="宋体" w:cs="宋体"/>
          <w:b/>
          <w:bCs/>
          <w:color w:val="000000" w:themeColor="text1"/>
          <w:sz w:val="32"/>
          <w:szCs w:val="32"/>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u w:val="single"/>
          <w14:textFill>
            <w14:solidFill>
              <w14:schemeClr w14:val="tx1"/>
            </w14:solidFill>
          </w14:textFill>
        </w:rPr>
        <w:t xml:space="preserve">       </w:t>
      </w:r>
    </w:p>
    <w:p w14:paraId="61215D7D">
      <w:pPr>
        <w:spacing w:line="740" w:lineRule="exact"/>
        <w:ind w:firstLine="1285" w:firstLineChars="400"/>
        <w:jc w:val="left"/>
        <w:rPr>
          <w:rFonts w:hint="eastAsia" w:ascii="宋体" w:hAnsi="宋体" w:eastAsia="宋体" w:cs="宋体"/>
          <w:b/>
          <w:bCs/>
          <w:color w:val="000000" w:themeColor="text1"/>
          <w:w w:val="94"/>
          <w:sz w:val="24"/>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采购代理机构：</w:t>
      </w:r>
      <w:r>
        <w:rPr>
          <w:rFonts w:hint="eastAsia" w:ascii="宋体" w:hAnsi="宋体" w:eastAsia="宋体" w:cs="宋体"/>
          <w:b/>
          <w:bCs/>
          <w:color w:val="000000" w:themeColor="text1"/>
          <w:sz w:val="32"/>
          <w:szCs w:val="32"/>
          <w:u w:val="single"/>
          <w14:textFill>
            <w14:solidFill>
              <w14:schemeClr w14:val="tx1"/>
            </w14:solidFill>
          </w14:textFill>
        </w:rPr>
        <w:t xml:space="preserve"> 湖南信达项目咨询管理有限公司 </w:t>
      </w:r>
    </w:p>
    <w:p w14:paraId="730947BC">
      <w:pPr>
        <w:spacing w:line="360" w:lineRule="auto"/>
        <w:rPr>
          <w:rFonts w:hint="eastAsia" w:ascii="宋体" w:hAnsi="宋体" w:eastAsia="宋体" w:cs="宋体"/>
          <w:b/>
          <w:bCs/>
          <w:color w:val="000000" w:themeColor="text1"/>
          <w:sz w:val="24"/>
          <w14:textFill>
            <w14:solidFill>
              <w14:schemeClr w14:val="tx1"/>
            </w14:solidFill>
          </w14:textFill>
        </w:rPr>
      </w:pPr>
    </w:p>
    <w:p w14:paraId="68DAB9D9">
      <w:pPr>
        <w:pStyle w:val="20"/>
        <w:rPr>
          <w:rFonts w:hint="eastAsia" w:ascii="宋体" w:hAnsi="宋体" w:eastAsia="宋体" w:cs="宋体"/>
          <w:color w:val="000000" w:themeColor="text1"/>
          <w14:textFill>
            <w14:solidFill>
              <w14:schemeClr w14:val="tx1"/>
            </w14:solidFill>
          </w14:textFill>
        </w:rPr>
      </w:pPr>
    </w:p>
    <w:p w14:paraId="72493E0E">
      <w:pPr>
        <w:rPr>
          <w:rFonts w:hint="eastAsia" w:ascii="宋体" w:hAnsi="宋体" w:eastAsia="宋体" w:cs="宋体"/>
          <w:color w:val="000000" w:themeColor="text1"/>
          <w14:textFill>
            <w14:solidFill>
              <w14:schemeClr w14:val="tx1"/>
            </w14:solidFill>
          </w14:textFill>
        </w:rPr>
      </w:pPr>
    </w:p>
    <w:p w14:paraId="00F43709">
      <w:pPr>
        <w:spacing w:line="360" w:lineRule="auto"/>
        <w:jc w:val="center"/>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日    期：</w:t>
      </w:r>
      <w:r>
        <w:rPr>
          <w:rFonts w:hint="eastAsia" w:ascii="宋体" w:hAnsi="宋体" w:eastAsia="宋体" w:cs="宋体"/>
          <w:b/>
          <w:bCs/>
          <w:color w:val="000000" w:themeColor="text1"/>
          <w:sz w:val="32"/>
          <w:szCs w:val="32"/>
          <w:u w:val="single"/>
          <w14:textFill>
            <w14:solidFill>
              <w14:schemeClr w14:val="tx1"/>
            </w14:solidFill>
          </w14:textFill>
        </w:rPr>
        <w:t xml:space="preserve"> 二○二</w:t>
      </w:r>
      <w:r>
        <w:rPr>
          <w:rFonts w:hint="eastAsia" w:ascii="宋体" w:hAnsi="宋体" w:eastAsia="宋体" w:cs="宋体"/>
          <w:b/>
          <w:bCs/>
          <w:color w:val="000000" w:themeColor="text1"/>
          <w:sz w:val="32"/>
          <w:szCs w:val="32"/>
          <w:u w:val="single"/>
          <w:lang w:val="en-US" w:eastAsia="zh-CN"/>
          <w14:textFill>
            <w14:solidFill>
              <w14:schemeClr w14:val="tx1"/>
            </w14:solidFill>
          </w14:textFill>
        </w:rPr>
        <w:t>六</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年</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九</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月</w:t>
      </w:r>
    </w:p>
    <w:p w14:paraId="394D30EA">
      <w:pPr>
        <w:jc w:val="center"/>
        <w:rPr>
          <w:rFonts w:hint="eastAsia" w:ascii="宋体" w:hAnsi="宋体" w:eastAsia="宋体" w:cs="宋体"/>
          <w:b/>
          <w:color w:val="000000" w:themeColor="text1"/>
          <w:kern w:val="1"/>
          <w:sz w:val="32"/>
          <w:szCs w:val="32"/>
          <w14:textFill>
            <w14:solidFill>
              <w14:schemeClr w14:val="tx1"/>
            </w14:solidFill>
          </w14:textFill>
        </w:rPr>
        <w:sectPr>
          <w:headerReference r:id="rId4" w:type="first"/>
          <w:headerReference r:id="rId3" w:type="default"/>
          <w:footerReference r:id="rId5" w:type="default"/>
          <w:pgSz w:w="11906" w:h="16838"/>
          <w:pgMar w:top="1304" w:right="1304" w:bottom="1304" w:left="1304" w:header="850" w:footer="850" w:gutter="0"/>
          <w:pgNumType w:fmt="numberInDash"/>
          <w:cols w:space="720" w:num="1"/>
          <w:titlePg/>
          <w:docGrid w:linePitch="319" w:charSpace="0"/>
        </w:sectPr>
      </w:pPr>
    </w:p>
    <w:p w14:paraId="5FD6DCD7">
      <w:pPr>
        <w:jc w:val="center"/>
        <w:rPr>
          <w:rFonts w:hint="eastAsia" w:ascii="宋体" w:hAnsi="宋体" w:eastAsia="宋体" w:cs="宋体"/>
          <w:b/>
          <w:color w:val="000000" w:themeColor="text1"/>
          <w:kern w:val="1"/>
          <w:sz w:val="32"/>
          <w:szCs w:val="32"/>
          <w14:textFill>
            <w14:solidFill>
              <w14:schemeClr w14:val="tx1"/>
            </w14:solidFill>
          </w14:textFill>
        </w:rPr>
      </w:pPr>
      <w:r>
        <w:rPr>
          <w:rFonts w:hint="eastAsia" w:ascii="宋体" w:hAnsi="宋体" w:eastAsia="宋体" w:cs="宋体"/>
          <w:b/>
          <w:color w:val="000000" w:themeColor="text1"/>
          <w:kern w:val="1"/>
          <w:sz w:val="32"/>
          <w:szCs w:val="32"/>
          <w14:textFill>
            <w14:solidFill>
              <w14:schemeClr w14:val="tx1"/>
            </w14:solidFill>
          </w14:textFill>
        </w:rPr>
        <w:t>目  录</w:t>
      </w:r>
    </w:p>
    <w:p w14:paraId="026F37E6">
      <w:pPr>
        <w:pStyle w:val="18"/>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TOC \o "1-3" \h \u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_Toc13323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第一章 磋商邀请</w:t>
      </w:r>
      <w:r>
        <w:rPr>
          <w:sz w:val="24"/>
          <w:szCs w:val="24"/>
        </w:rPr>
        <w:tab/>
      </w:r>
      <w:r>
        <w:rPr>
          <w:sz w:val="24"/>
          <w:szCs w:val="24"/>
        </w:rPr>
        <w:fldChar w:fldCharType="begin"/>
      </w:r>
      <w:r>
        <w:rPr>
          <w:sz w:val="24"/>
          <w:szCs w:val="24"/>
        </w:rPr>
        <w:instrText xml:space="preserve"> PAGEREF _Toc13323 \h </w:instrText>
      </w:r>
      <w:r>
        <w:rPr>
          <w:sz w:val="24"/>
          <w:szCs w:val="24"/>
        </w:rPr>
        <w:fldChar w:fldCharType="separate"/>
      </w:r>
      <w:r>
        <w:rPr>
          <w:sz w:val="24"/>
          <w:szCs w:val="24"/>
        </w:rPr>
        <w:t>- 4 -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DF3AEF4">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_Toc20837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一、采购项目基本情况</w:t>
      </w:r>
      <w:r>
        <w:rPr>
          <w:sz w:val="24"/>
          <w:szCs w:val="24"/>
        </w:rPr>
        <w:tab/>
      </w:r>
      <w:r>
        <w:rPr>
          <w:sz w:val="24"/>
          <w:szCs w:val="24"/>
        </w:rPr>
        <w:fldChar w:fldCharType="begin"/>
      </w:r>
      <w:r>
        <w:rPr>
          <w:sz w:val="24"/>
          <w:szCs w:val="24"/>
        </w:rPr>
        <w:instrText xml:space="preserve"> PAGEREF _Toc20837 \h </w:instrText>
      </w:r>
      <w:r>
        <w:rPr>
          <w:sz w:val="24"/>
          <w:szCs w:val="24"/>
        </w:rPr>
        <w:fldChar w:fldCharType="separate"/>
      </w:r>
      <w:r>
        <w:rPr>
          <w:sz w:val="24"/>
          <w:szCs w:val="24"/>
        </w:rPr>
        <w:t>- 4 -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34ABD06">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_Toc24545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二、 采购需求及项目可能实质性变动内容</w:t>
      </w:r>
      <w:r>
        <w:rPr>
          <w:sz w:val="24"/>
          <w:szCs w:val="24"/>
        </w:rPr>
        <w:tab/>
      </w:r>
      <w:r>
        <w:rPr>
          <w:sz w:val="24"/>
          <w:szCs w:val="24"/>
        </w:rPr>
        <w:fldChar w:fldCharType="begin"/>
      </w:r>
      <w:r>
        <w:rPr>
          <w:sz w:val="24"/>
          <w:szCs w:val="24"/>
        </w:rPr>
        <w:instrText xml:space="preserve"> PAGEREF _Toc24545 \h </w:instrText>
      </w:r>
      <w:r>
        <w:rPr>
          <w:sz w:val="24"/>
          <w:szCs w:val="24"/>
        </w:rPr>
        <w:fldChar w:fldCharType="separate"/>
      </w:r>
      <w:r>
        <w:rPr>
          <w:sz w:val="24"/>
          <w:szCs w:val="24"/>
        </w:rPr>
        <w:t>- 4 -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B27DD45">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_Toc29826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三、采购项目需落实的政府采购政策</w:t>
      </w:r>
      <w:r>
        <w:rPr>
          <w:sz w:val="24"/>
          <w:szCs w:val="24"/>
        </w:rPr>
        <w:tab/>
      </w:r>
      <w:r>
        <w:rPr>
          <w:sz w:val="24"/>
          <w:szCs w:val="24"/>
        </w:rPr>
        <w:fldChar w:fldCharType="begin"/>
      </w:r>
      <w:r>
        <w:rPr>
          <w:sz w:val="24"/>
          <w:szCs w:val="24"/>
        </w:rPr>
        <w:instrText xml:space="preserve"> PAGEREF _Toc29826 \h </w:instrText>
      </w:r>
      <w:r>
        <w:rPr>
          <w:sz w:val="24"/>
          <w:szCs w:val="24"/>
        </w:rPr>
        <w:fldChar w:fldCharType="separate"/>
      </w:r>
      <w:r>
        <w:rPr>
          <w:sz w:val="24"/>
          <w:szCs w:val="24"/>
        </w:rPr>
        <w:t>- 5 -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B843D85">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_Toc23376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四、</w:t>
      </w:r>
      <w:r>
        <w:rPr>
          <w:rFonts w:hint="eastAsia" w:ascii="宋体" w:hAnsi="宋体" w:eastAsia="宋体" w:cs="宋体"/>
          <w:bCs w:val="0"/>
          <w:sz w:val="24"/>
          <w:szCs w:val="24"/>
          <w:lang w:val="en-US" w:eastAsia="zh-CN"/>
        </w:rPr>
        <w:t>供应商</w:t>
      </w:r>
      <w:r>
        <w:rPr>
          <w:rFonts w:hint="eastAsia" w:ascii="宋体" w:hAnsi="宋体" w:eastAsia="宋体" w:cs="宋体"/>
          <w:bCs w:val="0"/>
          <w:sz w:val="24"/>
          <w:szCs w:val="24"/>
        </w:rPr>
        <w:t>的资格要求</w:t>
      </w:r>
      <w:r>
        <w:rPr>
          <w:sz w:val="24"/>
          <w:szCs w:val="24"/>
        </w:rPr>
        <w:tab/>
      </w:r>
      <w:r>
        <w:rPr>
          <w:sz w:val="24"/>
          <w:szCs w:val="24"/>
        </w:rPr>
        <w:fldChar w:fldCharType="begin"/>
      </w:r>
      <w:r>
        <w:rPr>
          <w:sz w:val="24"/>
          <w:szCs w:val="24"/>
        </w:rPr>
        <w:instrText xml:space="preserve"> PAGEREF _Toc23376 \h </w:instrText>
      </w:r>
      <w:r>
        <w:rPr>
          <w:sz w:val="24"/>
          <w:szCs w:val="24"/>
        </w:rPr>
        <w:fldChar w:fldCharType="separate"/>
      </w:r>
      <w:r>
        <w:rPr>
          <w:sz w:val="24"/>
          <w:szCs w:val="24"/>
        </w:rPr>
        <w:t>- 5 -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CB2456D">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_Toc18943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五、获取采购文件</w:t>
      </w:r>
      <w:r>
        <w:rPr>
          <w:sz w:val="24"/>
          <w:szCs w:val="24"/>
        </w:rPr>
        <w:tab/>
      </w:r>
      <w:r>
        <w:rPr>
          <w:sz w:val="24"/>
          <w:szCs w:val="24"/>
        </w:rPr>
        <w:fldChar w:fldCharType="begin"/>
      </w:r>
      <w:r>
        <w:rPr>
          <w:sz w:val="24"/>
          <w:szCs w:val="24"/>
        </w:rPr>
        <w:instrText xml:space="preserve"> PAGEREF _Toc18943 \h </w:instrText>
      </w:r>
      <w:r>
        <w:rPr>
          <w:sz w:val="24"/>
          <w:szCs w:val="24"/>
        </w:rPr>
        <w:fldChar w:fldCharType="separate"/>
      </w:r>
      <w:r>
        <w:rPr>
          <w:sz w:val="24"/>
          <w:szCs w:val="24"/>
        </w:rPr>
        <w:t>- 5 -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CE011F6">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_Toc8473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七、公告期限</w:t>
      </w:r>
      <w:r>
        <w:rPr>
          <w:sz w:val="24"/>
          <w:szCs w:val="24"/>
        </w:rPr>
        <w:tab/>
      </w:r>
      <w:r>
        <w:rPr>
          <w:sz w:val="24"/>
          <w:szCs w:val="24"/>
        </w:rPr>
        <w:fldChar w:fldCharType="begin"/>
      </w:r>
      <w:r>
        <w:rPr>
          <w:sz w:val="24"/>
          <w:szCs w:val="24"/>
        </w:rPr>
        <w:instrText xml:space="preserve"> PAGEREF _Toc8473 \h </w:instrText>
      </w:r>
      <w:r>
        <w:rPr>
          <w:sz w:val="24"/>
          <w:szCs w:val="24"/>
        </w:rPr>
        <w:fldChar w:fldCharType="separate"/>
      </w:r>
      <w:r>
        <w:rPr>
          <w:sz w:val="24"/>
          <w:szCs w:val="24"/>
        </w:rPr>
        <w:t>- 6 -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404F920">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_Toc19718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八、</w:t>
      </w:r>
      <w:r>
        <w:rPr>
          <w:rFonts w:hint="eastAsia" w:ascii="宋体" w:hAnsi="宋体" w:eastAsia="宋体" w:cs="宋体"/>
          <w:bCs/>
          <w:sz w:val="24"/>
          <w:szCs w:val="24"/>
        </w:rPr>
        <w:t>询问及质疑</w:t>
      </w:r>
      <w:r>
        <w:rPr>
          <w:sz w:val="24"/>
          <w:szCs w:val="24"/>
        </w:rPr>
        <w:tab/>
      </w:r>
      <w:r>
        <w:rPr>
          <w:sz w:val="24"/>
          <w:szCs w:val="24"/>
        </w:rPr>
        <w:fldChar w:fldCharType="begin"/>
      </w:r>
      <w:r>
        <w:rPr>
          <w:sz w:val="24"/>
          <w:szCs w:val="24"/>
        </w:rPr>
        <w:instrText xml:space="preserve"> PAGEREF _Toc19718 \h </w:instrText>
      </w:r>
      <w:r>
        <w:rPr>
          <w:sz w:val="24"/>
          <w:szCs w:val="24"/>
        </w:rPr>
        <w:fldChar w:fldCharType="separate"/>
      </w:r>
      <w:r>
        <w:rPr>
          <w:sz w:val="24"/>
          <w:szCs w:val="24"/>
        </w:rPr>
        <w:t>- 6 -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BA254DD">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_Toc9599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九、其它</w:t>
      </w:r>
      <w:r>
        <w:rPr>
          <w:sz w:val="24"/>
          <w:szCs w:val="24"/>
        </w:rPr>
        <w:tab/>
      </w:r>
      <w:r>
        <w:rPr>
          <w:sz w:val="24"/>
          <w:szCs w:val="24"/>
        </w:rPr>
        <w:fldChar w:fldCharType="begin"/>
      </w:r>
      <w:r>
        <w:rPr>
          <w:sz w:val="24"/>
          <w:szCs w:val="24"/>
        </w:rPr>
        <w:instrText xml:space="preserve"> PAGEREF _Toc9599 \h </w:instrText>
      </w:r>
      <w:r>
        <w:rPr>
          <w:sz w:val="24"/>
          <w:szCs w:val="24"/>
        </w:rPr>
        <w:fldChar w:fldCharType="separate"/>
      </w:r>
      <w:r>
        <w:rPr>
          <w:sz w:val="24"/>
          <w:szCs w:val="24"/>
        </w:rPr>
        <w:t>- 7 -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49DFE72">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_Toc30602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十、响应说明</w:t>
      </w:r>
      <w:r>
        <w:rPr>
          <w:sz w:val="24"/>
          <w:szCs w:val="24"/>
        </w:rPr>
        <w:tab/>
      </w:r>
      <w:r>
        <w:rPr>
          <w:sz w:val="24"/>
          <w:szCs w:val="24"/>
        </w:rPr>
        <w:fldChar w:fldCharType="begin"/>
      </w:r>
      <w:r>
        <w:rPr>
          <w:sz w:val="24"/>
          <w:szCs w:val="24"/>
        </w:rPr>
        <w:instrText xml:space="preserve"> PAGEREF _Toc30602 \h </w:instrText>
      </w:r>
      <w:r>
        <w:rPr>
          <w:sz w:val="24"/>
          <w:szCs w:val="24"/>
        </w:rPr>
        <w:fldChar w:fldCharType="separate"/>
      </w:r>
      <w:r>
        <w:rPr>
          <w:sz w:val="24"/>
          <w:szCs w:val="24"/>
        </w:rPr>
        <w:t>- 7 -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CAC2CBA">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_Toc24186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十一、</w:t>
      </w:r>
      <w:r>
        <w:rPr>
          <w:rFonts w:hint="eastAsia" w:ascii="宋体" w:hAnsi="宋体" w:eastAsia="宋体" w:cs="宋体"/>
          <w:bCs w:val="0"/>
          <w:sz w:val="24"/>
          <w:szCs w:val="24"/>
        </w:rPr>
        <w:t>凡对本次采购提出询问，请按以下方式联系</w:t>
      </w:r>
      <w:r>
        <w:rPr>
          <w:sz w:val="24"/>
          <w:szCs w:val="24"/>
        </w:rPr>
        <w:tab/>
      </w:r>
      <w:r>
        <w:rPr>
          <w:sz w:val="24"/>
          <w:szCs w:val="24"/>
        </w:rPr>
        <w:fldChar w:fldCharType="begin"/>
      </w:r>
      <w:r>
        <w:rPr>
          <w:sz w:val="24"/>
          <w:szCs w:val="24"/>
        </w:rPr>
        <w:instrText xml:space="preserve"> PAGEREF _Toc24186 \h </w:instrText>
      </w:r>
      <w:r>
        <w:rPr>
          <w:sz w:val="24"/>
          <w:szCs w:val="24"/>
        </w:rPr>
        <w:fldChar w:fldCharType="separate"/>
      </w:r>
      <w:r>
        <w:rPr>
          <w:sz w:val="24"/>
          <w:szCs w:val="24"/>
        </w:rPr>
        <w:t>- 7 -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8A0C72B">
      <w:pPr>
        <w:pStyle w:val="18"/>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_Toc1063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第二章 磋商须知</w:t>
      </w:r>
      <w:r>
        <w:rPr>
          <w:sz w:val="24"/>
          <w:szCs w:val="24"/>
        </w:rPr>
        <w:tab/>
      </w:r>
      <w:r>
        <w:rPr>
          <w:sz w:val="24"/>
          <w:szCs w:val="24"/>
        </w:rPr>
        <w:fldChar w:fldCharType="begin"/>
      </w:r>
      <w:r>
        <w:rPr>
          <w:sz w:val="24"/>
          <w:szCs w:val="24"/>
        </w:rPr>
        <w:instrText xml:space="preserve"> PAGEREF _Toc1063 \h </w:instrText>
      </w:r>
      <w:r>
        <w:rPr>
          <w:sz w:val="24"/>
          <w:szCs w:val="24"/>
        </w:rPr>
        <w:fldChar w:fldCharType="separate"/>
      </w:r>
      <w:r>
        <w:rPr>
          <w:sz w:val="24"/>
          <w:szCs w:val="24"/>
        </w:rPr>
        <w:t>- 9 -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B1E274A">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_Toc28309 </w:instrText>
      </w:r>
      <w:r>
        <w:rPr>
          <w:rFonts w:hint="eastAsia" w:ascii="宋体" w:hAnsi="宋体" w:eastAsia="宋体" w:cs="宋体"/>
          <w:sz w:val="24"/>
          <w:szCs w:val="24"/>
        </w:rPr>
        <w:fldChar w:fldCharType="separate"/>
      </w:r>
      <w:r>
        <w:rPr>
          <w:rFonts w:hint="eastAsia" w:ascii="宋体" w:hAnsi="宋体" w:eastAsia="宋体" w:cs="宋体"/>
          <w:sz w:val="24"/>
          <w:szCs w:val="24"/>
        </w:rPr>
        <w:t>第一节 磋商须知前附表</w:t>
      </w:r>
      <w:r>
        <w:rPr>
          <w:sz w:val="24"/>
          <w:szCs w:val="24"/>
        </w:rPr>
        <w:tab/>
      </w:r>
      <w:r>
        <w:rPr>
          <w:sz w:val="24"/>
          <w:szCs w:val="24"/>
        </w:rPr>
        <w:fldChar w:fldCharType="begin"/>
      </w:r>
      <w:r>
        <w:rPr>
          <w:sz w:val="24"/>
          <w:szCs w:val="24"/>
        </w:rPr>
        <w:instrText xml:space="preserve"> PAGEREF _Toc28309 \h </w:instrText>
      </w:r>
      <w:r>
        <w:rPr>
          <w:sz w:val="24"/>
          <w:szCs w:val="24"/>
        </w:rPr>
        <w:fldChar w:fldCharType="separate"/>
      </w:r>
      <w:r>
        <w:rPr>
          <w:sz w:val="24"/>
          <w:szCs w:val="24"/>
        </w:rPr>
        <w:t>- 9 -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853BA3B">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_Toc7193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第二节 磋商须知正文</w:t>
      </w:r>
      <w:r>
        <w:rPr>
          <w:sz w:val="24"/>
          <w:szCs w:val="24"/>
        </w:rPr>
        <w:tab/>
      </w:r>
      <w:r>
        <w:rPr>
          <w:sz w:val="24"/>
          <w:szCs w:val="24"/>
        </w:rPr>
        <w:fldChar w:fldCharType="begin"/>
      </w:r>
      <w:r>
        <w:rPr>
          <w:sz w:val="24"/>
          <w:szCs w:val="24"/>
        </w:rPr>
        <w:instrText xml:space="preserve"> PAGEREF _Toc7193 \h </w:instrText>
      </w:r>
      <w:r>
        <w:rPr>
          <w:sz w:val="24"/>
          <w:szCs w:val="24"/>
        </w:rPr>
        <w:fldChar w:fldCharType="separate"/>
      </w:r>
      <w:r>
        <w:rPr>
          <w:sz w:val="24"/>
          <w:szCs w:val="24"/>
        </w:rPr>
        <w:t>- 15 -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17AF469">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_Toc3986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一、说明</w:t>
      </w:r>
      <w:r>
        <w:rPr>
          <w:sz w:val="24"/>
          <w:szCs w:val="24"/>
        </w:rPr>
        <w:tab/>
      </w:r>
      <w:r>
        <w:rPr>
          <w:sz w:val="24"/>
          <w:szCs w:val="24"/>
        </w:rPr>
        <w:fldChar w:fldCharType="begin"/>
      </w:r>
      <w:r>
        <w:rPr>
          <w:sz w:val="24"/>
          <w:szCs w:val="24"/>
        </w:rPr>
        <w:instrText xml:space="preserve"> PAGEREF _Toc3986 \h </w:instrText>
      </w:r>
      <w:r>
        <w:rPr>
          <w:sz w:val="24"/>
          <w:szCs w:val="24"/>
        </w:rPr>
        <w:fldChar w:fldCharType="separate"/>
      </w:r>
      <w:r>
        <w:rPr>
          <w:sz w:val="24"/>
          <w:szCs w:val="24"/>
        </w:rPr>
        <w:t>- 15 -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0945E0C">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_Toc14789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二、磋商文件</w:t>
      </w:r>
      <w:r>
        <w:rPr>
          <w:sz w:val="24"/>
          <w:szCs w:val="24"/>
        </w:rPr>
        <w:tab/>
      </w:r>
      <w:r>
        <w:rPr>
          <w:sz w:val="24"/>
          <w:szCs w:val="24"/>
        </w:rPr>
        <w:fldChar w:fldCharType="begin"/>
      </w:r>
      <w:r>
        <w:rPr>
          <w:sz w:val="24"/>
          <w:szCs w:val="24"/>
        </w:rPr>
        <w:instrText xml:space="preserve"> PAGEREF _Toc14789 \h </w:instrText>
      </w:r>
      <w:r>
        <w:rPr>
          <w:sz w:val="24"/>
          <w:szCs w:val="24"/>
        </w:rPr>
        <w:fldChar w:fldCharType="separate"/>
      </w:r>
      <w:r>
        <w:rPr>
          <w:sz w:val="24"/>
          <w:szCs w:val="24"/>
        </w:rPr>
        <w:t>- 17 -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56BF664">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_Toc838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三、响应文件</w:t>
      </w:r>
      <w:r>
        <w:rPr>
          <w:sz w:val="24"/>
          <w:szCs w:val="24"/>
        </w:rPr>
        <w:tab/>
      </w:r>
      <w:r>
        <w:rPr>
          <w:sz w:val="24"/>
          <w:szCs w:val="24"/>
        </w:rPr>
        <w:fldChar w:fldCharType="begin"/>
      </w:r>
      <w:r>
        <w:rPr>
          <w:sz w:val="24"/>
          <w:szCs w:val="24"/>
        </w:rPr>
        <w:instrText xml:space="preserve"> PAGEREF _Toc838 \h </w:instrText>
      </w:r>
      <w:r>
        <w:rPr>
          <w:sz w:val="24"/>
          <w:szCs w:val="24"/>
        </w:rPr>
        <w:fldChar w:fldCharType="separate"/>
      </w:r>
      <w:r>
        <w:rPr>
          <w:sz w:val="24"/>
          <w:szCs w:val="24"/>
        </w:rPr>
        <w:t>- 19 -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E9FC3F6">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_Toc3237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四、响应文件的递交</w:t>
      </w:r>
      <w:r>
        <w:rPr>
          <w:sz w:val="24"/>
          <w:szCs w:val="24"/>
        </w:rPr>
        <w:tab/>
      </w:r>
      <w:r>
        <w:rPr>
          <w:sz w:val="24"/>
          <w:szCs w:val="24"/>
        </w:rPr>
        <w:fldChar w:fldCharType="begin"/>
      </w:r>
      <w:r>
        <w:rPr>
          <w:sz w:val="24"/>
          <w:szCs w:val="24"/>
        </w:rPr>
        <w:instrText xml:space="preserve"> PAGEREF _Toc3237 \h </w:instrText>
      </w:r>
      <w:r>
        <w:rPr>
          <w:sz w:val="24"/>
          <w:szCs w:val="24"/>
        </w:rPr>
        <w:fldChar w:fldCharType="separate"/>
      </w:r>
      <w:r>
        <w:rPr>
          <w:sz w:val="24"/>
          <w:szCs w:val="24"/>
        </w:rPr>
        <w:t>- 22 -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4F05648">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_Toc17490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五、响应文件的评审与磋商</w:t>
      </w:r>
      <w:r>
        <w:rPr>
          <w:sz w:val="24"/>
          <w:szCs w:val="24"/>
        </w:rPr>
        <w:tab/>
      </w:r>
      <w:r>
        <w:rPr>
          <w:sz w:val="24"/>
          <w:szCs w:val="24"/>
        </w:rPr>
        <w:fldChar w:fldCharType="begin"/>
      </w:r>
      <w:r>
        <w:rPr>
          <w:sz w:val="24"/>
          <w:szCs w:val="24"/>
        </w:rPr>
        <w:instrText xml:space="preserve"> PAGEREF _Toc17490 \h </w:instrText>
      </w:r>
      <w:r>
        <w:rPr>
          <w:sz w:val="24"/>
          <w:szCs w:val="24"/>
        </w:rPr>
        <w:fldChar w:fldCharType="separate"/>
      </w:r>
      <w:r>
        <w:rPr>
          <w:sz w:val="24"/>
          <w:szCs w:val="24"/>
        </w:rPr>
        <w:t>- 22 -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0080B63">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_Toc20896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六、成交结果信息公布与授予合同</w:t>
      </w:r>
      <w:r>
        <w:rPr>
          <w:sz w:val="24"/>
          <w:szCs w:val="24"/>
        </w:rPr>
        <w:tab/>
      </w:r>
      <w:r>
        <w:rPr>
          <w:sz w:val="24"/>
          <w:szCs w:val="24"/>
        </w:rPr>
        <w:fldChar w:fldCharType="begin"/>
      </w:r>
      <w:r>
        <w:rPr>
          <w:sz w:val="24"/>
          <w:szCs w:val="24"/>
        </w:rPr>
        <w:instrText xml:space="preserve"> PAGEREF _Toc20896 \h </w:instrText>
      </w:r>
      <w:r>
        <w:rPr>
          <w:sz w:val="24"/>
          <w:szCs w:val="24"/>
        </w:rPr>
        <w:fldChar w:fldCharType="separate"/>
      </w:r>
      <w:r>
        <w:rPr>
          <w:sz w:val="24"/>
          <w:szCs w:val="24"/>
        </w:rPr>
        <w:t>- 26 -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5EAD136">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_Toc15776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七、其他规定</w:t>
      </w:r>
      <w:r>
        <w:rPr>
          <w:sz w:val="24"/>
          <w:szCs w:val="24"/>
        </w:rPr>
        <w:tab/>
      </w:r>
      <w:r>
        <w:rPr>
          <w:sz w:val="24"/>
          <w:szCs w:val="24"/>
        </w:rPr>
        <w:fldChar w:fldCharType="begin"/>
      </w:r>
      <w:r>
        <w:rPr>
          <w:sz w:val="24"/>
          <w:szCs w:val="24"/>
        </w:rPr>
        <w:instrText xml:space="preserve"> PAGEREF _Toc15776 \h </w:instrText>
      </w:r>
      <w:r>
        <w:rPr>
          <w:sz w:val="24"/>
          <w:szCs w:val="24"/>
        </w:rPr>
        <w:fldChar w:fldCharType="separate"/>
      </w:r>
      <w:r>
        <w:rPr>
          <w:sz w:val="24"/>
          <w:szCs w:val="24"/>
        </w:rPr>
        <w:t>- 28 -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74B70A6">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_Toc27412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 xml:space="preserve">附页1 </w:t>
      </w:r>
      <w:r>
        <w:rPr>
          <w:rFonts w:hint="eastAsia" w:ascii="宋体" w:hAnsi="宋体" w:eastAsia="宋体" w:cs="宋体"/>
          <w:sz w:val="24"/>
          <w:szCs w:val="24"/>
          <w:highlight w:val="none"/>
        </w:rPr>
        <w:t>资格性审查表</w:t>
      </w:r>
      <w:r>
        <w:rPr>
          <w:sz w:val="24"/>
          <w:szCs w:val="24"/>
        </w:rPr>
        <w:tab/>
      </w:r>
      <w:r>
        <w:rPr>
          <w:sz w:val="24"/>
          <w:szCs w:val="24"/>
        </w:rPr>
        <w:fldChar w:fldCharType="begin"/>
      </w:r>
      <w:r>
        <w:rPr>
          <w:sz w:val="24"/>
          <w:szCs w:val="24"/>
        </w:rPr>
        <w:instrText xml:space="preserve"> PAGEREF _Toc27412 \h </w:instrText>
      </w:r>
      <w:r>
        <w:rPr>
          <w:sz w:val="24"/>
          <w:szCs w:val="24"/>
        </w:rPr>
        <w:fldChar w:fldCharType="separate"/>
      </w:r>
      <w:r>
        <w:rPr>
          <w:sz w:val="24"/>
          <w:szCs w:val="24"/>
        </w:rPr>
        <w:t>- 29 -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03034CB">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_Toc18125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附页</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 xml:space="preserve"> 符合性审查表</w:t>
      </w:r>
      <w:r>
        <w:rPr>
          <w:sz w:val="24"/>
          <w:szCs w:val="24"/>
        </w:rPr>
        <w:tab/>
      </w:r>
      <w:r>
        <w:rPr>
          <w:sz w:val="24"/>
          <w:szCs w:val="24"/>
        </w:rPr>
        <w:fldChar w:fldCharType="begin"/>
      </w:r>
      <w:r>
        <w:rPr>
          <w:sz w:val="24"/>
          <w:szCs w:val="24"/>
        </w:rPr>
        <w:instrText xml:space="preserve"> PAGEREF _Toc18125 \h </w:instrText>
      </w:r>
      <w:r>
        <w:rPr>
          <w:sz w:val="24"/>
          <w:szCs w:val="24"/>
        </w:rPr>
        <w:fldChar w:fldCharType="separate"/>
      </w:r>
      <w:r>
        <w:rPr>
          <w:sz w:val="24"/>
          <w:szCs w:val="24"/>
        </w:rPr>
        <w:t>- 30 -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2BDB406">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_Toc7697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附页</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 xml:space="preserve"> 评审因素和标准</w:t>
      </w:r>
      <w:r>
        <w:rPr>
          <w:sz w:val="24"/>
          <w:szCs w:val="24"/>
        </w:rPr>
        <w:tab/>
      </w:r>
      <w:r>
        <w:rPr>
          <w:sz w:val="24"/>
          <w:szCs w:val="24"/>
        </w:rPr>
        <w:fldChar w:fldCharType="begin"/>
      </w:r>
      <w:r>
        <w:rPr>
          <w:sz w:val="24"/>
          <w:szCs w:val="24"/>
        </w:rPr>
        <w:instrText xml:space="preserve"> PAGEREF _Toc7697 \h </w:instrText>
      </w:r>
      <w:r>
        <w:rPr>
          <w:sz w:val="24"/>
          <w:szCs w:val="24"/>
        </w:rPr>
        <w:fldChar w:fldCharType="separate"/>
      </w:r>
      <w:r>
        <w:rPr>
          <w:sz w:val="24"/>
          <w:szCs w:val="24"/>
        </w:rPr>
        <w:t>- 31 -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8CDF0DD">
      <w:pPr>
        <w:pStyle w:val="18"/>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_Toc21740 </w:instrText>
      </w:r>
      <w:r>
        <w:rPr>
          <w:rFonts w:hint="eastAsia" w:ascii="宋体" w:hAnsi="宋体" w:eastAsia="宋体" w:cs="宋体"/>
          <w:sz w:val="24"/>
          <w:szCs w:val="24"/>
        </w:rPr>
        <w:fldChar w:fldCharType="separate"/>
      </w:r>
      <w:r>
        <w:rPr>
          <w:rFonts w:hint="eastAsia" w:ascii="宋体" w:hAnsi="宋体" w:eastAsia="宋体" w:cs="宋体"/>
          <w:kern w:val="1"/>
          <w:sz w:val="24"/>
          <w:szCs w:val="24"/>
          <w:highlight w:val="none"/>
        </w:rPr>
        <w:t xml:space="preserve">第三章 </w:t>
      </w:r>
      <w:r>
        <w:rPr>
          <w:rFonts w:hint="eastAsia" w:ascii="宋体" w:hAnsi="宋体" w:eastAsia="宋体" w:cs="宋体"/>
          <w:sz w:val="24"/>
          <w:szCs w:val="24"/>
          <w:highlight w:val="none"/>
          <w:lang w:val="en-US" w:eastAsia="zh-CN"/>
        </w:rPr>
        <w:t>合同草案条款</w:t>
      </w:r>
      <w:r>
        <w:rPr>
          <w:sz w:val="24"/>
          <w:szCs w:val="24"/>
        </w:rPr>
        <w:tab/>
      </w:r>
      <w:r>
        <w:rPr>
          <w:sz w:val="24"/>
          <w:szCs w:val="24"/>
        </w:rPr>
        <w:fldChar w:fldCharType="begin"/>
      </w:r>
      <w:r>
        <w:rPr>
          <w:sz w:val="24"/>
          <w:szCs w:val="24"/>
        </w:rPr>
        <w:instrText xml:space="preserve"> PAGEREF _Toc21740 \h </w:instrText>
      </w:r>
      <w:r>
        <w:rPr>
          <w:sz w:val="24"/>
          <w:szCs w:val="24"/>
        </w:rPr>
        <w:fldChar w:fldCharType="separate"/>
      </w:r>
      <w:r>
        <w:rPr>
          <w:sz w:val="24"/>
          <w:szCs w:val="24"/>
        </w:rPr>
        <w:t>- 37 -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6D00053">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_Toc18075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w:t>
      </w:r>
      <w:r>
        <w:rPr>
          <w:rFonts w:hint="eastAsia" w:ascii="宋体" w:hAnsi="宋体" w:eastAsia="宋体" w:cs="宋体"/>
          <w:sz w:val="24"/>
          <w:szCs w:val="24"/>
        </w:rPr>
        <w:t>项目信息</w:t>
      </w:r>
      <w:r>
        <w:rPr>
          <w:sz w:val="24"/>
          <w:szCs w:val="24"/>
        </w:rPr>
        <w:tab/>
      </w:r>
      <w:r>
        <w:rPr>
          <w:sz w:val="24"/>
          <w:szCs w:val="24"/>
        </w:rPr>
        <w:fldChar w:fldCharType="begin"/>
      </w:r>
      <w:r>
        <w:rPr>
          <w:sz w:val="24"/>
          <w:szCs w:val="24"/>
        </w:rPr>
        <w:instrText xml:space="preserve"> PAGEREF _Toc18075 \h </w:instrText>
      </w:r>
      <w:r>
        <w:rPr>
          <w:sz w:val="24"/>
          <w:szCs w:val="24"/>
        </w:rPr>
        <w:fldChar w:fldCharType="separate"/>
      </w:r>
      <w:r>
        <w:rPr>
          <w:sz w:val="24"/>
          <w:szCs w:val="24"/>
        </w:rPr>
        <w:t>- 37 -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6411CDA">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_Toc2621 </w:instrText>
      </w:r>
      <w:r>
        <w:rPr>
          <w:rFonts w:hint="eastAsia" w:ascii="宋体" w:hAnsi="宋体" w:eastAsia="宋体" w:cs="宋体"/>
          <w:sz w:val="24"/>
          <w:szCs w:val="24"/>
        </w:rPr>
        <w:fldChar w:fldCharType="separate"/>
      </w:r>
      <w:r>
        <w:rPr>
          <w:rFonts w:hint="eastAsia" w:ascii="宋体" w:hAnsi="宋体" w:eastAsia="宋体" w:cs="宋体"/>
          <w:bCs/>
          <w:spacing w:val="-3"/>
          <w:kern w:val="2"/>
          <w:sz w:val="24"/>
          <w:szCs w:val="24"/>
          <w:lang w:val="en-US" w:eastAsia="zh-CN" w:bidi="ar-SA"/>
        </w:rPr>
        <w:t>二、培训人数、时间与地点</w:t>
      </w:r>
      <w:r>
        <w:rPr>
          <w:sz w:val="24"/>
          <w:szCs w:val="24"/>
        </w:rPr>
        <w:tab/>
      </w:r>
      <w:r>
        <w:rPr>
          <w:sz w:val="24"/>
          <w:szCs w:val="24"/>
        </w:rPr>
        <w:fldChar w:fldCharType="begin"/>
      </w:r>
      <w:r>
        <w:rPr>
          <w:sz w:val="24"/>
          <w:szCs w:val="24"/>
        </w:rPr>
        <w:instrText xml:space="preserve"> PAGEREF _Toc2621 \h </w:instrText>
      </w:r>
      <w:r>
        <w:rPr>
          <w:sz w:val="24"/>
          <w:szCs w:val="24"/>
        </w:rPr>
        <w:fldChar w:fldCharType="separate"/>
      </w:r>
      <w:r>
        <w:rPr>
          <w:sz w:val="24"/>
          <w:szCs w:val="24"/>
        </w:rPr>
        <w:t>- 37 -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9BFA712">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_Toc8952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三、培训要求</w:t>
      </w:r>
      <w:r>
        <w:rPr>
          <w:sz w:val="24"/>
          <w:szCs w:val="24"/>
        </w:rPr>
        <w:tab/>
      </w:r>
      <w:r>
        <w:rPr>
          <w:sz w:val="24"/>
          <w:szCs w:val="24"/>
        </w:rPr>
        <w:fldChar w:fldCharType="begin"/>
      </w:r>
      <w:r>
        <w:rPr>
          <w:sz w:val="24"/>
          <w:szCs w:val="24"/>
        </w:rPr>
        <w:instrText xml:space="preserve"> PAGEREF _Toc8952 \h </w:instrText>
      </w:r>
      <w:r>
        <w:rPr>
          <w:sz w:val="24"/>
          <w:szCs w:val="24"/>
        </w:rPr>
        <w:fldChar w:fldCharType="separate"/>
      </w:r>
      <w:r>
        <w:rPr>
          <w:sz w:val="24"/>
          <w:szCs w:val="24"/>
        </w:rPr>
        <w:t>- 37 -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DE5EDC7">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_Toc25813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四、获证类型</w:t>
      </w:r>
      <w:r>
        <w:rPr>
          <w:sz w:val="24"/>
          <w:szCs w:val="24"/>
        </w:rPr>
        <w:tab/>
      </w:r>
      <w:r>
        <w:rPr>
          <w:sz w:val="24"/>
          <w:szCs w:val="24"/>
        </w:rPr>
        <w:fldChar w:fldCharType="begin"/>
      </w:r>
      <w:r>
        <w:rPr>
          <w:sz w:val="24"/>
          <w:szCs w:val="24"/>
        </w:rPr>
        <w:instrText xml:space="preserve"> PAGEREF _Toc25813 \h </w:instrText>
      </w:r>
      <w:r>
        <w:rPr>
          <w:sz w:val="24"/>
          <w:szCs w:val="24"/>
        </w:rPr>
        <w:fldChar w:fldCharType="separate"/>
      </w:r>
      <w:r>
        <w:rPr>
          <w:sz w:val="24"/>
          <w:szCs w:val="24"/>
        </w:rPr>
        <w:t>- 37 -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B0BBFDD">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_Toc5702 </w:instrText>
      </w:r>
      <w:r>
        <w:rPr>
          <w:rFonts w:hint="eastAsia" w:ascii="宋体" w:hAnsi="宋体" w:eastAsia="宋体" w:cs="宋体"/>
          <w:sz w:val="24"/>
          <w:szCs w:val="24"/>
        </w:rPr>
        <w:fldChar w:fldCharType="separate"/>
      </w:r>
      <w:r>
        <w:rPr>
          <w:rFonts w:hint="eastAsia" w:ascii="宋体" w:hAnsi="宋体" w:eastAsia="宋体" w:cs="宋体"/>
          <w:bCs/>
          <w:spacing w:val="-5"/>
          <w:kern w:val="2"/>
          <w:sz w:val="24"/>
          <w:szCs w:val="24"/>
          <w:lang w:val="en-US" w:eastAsia="zh-CN" w:bidi="ar-SA"/>
        </w:rPr>
        <w:t>五、培训费用及付款方式</w:t>
      </w:r>
      <w:r>
        <w:rPr>
          <w:sz w:val="24"/>
          <w:szCs w:val="24"/>
        </w:rPr>
        <w:tab/>
      </w:r>
      <w:r>
        <w:rPr>
          <w:sz w:val="24"/>
          <w:szCs w:val="24"/>
        </w:rPr>
        <w:fldChar w:fldCharType="begin"/>
      </w:r>
      <w:r>
        <w:rPr>
          <w:sz w:val="24"/>
          <w:szCs w:val="24"/>
        </w:rPr>
        <w:instrText xml:space="preserve"> PAGEREF _Toc5702 \h </w:instrText>
      </w:r>
      <w:r>
        <w:rPr>
          <w:sz w:val="24"/>
          <w:szCs w:val="24"/>
        </w:rPr>
        <w:fldChar w:fldCharType="separate"/>
      </w:r>
      <w:r>
        <w:rPr>
          <w:sz w:val="24"/>
          <w:szCs w:val="24"/>
        </w:rPr>
        <w:t>- 38 -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9CA8B44">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_Toc2887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highlight w:val="none"/>
          <w:lang w:val="en-US" w:eastAsia="zh-CN" w:bidi="ar-SA"/>
        </w:rPr>
        <w:t>六、双方职责</w:t>
      </w:r>
      <w:r>
        <w:rPr>
          <w:sz w:val="24"/>
          <w:szCs w:val="24"/>
        </w:rPr>
        <w:tab/>
      </w:r>
      <w:r>
        <w:rPr>
          <w:sz w:val="24"/>
          <w:szCs w:val="24"/>
        </w:rPr>
        <w:fldChar w:fldCharType="begin"/>
      </w:r>
      <w:r>
        <w:rPr>
          <w:sz w:val="24"/>
          <w:szCs w:val="24"/>
        </w:rPr>
        <w:instrText xml:space="preserve"> PAGEREF _Toc2887 \h </w:instrText>
      </w:r>
      <w:r>
        <w:rPr>
          <w:sz w:val="24"/>
          <w:szCs w:val="24"/>
        </w:rPr>
        <w:fldChar w:fldCharType="separate"/>
      </w:r>
      <w:r>
        <w:rPr>
          <w:sz w:val="24"/>
          <w:szCs w:val="24"/>
        </w:rPr>
        <w:t>- 38 -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65C7C3C">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_Toc1269 </w:instrText>
      </w:r>
      <w:r>
        <w:rPr>
          <w:rFonts w:hint="eastAsia" w:ascii="宋体" w:hAnsi="宋体" w:eastAsia="宋体" w:cs="宋体"/>
          <w:sz w:val="24"/>
          <w:szCs w:val="24"/>
        </w:rPr>
        <w:fldChar w:fldCharType="separate"/>
      </w:r>
      <w:r>
        <w:rPr>
          <w:rFonts w:hint="eastAsia" w:ascii="宋体" w:hAnsi="宋体" w:eastAsia="宋体" w:cs="宋体"/>
          <w:bCs/>
          <w:spacing w:val="-4"/>
          <w:sz w:val="24"/>
          <w:szCs w:val="24"/>
          <w:highlight w:val="none"/>
          <w:lang w:val="en-US" w:eastAsia="zh-CN"/>
        </w:rPr>
        <w:t>七、</w:t>
      </w:r>
      <w:r>
        <w:rPr>
          <w:rFonts w:hint="eastAsia" w:ascii="宋体" w:hAnsi="宋体" w:eastAsia="宋体" w:cs="宋体"/>
          <w:sz w:val="24"/>
          <w:szCs w:val="24"/>
          <w:highlight w:val="none"/>
        </w:rPr>
        <w:t>组成合同的文</w:t>
      </w:r>
      <w:r>
        <w:rPr>
          <w:rFonts w:hint="eastAsia" w:ascii="宋体" w:hAnsi="宋体" w:eastAsia="宋体" w:cs="宋体"/>
          <w:sz w:val="24"/>
          <w:szCs w:val="24"/>
        </w:rPr>
        <w:t>件</w:t>
      </w:r>
      <w:r>
        <w:rPr>
          <w:sz w:val="24"/>
          <w:szCs w:val="24"/>
        </w:rPr>
        <w:tab/>
      </w:r>
      <w:r>
        <w:rPr>
          <w:sz w:val="24"/>
          <w:szCs w:val="24"/>
        </w:rPr>
        <w:fldChar w:fldCharType="begin"/>
      </w:r>
      <w:r>
        <w:rPr>
          <w:sz w:val="24"/>
          <w:szCs w:val="24"/>
        </w:rPr>
        <w:instrText xml:space="preserve"> PAGEREF _Toc1269 \h </w:instrText>
      </w:r>
      <w:r>
        <w:rPr>
          <w:sz w:val="24"/>
          <w:szCs w:val="24"/>
        </w:rPr>
        <w:fldChar w:fldCharType="separate"/>
      </w:r>
      <w:r>
        <w:rPr>
          <w:sz w:val="24"/>
          <w:szCs w:val="24"/>
        </w:rPr>
        <w:t>- 39 -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23BBC88">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_Toc28620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八、其他事项</w:t>
      </w:r>
      <w:r>
        <w:rPr>
          <w:sz w:val="24"/>
          <w:szCs w:val="24"/>
        </w:rPr>
        <w:tab/>
      </w:r>
      <w:r>
        <w:rPr>
          <w:sz w:val="24"/>
          <w:szCs w:val="24"/>
        </w:rPr>
        <w:fldChar w:fldCharType="begin"/>
      </w:r>
      <w:r>
        <w:rPr>
          <w:sz w:val="24"/>
          <w:szCs w:val="24"/>
        </w:rPr>
        <w:instrText xml:space="preserve"> PAGEREF _Toc28620 \h </w:instrText>
      </w:r>
      <w:r>
        <w:rPr>
          <w:sz w:val="24"/>
          <w:szCs w:val="24"/>
        </w:rPr>
        <w:fldChar w:fldCharType="separate"/>
      </w:r>
      <w:r>
        <w:rPr>
          <w:sz w:val="24"/>
          <w:szCs w:val="24"/>
        </w:rPr>
        <w:t>- 40 -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C8938E6">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_Toc16853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九、合同生效</w:t>
      </w:r>
      <w:r>
        <w:rPr>
          <w:sz w:val="24"/>
          <w:szCs w:val="24"/>
        </w:rPr>
        <w:tab/>
      </w:r>
      <w:r>
        <w:rPr>
          <w:sz w:val="24"/>
          <w:szCs w:val="24"/>
        </w:rPr>
        <w:fldChar w:fldCharType="begin"/>
      </w:r>
      <w:r>
        <w:rPr>
          <w:sz w:val="24"/>
          <w:szCs w:val="24"/>
        </w:rPr>
        <w:instrText xml:space="preserve"> PAGEREF _Toc16853 \h </w:instrText>
      </w:r>
      <w:r>
        <w:rPr>
          <w:sz w:val="24"/>
          <w:szCs w:val="24"/>
        </w:rPr>
        <w:fldChar w:fldCharType="separate"/>
      </w:r>
      <w:r>
        <w:rPr>
          <w:sz w:val="24"/>
          <w:szCs w:val="24"/>
        </w:rPr>
        <w:t>- 40 -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CF3935F">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_Toc1408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十、合同份数</w:t>
      </w:r>
      <w:r>
        <w:rPr>
          <w:sz w:val="24"/>
          <w:szCs w:val="24"/>
        </w:rPr>
        <w:tab/>
      </w:r>
      <w:r>
        <w:rPr>
          <w:sz w:val="24"/>
          <w:szCs w:val="24"/>
        </w:rPr>
        <w:fldChar w:fldCharType="begin"/>
      </w:r>
      <w:r>
        <w:rPr>
          <w:sz w:val="24"/>
          <w:szCs w:val="24"/>
        </w:rPr>
        <w:instrText xml:space="preserve"> PAGEREF _Toc1408 \h </w:instrText>
      </w:r>
      <w:r>
        <w:rPr>
          <w:sz w:val="24"/>
          <w:szCs w:val="24"/>
        </w:rPr>
        <w:fldChar w:fldCharType="separate"/>
      </w:r>
      <w:r>
        <w:rPr>
          <w:sz w:val="24"/>
          <w:szCs w:val="24"/>
        </w:rPr>
        <w:t>- 40 -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7DBE749">
      <w:pPr>
        <w:pStyle w:val="18"/>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_Toc30939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第四章 采购需求</w:t>
      </w:r>
      <w:r>
        <w:rPr>
          <w:sz w:val="24"/>
          <w:szCs w:val="24"/>
        </w:rPr>
        <w:tab/>
      </w:r>
      <w:r>
        <w:rPr>
          <w:sz w:val="24"/>
          <w:szCs w:val="24"/>
        </w:rPr>
        <w:fldChar w:fldCharType="begin"/>
      </w:r>
      <w:r>
        <w:rPr>
          <w:sz w:val="24"/>
          <w:szCs w:val="24"/>
        </w:rPr>
        <w:instrText xml:space="preserve"> PAGEREF _Toc30939 \h </w:instrText>
      </w:r>
      <w:r>
        <w:rPr>
          <w:sz w:val="24"/>
          <w:szCs w:val="24"/>
        </w:rPr>
        <w:fldChar w:fldCharType="separate"/>
      </w:r>
      <w:r>
        <w:rPr>
          <w:sz w:val="24"/>
          <w:szCs w:val="24"/>
        </w:rPr>
        <w:t>- 42 -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8EDF223">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_Toc24746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一、项目概况</w:t>
      </w:r>
      <w:r>
        <w:rPr>
          <w:sz w:val="24"/>
          <w:szCs w:val="24"/>
        </w:rPr>
        <w:tab/>
      </w:r>
      <w:r>
        <w:rPr>
          <w:sz w:val="24"/>
          <w:szCs w:val="24"/>
        </w:rPr>
        <w:fldChar w:fldCharType="begin"/>
      </w:r>
      <w:r>
        <w:rPr>
          <w:sz w:val="24"/>
          <w:szCs w:val="24"/>
        </w:rPr>
        <w:instrText xml:space="preserve"> PAGEREF _Toc24746 \h </w:instrText>
      </w:r>
      <w:r>
        <w:rPr>
          <w:sz w:val="24"/>
          <w:szCs w:val="24"/>
        </w:rPr>
        <w:fldChar w:fldCharType="separate"/>
      </w:r>
      <w:r>
        <w:rPr>
          <w:sz w:val="24"/>
          <w:szCs w:val="24"/>
        </w:rPr>
        <w:t>- 42 -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11D52DF">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_Toc11466 </w:instrText>
      </w:r>
      <w:r>
        <w:rPr>
          <w:rFonts w:hint="eastAsia" w:ascii="宋体" w:hAnsi="宋体" w:eastAsia="宋体" w:cs="宋体"/>
          <w:sz w:val="24"/>
          <w:szCs w:val="24"/>
        </w:rPr>
        <w:fldChar w:fldCharType="separate"/>
      </w:r>
      <w:r>
        <w:rPr>
          <w:rFonts w:hint="eastAsia" w:ascii="宋体" w:hAnsi="宋体" w:eastAsia="宋体" w:cs="宋体"/>
          <w:kern w:val="2"/>
          <w:sz w:val="24"/>
          <w:szCs w:val="24"/>
          <w:highlight w:val="none"/>
          <w:lang w:val="en-US" w:eastAsia="zh-CN" w:bidi="ar-SA"/>
        </w:rPr>
        <w:t>二、采购内容</w:t>
      </w:r>
      <w:r>
        <w:rPr>
          <w:sz w:val="24"/>
          <w:szCs w:val="24"/>
        </w:rPr>
        <w:tab/>
      </w:r>
      <w:r>
        <w:rPr>
          <w:sz w:val="24"/>
          <w:szCs w:val="24"/>
        </w:rPr>
        <w:fldChar w:fldCharType="begin"/>
      </w:r>
      <w:r>
        <w:rPr>
          <w:sz w:val="24"/>
          <w:szCs w:val="24"/>
        </w:rPr>
        <w:instrText xml:space="preserve"> PAGEREF _Toc11466 \h </w:instrText>
      </w:r>
      <w:r>
        <w:rPr>
          <w:sz w:val="24"/>
          <w:szCs w:val="24"/>
        </w:rPr>
        <w:fldChar w:fldCharType="separate"/>
      </w:r>
      <w:r>
        <w:rPr>
          <w:sz w:val="24"/>
          <w:szCs w:val="24"/>
        </w:rPr>
        <w:t>- 42 -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B481A3E">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_Toc8751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三、目标任务</w:t>
      </w:r>
      <w:r>
        <w:rPr>
          <w:sz w:val="24"/>
          <w:szCs w:val="24"/>
        </w:rPr>
        <w:tab/>
      </w:r>
      <w:r>
        <w:rPr>
          <w:sz w:val="24"/>
          <w:szCs w:val="24"/>
        </w:rPr>
        <w:fldChar w:fldCharType="begin"/>
      </w:r>
      <w:r>
        <w:rPr>
          <w:sz w:val="24"/>
          <w:szCs w:val="24"/>
        </w:rPr>
        <w:instrText xml:space="preserve"> PAGEREF _Toc8751 \h </w:instrText>
      </w:r>
      <w:r>
        <w:rPr>
          <w:sz w:val="24"/>
          <w:szCs w:val="24"/>
        </w:rPr>
        <w:fldChar w:fldCharType="separate"/>
      </w:r>
      <w:r>
        <w:rPr>
          <w:sz w:val="24"/>
          <w:szCs w:val="24"/>
        </w:rPr>
        <w:t>- 42 -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55CA72D">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_Toc18273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四、培育对象遴选标准</w:t>
      </w:r>
      <w:r>
        <w:rPr>
          <w:sz w:val="24"/>
          <w:szCs w:val="24"/>
        </w:rPr>
        <w:tab/>
      </w:r>
      <w:r>
        <w:rPr>
          <w:sz w:val="24"/>
          <w:szCs w:val="24"/>
        </w:rPr>
        <w:fldChar w:fldCharType="begin"/>
      </w:r>
      <w:r>
        <w:rPr>
          <w:sz w:val="24"/>
          <w:szCs w:val="24"/>
        </w:rPr>
        <w:instrText xml:space="preserve"> PAGEREF _Toc18273 \h </w:instrText>
      </w:r>
      <w:r>
        <w:rPr>
          <w:sz w:val="24"/>
          <w:szCs w:val="24"/>
        </w:rPr>
        <w:fldChar w:fldCharType="separate"/>
      </w:r>
      <w:r>
        <w:rPr>
          <w:sz w:val="24"/>
          <w:szCs w:val="24"/>
        </w:rPr>
        <w:t>- 42 -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A8A5C99">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_Toc20375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五、培育内容及课时</w:t>
      </w:r>
      <w:r>
        <w:rPr>
          <w:sz w:val="24"/>
          <w:szCs w:val="24"/>
        </w:rPr>
        <w:tab/>
      </w:r>
      <w:r>
        <w:rPr>
          <w:sz w:val="24"/>
          <w:szCs w:val="24"/>
        </w:rPr>
        <w:fldChar w:fldCharType="begin"/>
      </w:r>
      <w:r>
        <w:rPr>
          <w:sz w:val="24"/>
          <w:szCs w:val="24"/>
        </w:rPr>
        <w:instrText xml:space="preserve"> PAGEREF _Toc20375 \h </w:instrText>
      </w:r>
      <w:r>
        <w:rPr>
          <w:sz w:val="24"/>
          <w:szCs w:val="24"/>
        </w:rPr>
        <w:fldChar w:fldCharType="separate"/>
      </w:r>
      <w:r>
        <w:rPr>
          <w:sz w:val="24"/>
          <w:szCs w:val="24"/>
        </w:rPr>
        <w:t>- 43 -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B19CE59">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_Toc30656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六、培训方式</w:t>
      </w:r>
      <w:r>
        <w:rPr>
          <w:sz w:val="24"/>
          <w:szCs w:val="24"/>
        </w:rPr>
        <w:tab/>
      </w:r>
      <w:r>
        <w:rPr>
          <w:sz w:val="24"/>
          <w:szCs w:val="24"/>
        </w:rPr>
        <w:fldChar w:fldCharType="begin"/>
      </w:r>
      <w:r>
        <w:rPr>
          <w:sz w:val="24"/>
          <w:szCs w:val="24"/>
        </w:rPr>
        <w:instrText xml:space="preserve"> PAGEREF _Toc30656 \h </w:instrText>
      </w:r>
      <w:r>
        <w:rPr>
          <w:sz w:val="24"/>
          <w:szCs w:val="24"/>
        </w:rPr>
        <w:fldChar w:fldCharType="separate"/>
      </w:r>
      <w:r>
        <w:rPr>
          <w:sz w:val="24"/>
          <w:szCs w:val="24"/>
        </w:rPr>
        <w:t>- 45 -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8A395EE">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_Toc1109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七、课程要求</w:t>
      </w:r>
      <w:r>
        <w:rPr>
          <w:sz w:val="24"/>
          <w:szCs w:val="24"/>
        </w:rPr>
        <w:tab/>
      </w:r>
      <w:r>
        <w:rPr>
          <w:sz w:val="24"/>
          <w:szCs w:val="24"/>
        </w:rPr>
        <w:fldChar w:fldCharType="begin"/>
      </w:r>
      <w:r>
        <w:rPr>
          <w:sz w:val="24"/>
          <w:szCs w:val="24"/>
        </w:rPr>
        <w:instrText xml:space="preserve"> PAGEREF _Toc1109 \h </w:instrText>
      </w:r>
      <w:r>
        <w:rPr>
          <w:sz w:val="24"/>
          <w:szCs w:val="24"/>
        </w:rPr>
        <w:fldChar w:fldCharType="separate"/>
      </w:r>
      <w:r>
        <w:rPr>
          <w:sz w:val="24"/>
          <w:szCs w:val="24"/>
        </w:rPr>
        <w:t>- 45 -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3D7EAFB">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_Toc14619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八、培育师资</w:t>
      </w:r>
      <w:r>
        <w:rPr>
          <w:sz w:val="24"/>
          <w:szCs w:val="24"/>
        </w:rPr>
        <w:tab/>
      </w:r>
      <w:r>
        <w:rPr>
          <w:sz w:val="24"/>
          <w:szCs w:val="24"/>
        </w:rPr>
        <w:fldChar w:fldCharType="begin"/>
      </w:r>
      <w:r>
        <w:rPr>
          <w:sz w:val="24"/>
          <w:szCs w:val="24"/>
        </w:rPr>
        <w:instrText xml:space="preserve"> PAGEREF _Toc14619 \h </w:instrText>
      </w:r>
      <w:r>
        <w:rPr>
          <w:sz w:val="24"/>
          <w:szCs w:val="24"/>
        </w:rPr>
        <w:fldChar w:fldCharType="separate"/>
      </w:r>
      <w:r>
        <w:rPr>
          <w:sz w:val="24"/>
          <w:szCs w:val="24"/>
        </w:rPr>
        <w:t>- 45 -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6D5A092">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_Toc3627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九、培训教材</w:t>
      </w:r>
      <w:r>
        <w:rPr>
          <w:sz w:val="24"/>
          <w:szCs w:val="24"/>
        </w:rPr>
        <w:tab/>
      </w:r>
      <w:r>
        <w:rPr>
          <w:sz w:val="24"/>
          <w:szCs w:val="24"/>
        </w:rPr>
        <w:fldChar w:fldCharType="begin"/>
      </w:r>
      <w:r>
        <w:rPr>
          <w:sz w:val="24"/>
          <w:szCs w:val="24"/>
        </w:rPr>
        <w:instrText xml:space="preserve"> PAGEREF _Toc3627 \h </w:instrText>
      </w:r>
      <w:r>
        <w:rPr>
          <w:sz w:val="24"/>
          <w:szCs w:val="24"/>
        </w:rPr>
        <w:fldChar w:fldCharType="separate"/>
      </w:r>
      <w:r>
        <w:rPr>
          <w:sz w:val="24"/>
          <w:szCs w:val="24"/>
        </w:rPr>
        <w:t>- 45 -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3D7263B">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_Toc27646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十、培育管理</w:t>
      </w:r>
      <w:r>
        <w:rPr>
          <w:sz w:val="24"/>
          <w:szCs w:val="24"/>
        </w:rPr>
        <w:tab/>
      </w:r>
      <w:r>
        <w:rPr>
          <w:sz w:val="24"/>
          <w:szCs w:val="24"/>
        </w:rPr>
        <w:fldChar w:fldCharType="begin"/>
      </w:r>
      <w:r>
        <w:rPr>
          <w:sz w:val="24"/>
          <w:szCs w:val="24"/>
        </w:rPr>
        <w:instrText xml:space="preserve"> PAGEREF _Toc27646 \h </w:instrText>
      </w:r>
      <w:r>
        <w:rPr>
          <w:sz w:val="24"/>
          <w:szCs w:val="24"/>
        </w:rPr>
        <w:fldChar w:fldCharType="separate"/>
      </w:r>
      <w:r>
        <w:rPr>
          <w:sz w:val="24"/>
          <w:szCs w:val="24"/>
        </w:rPr>
        <w:t>- 45 -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0576695">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_Toc21994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十一、结业证书</w:t>
      </w:r>
      <w:r>
        <w:rPr>
          <w:sz w:val="24"/>
          <w:szCs w:val="24"/>
        </w:rPr>
        <w:tab/>
      </w:r>
      <w:r>
        <w:rPr>
          <w:sz w:val="24"/>
          <w:szCs w:val="24"/>
        </w:rPr>
        <w:fldChar w:fldCharType="begin"/>
      </w:r>
      <w:r>
        <w:rPr>
          <w:sz w:val="24"/>
          <w:szCs w:val="24"/>
        </w:rPr>
        <w:instrText xml:space="preserve"> PAGEREF _Toc21994 \h </w:instrText>
      </w:r>
      <w:r>
        <w:rPr>
          <w:sz w:val="24"/>
          <w:szCs w:val="24"/>
        </w:rPr>
        <w:fldChar w:fldCharType="separate"/>
      </w:r>
      <w:r>
        <w:rPr>
          <w:sz w:val="24"/>
          <w:szCs w:val="24"/>
        </w:rPr>
        <w:t>- 45 -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A12CAAB">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_Toc32425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十二、跟踪服务</w:t>
      </w:r>
      <w:r>
        <w:rPr>
          <w:sz w:val="24"/>
          <w:szCs w:val="24"/>
        </w:rPr>
        <w:tab/>
      </w:r>
      <w:r>
        <w:rPr>
          <w:sz w:val="24"/>
          <w:szCs w:val="24"/>
        </w:rPr>
        <w:fldChar w:fldCharType="begin"/>
      </w:r>
      <w:r>
        <w:rPr>
          <w:sz w:val="24"/>
          <w:szCs w:val="24"/>
        </w:rPr>
        <w:instrText xml:space="preserve"> PAGEREF _Toc32425 \h </w:instrText>
      </w:r>
      <w:r>
        <w:rPr>
          <w:sz w:val="24"/>
          <w:szCs w:val="24"/>
        </w:rPr>
        <w:fldChar w:fldCharType="separate"/>
      </w:r>
      <w:r>
        <w:rPr>
          <w:sz w:val="24"/>
          <w:szCs w:val="24"/>
        </w:rPr>
        <w:t>- 46 -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6F2749B">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_Toc16084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十三、培训服务费及付款方式：</w:t>
      </w:r>
      <w:r>
        <w:rPr>
          <w:sz w:val="24"/>
          <w:szCs w:val="24"/>
        </w:rPr>
        <w:tab/>
      </w:r>
      <w:r>
        <w:rPr>
          <w:sz w:val="24"/>
          <w:szCs w:val="24"/>
        </w:rPr>
        <w:fldChar w:fldCharType="begin"/>
      </w:r>
      <w:r>
        <w:rPr>
          <w:sz w:val="24"/>
          <w:szCs w:val="24"/>
        </w:rPr>
        <w:instrText xml:space="preserve"> PAGEREF _Toc16084 \h </w:instrText>
      </w:r>
      <w:r>
        <w:rPr>
          <w:sz w:val="24"/>
          <w:szCs w:val="24"/>
        </w:rPr>
        <w:fldChar w:fldCharType="separate"/>
      </w:r>
      <w:r>
        <w:rPr>
          <w:sz w:val="24"/>
          <w:szCs w:val="24"/>
        </w:rPr>
        <w:t>- 46 -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80CA29A">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_Toc17740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十四、其他要求及说明</w:t>
      </w:r>
      <w:r>
        <w:rPr>
          <w:sz w:val="24"/>
          <w:szCs w:val="24"/>
        </w:rPr>
        <w:tab/>
      </w:r>
      <w:r>
        <w:rPr>
          <w:sz w:val="24"/>
          <w:szCs w:val="24"/>
        </w:rPr>
        <w:fldChar w:fldCharType="begin"/>
      </w:r>
      <w:r>
        <w:rPr>
          <w:sz w:val="24"/>
          <w:szCs w:val="24"/>
        </w:rPr>
        <w:instrText xml:space="preserve"> PAGEREF _Toc17740 \h </w:instrText>
      </w:r>
      <w:r>
        <w:rPr>
          <w:sz w:val="24"/>
          <w:szCs w:val="24"/>
        </w:rPr>
        <w:fldChar w:fldCharType="separate"/>
      </w:r>
      <w:r>
        <w:rPr>
          <w:sz w:val="24"/>
          <w:szCs w:val="24"/>
        </w:rPr>
        <w:t>- 46 -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869657B">
      <w:pPr>
        <w:pStyle w:val="18"/>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_Toc14954 </w:instrText>
      </w:r>
      <w:r>
        <w:rPr>
          <w:rFonts w:hint="eastAsia" w:ascii="宋体" w:hAnsi="宋体" w:eastAsia="宋体" w:cs="宋体"/>
          <w:sz w:val="24"/>
          <w:szCs w:val="24"/>
        </w:rPr>
        <w:fldChar w:fldCharType="separate"/>
      </w:r>
      <w:r>
        <w:rPr>
          <w:rFonts w:hint="eastAsia" w:ascii="宋体" w:hAnsi="宋体" w:eastAsia="宋体" w:cs="宋体"/>
          <w:kern w:val="1"/>
          <w:sz w:val="24"/>
          <w:szCs w:val="24"/>
          <w:highlight w:val="none"/>
        </w:rPr>
        <w:t>第五章 响应文件组成</w:t>
      </w:r>
      <w:r>
        <w:rPr>
          <w:sz w:val="24"/>
          <w:szCs w:val="24"/>
        </w:rPr>
        <w:tab/>
      </w:r>
      <w:r>
        <w:rPr>
          <w:sz w:val="24"/>
          <w:szCs w:val="24"/>
        </w:rPr>
        <w:fldChar w:fldCharType="begin"/>
      </w:r>
      <w:r>
        <w:rPr>
          <w:sz w:val="24"/>
          <w:szCs w:val="24"/>
        </w:rPr>
        <w:instrText xml:space="preserve"> PAGEREF _Toc14954 \h </w:instrText>
      </w:r>
      <w:r>
        <w:rPr>
          <w:sz w:val="24"/>
          <w:szCs w:val="24"/>
        </w:rPr>
        <w:fldChar w:fldCharType="separate"/>
      </w:r>
      <w:r>
        <w:rPr>
          <w:sz w:val="24"/>
          <w:szCs w:val="24"/>
        </w:rPr>
        <w:t>- 55 -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A4F727C">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_Toc26927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一、磋商响应声明</w:t>
      </w:r>
      <w:r>
        <w:rPr>
          <w:sz w:val="24"/>
          <w:szCs w:val="24"/>
        </w:rPr>
        <w:tab/>
      </w:r>
      <w:r>
        <w:rPr>
          <w:sz w:val="24"/>
          <w:szCs w:val="24"/>
        </w:rPr>
        <w:fldChar w:fldCharType="begin"/>
      </w:r>
      <w:r>
        <w:rPr>
          <w:sz w:val="24"/>
          <w:szCs w:val="24"/>
        </w:rPr>
        <w:instrText xml:space="preserve"> PAGEREF _Toc26927 \h </w:instrText>
      </w:r>
      <w:r>
        <w:rPr>
          <w:sz w:val="24"/>
          <w:szCs w:val="24"/>
        </w:rPr>
        <w:fldChar w:fldCharType="separate"/>
      </w:r>
      <w:r>
        <w:rPr>
          <w:sz w:val="24"/>
          <w:szCs w:val="24"/>
        </w:rPr>
        <w:t>- 57 -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52A0959">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_Toc31608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（单位负责人）</w:t>
      </w:r>
      <w:r>
        <w:rPr>
          <w:rFonts w:hint="eastAsia" w:ascii="宋体" w:hAnsi="宋体" w:eastAsia="宋体" w:cs="宋体"/>
          <w:sz w:val="24"/>
          <w:szCs w:val="24"/>
          <w:highlight w:val="none"/>
        </w:rPr>
        <w:t>身份证明</w:t>
      </w:r>
      <w:r>
        <w:rPr>
          <w:sz w:val="24"/>
          <w:szCs w:val="24"/>
        </w:rPr>
        <w:tab/>
      </w:r>
      <w:r>
        <w:rPr>
          <w:sz w:val="24"/>
          <w:szCs w:val="24"/>
        </w:rPr>
        <w:fldChar w:fldCharType="begin"/>
      </w:r>
      <w:r>
        <w:rPr>
          <w:sz w:val="24"/>
          <w:szCs w:val="24"/>
        </w:rPr>
        <w:instrText xml:space="preserve"> PAGEREF _Toc31608 \h </w:instrText>
      </w:r>
      <w:r>
        <w:rPr>
          <w:sz w:val="24"/>
          <w:szCs w:val="24"/>
        </w:rPr>
        <w:fldChar w:fldCharType="separate"/>
      </w:r>
      <w:r>
        <w:rPr>
          <w:sz w:val="24"/>
          <w:szCs w:val="24"/>
        </w:rPr>
        <w:t>- 59 -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9C5DD2B">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_Toc19974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 xml:space="preserve"> 法定代表人（单位负责人）授权书</w:t>
      </w:r>
      <w:r>
        <w:rPr>
          <w:sz w:val="24"/>
          <w:szCs w:val="24"/>
        </w:rPr>
        <w:tab/>
      </w:r>
      <w:r>
        <w:rPr>
          <w:sz w:val="24"/>
          <w:szCs w:val="24"/>
        </w:rPr>
        <w:fldChar w:fldCharType="begin"/>
      </w:r>
      <w:r>
        <w:rPr>
          <w:sz w:val="24"/>
          <w:szCs w:val="24"/>
        </w:rPr>
        <w:instrText xml:space="preserve"> PAGEREF _Toc19974 \h </w:instrText>
      </w:r>
      <w:r>
        <w:rPr>
          <w:sz w:val="24"/>
          <w:szCs w:val="24"/>
        </w:rPr>
        <w:fldChar w:fldCharType="separate"/>
      </w:r>
      <w:r>
        <w:rPr>
          <w:sz w:val="24"/>
          <w:szCs w:val="24"/>
        </w:rPr>
        <w:t>- 60 -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05A3046">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_Toc19088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二、电子报价一览表</w:t>
      </w:r>
      <w:r>
        <w:rPr>
          <w:sz w:val="24"/>
          <w:szCs w:val="24"/>
        </w:rPr>
        <w:tab/>
      </w:r>
      <w:r>
        <w:rPr>
          <w:sz w:val="24"/>
          <w:szCs w:val="24"/>
        </w:rPr>
        <w:fldChar w:fldCharType="begin"/>
      </w:r>
      <w:r>
        <w:rPr>
          <w:sz w:val="24"/>
          <w:szCs w:val="24"/>
        </w:rPr>
        <w:instrText xml:space="preserve"> PAGEREF _Toc19088 \h </w:instrText>
      </w:r>
      <w:r>
        <w:rPr>
          <w:sz w:val="24"/>
          <w:szCs w:val="24"/>
        </w:rPr>
        <w:fldChar w:fldCharType="separate"/>
      </w:r>
      <w:r>
        <w:rPr>
          <w:sz w:val="24"/>
          <w:szCs w:val="24"/>
        </w:rPr>
        <w:t>- 61 -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41D4D71">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_Toc1797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三、供应商的资格证明材料</w:t>
      </w:r>
      <w:r>
        <w:rPr>
          <w:sz w:val="24"/>
          <w:szCs w:val="24"/>
        </w:rPr>
        <w:tab/>
      </w:r>
      <w:r>
        <w:rPr>
          <w:sz w:val="24"/>
          <w:szCs w:val="24"/>
        </w:rPr>
        <w:fldChar w:fldCharType="begin"/>
      </w:r>
      <w:r>
        <w:rPr>
          <w:sz w:val="24"/>
          <w:szCs w:val="24"/>
        </w:rPr>
        <w:instrText xml:space="preserve"> PAGEREF _Toc1797 \h </w:instrText>
      </w:r>
      <w:r>
        <w:rPr>
          <w:sz w:val="24"/>
          <w:szCs w:val="24"/>
        </w:rPr>
        <w:fldChar w:fldCharType="separate"/>
      </w:r>
      <w:r>
        <w:rPr>
          <w:sz w:val="24"/>
          <w:szCs w:val="24"/>
        </w:rPr>
        <w:t>- 62 -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203EB57">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_Toc20315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3-1 供应商基本情况表</w:t>
      </w:r>
      <w:r>
        <w:rPr>
          <w:sz w:val="24"/>
          <w:szCs w:val="24"/>
        </w:rPr>
        <w:tab/>
      </w:r>
      <w:r>
        <w:rPr>
          <w:sz w:val="24"/>
          <w:szCs w:val="24"/>
        </w:rPr>
        <w:fldChar w:fldCharType="begin"/>
      </w:r>
      <w:r>
        <w:rPr>
          <w:sz w:val="24"/>
          <w:szCs w:val="24"/>
        </w:rPr>
        <w:instrText xml:space="preserve"> PAGEREF _Toc20315 \h </w:instrText>
      </w:r>
      <w:r>
        <w:rPr>
          <w:sz w:val="24"/>
          <w:szCs w:val="24"/>
        </w:rPr>
        <w:fldChar w:fldCharType="separate"/>
      </w:r>
      <w:r>
        <w:rPr>
          <w:sz w:val="24"/>
          <w:szCs w:val="24"/>
        </w:rPr>
        <w:t>- 62 -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6A56A76">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_Toc366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 xml:space="preserve">3-2 </w:t>
      </w:r>
      <w:r>
        <w:rPr>
          <w:rFonts w:hint="eastAsia" w:ascii="宋体" w:hAnsi="宋体" w:eastAsia="宋体" w:cs="宋体"/>
          <w:bCs/>
          <w:spacing w:val="-20"/>
          <w:sz w:val="24"/>
          <w:szCs w:val="24"/>
          <w:highlight w:val="none"/>
          <w:lang w:val="en-US" w:eastAsia="zh-CN"/>
        </w:rPr>
        <w:t>法人或者其他组织的营业执照等主体资格证明文件，自然人的身份证明</w:t>
      </w:r>
      <w:r>
        <w:rPr>
          <w:sz w:val="24"/>
          <w:szCs w:val="24"/>
        </w:rPr>
        <w:tab/>
      </w:r>
      <w:r>
        <w:rPr>
          <w:sz w:val="24"/>
          <w:szCs w:val="24"/>
        </w:rPr>
        <w:fldChar w:fldCharType="begin"/>
      </w:r>
      <w:r>
        <w:rPr>
          <w:sz w:val="24"/>
          <w:szCs w:val="24"/>
        </w:rPr>
        <w:instrText xml:space="preserve"> PAGEREF _Toc366 \h </w:instrText>
      </w:r>
      <w:r>
        <w:rPr>
          <w:sz w:val="24"/>
          <w:szCs w:val="24"/>
        </w:rPr>
        <w:fldChar w:fldCharType="separate"/>
      </w:r>
      <w:r>
        <w:rPr>
          <w:sz w:val="24"/>
          <w:szCs w:val="24"/>
        </w:rPr>
        <w:t>- 63 -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E8A9186">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_Toc32097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附件3-3 湖南省政府采购供应商资格承诺函(格式)</w:t>
      </w:r>
      <w:r>
        <w:rPr>
          <w:sz w:val="24"/>
          <w:szCs w:val="24"/>
        </w:rPr>
        <w:tab/>
      </w:r>
      <w:r>
        <w:rPr>
          <w:sz w:val="24"/>
          <w:szCs w:val="24"/>
        </w:rPr>
        <w:fldChar w:fldCharType="begin"/>
      </w:r>
      <w:r>
        <w:rPr>
          <w:sz w:val="24"/>
          <w:szCs w:val="24"/>
        </w:rPr>
        <w:instrText xml:space="preserve"> PAGEREF _Toc32097 \h </w:instrText>
      </w:r>
      <w:r>
        <w:rPr>
          <w:sz w:val="24"/>
          <w:szCs w:val="24"/>
        </w:rPr>
        <w:fldChar w:fldCharType="separate"/>
      </w:r>
      <w:r>
        <w:rPr>
          <w:sz w:val="24"/>
          <w:szCs w:val="24"/>
        </w:rPr>
        <w:t>- 64 -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E781E3B">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_Toc30895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附件3-4供应商信用信息查询</w:t>
      </w:r>
      <w:r>
        <w:rPr>
          <w:sz w:val="24"/>
          <w:szCs w:val="24"/>
        </w:rPr>
        <w:tab/>
      </w:r>
      <w:r>
        <w:rPr>
          <w:sz w:val="24"/>
          <w:szCs w:val="24"/>
        </w:rPr>
        <w:fldChar w:fldCharType="begin"/>
      </w:r>
      <w:r>
        <w:rPr>
          <w:sz w:val="24"/>
          <w:szCs w:val="24"/>
        </w:rPr>
        <w:instrText xml:space="preserve"> PAGEREF _Toc30895 \h </w:instrText>
      </w:r>
      <w:r>
        <w:rPr>
          <w:sz w:val="24"/>
          <w:szCs w:val="24"/>
        </w:rPr>
        <w:fldChar w:fldCharType="separate"/>
      </w:r>
      <w:r>
        <w:rPr>
          <w:sz w:val="24"/>
          <w:szCs w:val="24"/>
        </w:rPr>
        <w:t>- 66 -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C7E0FFA">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_Toc2114 </w:instrText>
      </w:r>
      <w:r>
        <w:rPr>
          <w:rFonts w:hint="eastAsia" w:ascii="宋体" w:hAnsi="宋体" w:eastAsia="宋体" w:cs="宋体"/>
          <w:sz w:val="24"/>
          <w:szCs w:val="24"/>
        </w:rPr>
        <w:fldChar w:fldCharType="separate"/>
      </w:r>
      <w:r>
        <w:rPr>
          <w:rFonts w:hint="eastAsia" w:ascii="宋体" w:hAnsi="宋体" w:eastAsia="宋体" w:cs="宋体"/>
          <w:kern w:val="2"/>
          <w:sz w:val="24"/>
          <w:szCs w:val="24"/>
          <w:highlight w:val="none"/>
          <w:lang w:val="en-US" w:eastAsia="zh-CN" w:bidi="ar-SA"/>
        </w:rPr>
        <w:t>四、</w:t>
      </w:r>
      <w:r>
        <w:rPr>
          <w:rFonts w:hint="eastAsia" w:ascii="宋体" w:hAnsi="宋体" w:eastAsia="宋体" w:cs="宋体"/>
          <w:sz w:val="24"/>
          <w:szCs w:val="24"/>
          <w:highlight w:val="none"/>
          <w:lang w:val="en-US" w:eastAsia="zh-CN"/>
        </w:rPr>
        <w:t>项目负责人简历表</w:t>
      </w:r>
      <w:r>
        <w:rPr>
          <w:sz w:val="24"/>
          <w:szCs w:val="24"/>
        </w:rPr>
        <w:tab/>
      </w:r>
      <w:r>
        <w:rPr>
          <w:sz w:val="24"/>
          <w:szCs w:val="24"/>
        </w:rPr>
        <w:fldChar w:fldCharType="begin"/>
      </w:r>
      <w:r>
        <w:rPr>
          <w:sz w:val="24"/>
          <w:szCs w:val="24"/>
        </w:rPr>
        <w:instrText xml:space="preserve"> PAGEREF _Toc2114 \h </w:instrText>
      </w:r>
      <w:r>
        <w:rPr>
          <w:sz w:val="24"/>
          <w:szCs w:val="24"/>
        </w:rPr>
        <w:fldChar w:fldCharType="separate"/>
      </w:r>
      <w:r>
        <w:rPr>
          <w:sz w:val="24"/>
          <w:szCs w:val="24"/>
        </w:rPr>
        <w:t>- 67 -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9F454D3">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_Toc10310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五、技术或商务响应偏离表</w:t>
      </w:r>
      <w:r>
        <w:rPr>
          <w:sz w:val="24"/>
          <w:szCs w:val="24"/>
        </w:rPr>
        <w:tab/>
      </w:r>
      <w:r>
        <w:rPr>
          <w:sz w:val="24"/>
          <w:szCs w:val="24"/>
        </w:rPr>
        <w:fldChar w:fldCharType="begin"/>
      </w:r>
      <w:r>
        <w:rPr>
          <w:sz w:val="24"/>
          <w:szCs w:val="24"/>
        </w:rPr>
        <w:instrText xml:space="preserve"> PAGEREF _Toc10310 \h </w:instrText>
      </w:r>
      <w:r>
        <w:rPr>
          <w:sz w:val="24"/>
          <w:szCs w:val="24"/>
        </w:rPr>
        <w:fldChar w:fldCharType="separate"/>
      </w:r>
      <w:r>
        <w:rPr>
          <w:sz w:val="24"/>
          <w:szCs w:val="24"/>
        </w:rPr>
        <w:t>- 68 -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2A8572E">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_Toc8813 </w:instrText>
      </w:r>
      <w:r>
        <w:rPr>
          <w:rFonts w:hint="eastAsia" w:ascii="宋体" w:hAnsi="宋体" w:eastAsia="宋体" w:cs="宋体"/>
          <w:sz w:val="24"/>
          <w:szCs w:val="24"/>
        </w:rPr>
        <w:fldChar w:fldCharType="separate"/>
      </w:r>
      <w:r>
        <w:rPr>
          <w:rFonts w:hint="eastAsia" w:ascii="宋体" w:hAnsi="宋体" w:eastAsia="宋体" w:cs="宋体"/>
          <w:kern w:val="2"/>
          <w:sz w:val="24"/>
          <w:szCs w:val="24"/>
          <w:highlight w:val="none"/>
          <w:lang w:val="en-US" w:eastAsia="zh-CN" w:bidi="ar-SA"/>
        </w:rPr>
        <w:t>六、</w:t>
      </w:r>
      <w:r>
        <w:rPr>
          <w:rFonts w:hint="eastAsia" w:ascii="宋体" w:hAnsi="宋体" w:eastAsia="宋体" w:cs="宋体"/>
          <w:bCs/>
          <w:kern w:val="0"/>
          <w:sz w:val="24"/>
          <w:szCs w:val="24"/>
          <w:highlight w:val="none"/>
          <w:lang w:val="en-US" w:eastAsia="zh-CN" w:bidi="ar"/>
        </w:rPr>
        <w:t>享受政府采购政策优惠的证明资料</w:t>
      </w:r>
      <w:r>
        <w:rPr>
          <w:sz w:val="24"/>
          <w:szCs w:val="24"/>
        </w:rPr>
        <w:tab/>
      </w:r>
      <w:r>
        <w:rPr>
          <w:sz w:val="24"/>
          <w:szCs w:val="24"/>
        </w:rPr>
        <w:fldChar w:fldCharType="begin"/>
      </w:r>
      <w:r>
        <w:rPr>
          <w:sz w:val="24"/>
          <w:szCs w:val="24"/>
        </w:rPr>
        <w:instrText xml:space="preserve"> PAGEREF _Toc8813 \h </w:instrText>
      </w:r>
      <w:r>
        <w:rPr>
          <w:sz w:val="24"/>
          <w:szCs w:val="24"/>
        </w:rPr>
        <w:fldChar w:fldCharType="separate"/>
      </w:r>
      <w:r>
        <w:rPr>
          <w:sz w:val="24"/>
          <w:szCs w:val="24"/>
        </w:rPr>
        <w:t>- 69 -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06ECD41">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_Toc4623 </w:instrText>
      </w:r>
      <w:r>
        <w:rPr>
          <w:rFonts w:hint="eastAsia" w:ascii="宋体" w:hAnsi="宋体" w:eastAsia="宋体" w:cs="宋体"/>
          <w:sz w:val="24"/>
          <w:szCs w:val="24"/>
        </w:rPr>
        <w:fldChar w:fldCharType="separate"/>
      </w:r>
      <w:r>
        <w:rPr>
          <w:rFonts w:hint="eastAsia" w:ascii="宋体" w:hAnsi="宋体" w:eastAsia="宋体" w:cs="宋体"/>
          <w:bCs/>
          <w:kern w:val="2"/>
          <w:sz w:val="24"/>
          <w:szCs w:val="24"/>
          <w:highlight w:val="none"/>
          <w:lang w:val="en-US" w:eastAsia="zh-CN" w:bidi="ar-SA"/>
        </w:rPr>
        <w:t xml:space="preserve">附件6-1 中小企业声明函 </w:t>
      </w:r>
      <w:r>
        <w:rPr>
          <w:rFonts w:hint="eastAsia" w:ascii="宋体" w:hAnsi="宋体" w:eastAsia="宋体" w:cs="宋体"/>
          <w:bCs/>
          <w:kern w:val="0"/>
          <w:sz w:val="24"/>
          <w:szCs w:val="24"/>
          <w:highlight w:val="none"/>
        </w:rPr>
        <w:t> </w:t>
      </w:r>
      <w:r>
        <w:rPr>
          <w:sz w:val="24"/>
          <w:szCs w:val="24"/>
        </w:rPr>
        <w:tab/>
      </w:r>
      <w:r>
        <w:rPr>
          <w:sz w:val="24"/>
          <w:szCs w:val="24"/>
        </w:rPr>
        <w:fldChar w:fldCharType="begin"/>
      </w:r>
      <w:r>
        <w:rPr>
          <w:sz w:val="24"/>
          <w:szCs w:val="24"/>
        </w:rPr>
        <w:instrText xml:space="preserve"> PAGEREF _Toc4623 \h </w:instrText>
      </w:r>
      <w:r>
        <w:rPr>
          <w:sz w:val="24"/>
          <w:szCs w:val="24"/>
        </w:rPr>
        <w:fldChar w:fldCharType="separate"/>
      </w:r>
      <w:r>
        <w:rPr>
          <w:sz w:val="24"/>
          <w:szCs w:val="24"/>
        </w:rPr>
        <w:t>- 69 -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6800C05">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_Toc8921 </w:instrText>
      </w:r>
      <w:r>
        <w:rPr>
          <w:rFonts w:hint="eastAsia" w:ascii="宋体" w:hAnsi="宋体" w:eastAsia="宋体" w:cs="宋体"/>
          <w:sz w:val="24"/>
          <w:szCs w:val="24"/>
        </w:rPr>
        <w:fldChar w:fldCharType="separate"/>
      </w:r>
      <w:r>
        <w:rPr>
          <w:rFonts w:hint="eastAsia" w:ascii="宋体" w:hAnsi="宋体" w:eastAsia="宋体" w:cs="宋体"/>
          <w:bCs/>
          <w:spacing w:val="1"/>
          <w:sz w:val="24"/>
          <w:szCs w:val="24"/>
        </w:rPr>
        <w:t>附件</w:t>
      </w:r>
      <w:r>
        <w:rPr>
          <w:rFonts w:hint="eastAsia" w:ascii="宋体" w:hAnsi="宋体" w:eastAsia="宋体" w:cs="宋体"/>
          <w:bCs/>
          <w:spacing w:val="1"/>
          <w:sz w:val="24"/>
          <w:szCs w:val="24"/>
          <w:lang w:val="en-US" w:eastAsia="zh-CN"/>
        </w:rPr>
        <w:t>6</w:t>
      </w:r>
      <w:r>
        <w:rPr>
          <w:rFonts w:hint="eastAsia" w:ascii="宋体" w:hAnsi="宋体" w:eastAsia="宋体" w:cs="宋体"/>
          <w:bCs/>
          <w:spacing w:val="1"/>
          <w:sz w:val="24"/>
          <w:szCs w:val="24"/>
        </w:rPr>
        <w:t>-2</w:t>
      </w:r>
      <w:r>
        <w:rPr>
          <w:rFonts w:hint="eastAsia" w:ascii="宋体" w:hAnsi="宋体" w:eastAsia="宋体" w:cs="宋体"/>
          <w:spacing w:val="1"/>
          <w:sz w:val="24"/>
          <w:szCs w:val="24"/>
        </w:rPr>
        <w:t xml:space="preserve"> </w:t>
      </w:r>
      <w:r>
        <w:rPr>
          <w:rFonts w:hint="eastAsia" w:ascii="宋体" w:hAnsi="宋体" w:eastAsia="宋体" w:cs="宋体"/>
          <w:bCs/>
          <w:spacing w:val="1"/>
          <w:sz w:val="24"/>
          <w:szCs w:val="24"/>
        </w:rPr>
        <w:t>监狱企业证明资料</w:t>
      </w:r>
      <w:r>
        <w:rPr>
          <w:sz w:val="24"/>
          <w:szCs w:val="24"/>
        </w:rPr>
        <w:tab/>
      </w:r>
      <w:r>
        <w:rPr>
          <w:sz w:val="24"/>
          <w:szCs w:val="24"/>
        </w:rPr>
        <w:fldChar w:fldCharType="begin"/>
      </w:r>
      <w:r>
        <w:rPr>
          <w:sz w:val="24"/>
          <w:szCs w:val="24"/>
        </w:rPr>
        <w:instrText xml:space="preserve"> PAGEREF _Toc8921 \h </w:instrText>
      </w:r>
      <w:r>
        <w:rPr>
          <w:sz w:val="24"/>
          <w:szCs w:val="24"/>
        </w:rPr>
        <w:fldChar w:fldCharType="separate"/>
      </w:r>
      <w:r>
        <w:rPr>
          <w:sz w:val="24"/>
          <w:szCs w:val="24"/>
        </w:rPr>
        <w:t>- 70 -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B8B40DB">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_Toc9119 </w:instrText>
      </w:r>
      <w:r>
        <w:rPr>
          <w:rFonts w:hint="eastAsia" w:ascii="宋体" w:hAnsi="宋体" w:eastAsia="宋体" w:cs="宋体"/>
          <w:sz w:val="24"/>
          <w:szCs w:val="24"/>
        </w:rPr>
        <w:fldChar w:fldCharType="separate"/>
      </w:r>
      <w:r>
        <w:rPr>
          <w:rFonts w:hint="eastAsia" w:ascii="宋体" w:hAnsi="宋体" w:eastAsia="宋体" w:cs="宋体"/>
          <w:bCs/>
          <w:sz w:val="24"/>
          <w:szCs w:val="24"/>
        </w:rPr>
        <w:t>附件</w:t>
      </w:r>
      <w:r>
        <w:rPr>
          <w:rFonts w:hint="eastAsia" w:ascii="宋体" w:hAnsi="宋体" w:eastAsia="宋体" w:cs="宋体"/>
          <w:bCs/>
          <w:sz w:val="24"/>
          <w:szCs w:val="24"/>
          <w:lang w:val="en-US" w:eastAsia="zh-CN"/>
        </w:rPr>
        <w:t>6</w:t>
      </w:r>
      <w:r>
        <w:rPr>
          <w:rFonts w:hint="eastAsia" w:ascii="宋体" w:hAnsi="宋体" w:eastAsia="宋体" w:cs="宋体"/>
          <w:bCs/>
          <w:sz w:val="24"/>
          <w:szCs w:val="24"/>
        </w:rPr>
        <w:t>-3</w:t>
      </w:r>
      <w:r>
        <w:rPr>
          <w:rFonts w:hint="eastAsia" w:ascii="宋体" w:hAnsi="宋体" w:eastAsia="宋体" w:cs="宋体"/>
          <w:sz w:val="24"/>
          <w:szCs w:val="24"/>
        </w:rPr>
        <w:t xml:space="preserve"> </w:t>
      </w:r>
      <w:r>
        <w:rPr>
          <w:rFonts w:hint="eastAsia" w:ascii="宋体" w:hAnsi="宋体" w:eastAsia="宋体" w:cs="宋体"/>
          <w:bCs/>
          <w:sz w:val="24"/>
          <w:szCs w:val="24"/>
        </w:rPr>
        <w:t>残疾人福利性单位声明函</w:t>
      </w:r>
      <w:r>
        <w:rPr>
          <w:sz w:val="24"/>
          <w:szCs w:val="24"/>
        </w:rPr>
        <w:tab/>
      </w:r>
      <w:r>
        <w:rPr>
          <w:sz w:val="24"/>
          <w:szCs w:val="24"/>
        </w:rPr>
        <w:fldChar w:fldCharType="begin"/>
      </w:r>
      <w:r>
        <w:rPr>
          <w:sz w:val="24"/>
          <w:szCs w:val="24"/>
        </w:rPr>
        <w:instrText xml:space="preserve"> PAGEREF _Toc9119 \h </w:instrText>
      </w:r>
      <w:r>
        <w:rPr>
          <w:sz w:val="24"/>
          <w:szCs w:val="24"/>
        </w:rPr>
        <w:fldChar w:fldCharType="separate"/>
      </w:r>
      <w:r>
        <w:rPr>
          <w:sz w:val="24"/>
          <w:szCs w:val="24"/>
        </w:rPr>
        <w:t>- 71 -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4E2671A">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_Toc20818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七</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首次报价</w:t>
      </w:r>
      <w:r>
        <w:rPr>
          <w:rFonts w:hint="eastAsia" w:ascii="宋体" w:hAnsi="宋体" w:eastAsia="宋体" w:cs="宋体"/>
          <w:bCs/>
          <w:sz w:val="24"/>
          <w:szCs w:val="24"/>
          <w:highlight w:val="none"/>
        </w:rPr>
        <w:t>表及</w:t>
      </w:r>
      <w:r>
        <w:rPr>
          <w:rFonts w:hint="eastAsia" w:ascii="宋体" w:hAnsi="宋体" w:eastAsia="宋体" w:cs="宋体"/>
          <w:bCs/>
          <w:sz w:val="24"/>
          <w:szCs w:val="24"/>
          <w:highlight w:val="none"/>
          <w:lang w:val="en-US" w:eastAsia="zh-CN"/>
        </w:rPr>
        <w:t>分项价格表</w:t>
      </w:r>
      <w:r>
        <w:rPr>
          <w:sz w:val="24"/>
          <w:szCs w:val="24"/>
        </w:rPr>
        <w:tab/>
      </w:r>
      <w:r>
        <w:rPr>
          <w:sz w:val="24"/>
          <w:szCs w:val="24"/>
        </w:rPr>
        <w:fldChar w:fldCharType="begin"/>
      </w:r>
      <w:r>
        <w:rPr>
          <w:sz w:val="24"/>
          <w:szCs w:val="24"/>
        </w:rPr>
        <w:instrText xml:space="preserve"> PAGEREF _Toc20818 \h </w:instrText>
      </w:r>
      <w:r>
        <w:rPr>
          <w:sz w:val="24"/>
          <w:szCs w:val="24"/>
        </w:rPr>
        <w:fldChar w:fldCharType="separate"/>
      </w:r>
      <w:r>
        <w:rPr>
          <w:sz w:val="24"/>
          <w:szCs w:val="24"/>
        </w:rPr>
        <w:t>- 72 -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6DC8DC4">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_Toc7129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附件7-1 首次报价表</w:t>
      </w:r>
      <w:r>
        <w:rPr>
          <w:sz w:val="24"/>
          <w:szCs w:val="24"/>
        </w:rPr>
        <w:tab/>
      </w:r>
      <w:r>
        <w:rPr>
          <w:sz w:val="24"/>
          <w:szCs w:val="24"/>
        </w:rPr>
        <w:fldChar w:fldCharType="begin"/>
      </w:r>
      <w:r>
        <w:rPr>
          <w:sz w:val="24"/>
          <w:szCs w:val="24"/>
        </w:rPr>
        <w:instrText xml:space="preserve"> PAGEREF _Toc7129 \h </w:instrText>
      </w:r>
      <w:r>
        <w:rPr>
          <w:sz w:val="24"/>
          <w:szCs w:val="24"/>
        </w:rPr>
        <w:fldChar w:fldCharType="separate"/>
      </w:r>
      <w:r>
        <w:rPr>
          <w:sz w:val="24"/>
          <w:szCs w:val="24"/>
        </w:rPr>
        <w:t>- 72 -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54E1F2A">
      <w:pPr>
        <w:pStyle w:val="14"/>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_Toc22098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附件7-2 分项价格表</w:t>
      </w:r>
      <w:r>
        <w:rPr>
          <w:sz w:val="24"/>
          <w:szCs w:val="24"/>
        </w:rPr>
        <w:tab/>
      </w:r>
      <w:r>
        <w:rPr>
          <w:sz w:val="24"/>
          <w:szCs w:val="24"/>
        </w:rPr>
        <w:fldChar w:fldCharType="begin"/>
      </w:r>
      <w:r>
        <w:rPr>
          <w:sz w:val="24"/>
          <w:szCs w:val="24"/>
        </w:rPr>
        <w:instrText xml:space="preserve"> PAGEREF _Toc22098 \h </w:instrText>
      </w:r>
      <w:r>
        <w:rPr>
          <w:sz w:val="24"/>
          <w:szCs w:val="24"/>
        </w:rPr>
        <w:fldChar w:fldCharType="separate"/>
      </w:r>
      <w:r>
        <w:rPr>
          <w:sz w:val="24"/>
          <w:szCs w:val="24"/>
        </w:rPr>
        <w:t>- 73 -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DCC752B">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_Toc23020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八、供应商包号选择书面确认函</w:t>
      </w:r>
      <w:r>
        <w:rPr>
          <w:sz w:val="24"/>
          <w:szCs w:val="24"/>
        </w:rPr>
        <w:tab/>
      </w:r>
      <w:r>
        <w:rPr>
          <w:sz w:val="24"/>
          <w:szCs w:val="24"/>
        </w:rPr>
        <w:fldChar w:fldCharType="begin"/>
      </w:r>
      <w:r>
        <w:rPr>
          <w:sz w:val="24"/>
          <w:szCs w:val="24"/>
        </w:rPr>
        <w:instrText xml:space="preserve"> PAGEREF _Toc23020 \h </w:instrText>
      </w:r>
      <w:r>
        <w:rPr>
          <w:sz w:val="24"/>
          <w:szCs w:val="24"/>
        </w:rPr>
        <w:fldChar w:fldCharType="separate"/>
      </w:r>
      <w:r>
        <w:rPr>
          <w:sz w:val="24"/>
          <w:szCs w:val="24"/>
        </w:rPr>
        <w:t>- 74 -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864FEDE">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_Toc29313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九、</w:t>
      </w:r>
      <w:r>
        <w:rPr>
          <w:rFonts w:hint="eastAsia" w:ascii="宋体" w:hAnsi="宋体" w:eastAsia="宋体" w:cs="宋体"/>
          <w:bCs/>
          <w:sz w:val="24"/>
          <w:szCs w:val="24"/>
          <w:highlight w:val="none"/>
        </w:rPr>
        <w:t>供应商认为需要提供的其它资料</w:t>
      </w:r>
      <w:r>
        <w:rPr>
          <w:sz w:val="24"/>
          <w:szCs w:val="24"/>
        </w:rPr>
        <w:tab/>
      </w:r>
      <w:r>
        <w:rPr>
          <w:sz w:val="24"/>
          <w:szCs w:val="24"/>
        </w:rPr>
        <w:fldChar w:fldCharType="begin"/>
      </w:r>
      <w:r>
        <w:rPr>
          <w:sz w:val="24"/>
          <w:szCs w:val="24"/>
        </w:rPr>
        <w:instrText xml:space="preserve"> PAGEREF _Toc29313 \h </w:instrText>
      </w:r>
      <w:r>
        <w:rPr>
          <w:sz w:val="24"/>
          <w:szCs w:val="24"/>
        </w:rPr>
        <w:fldChar w:fldCharType="separate"/>
      </w:r>
      <w:r>
        <w:rPr>
          <w:sz w:val="24"/>
          <w:szCs w:val="24"/>
        </w:rPr>
        <w:t>- 75 -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6524C47">
      <w:pPr>
        <w:pStyle w:val="20"/>
        <w:tabs>
          <w:tab w:val="right" w:leader="dot" w:pos="9298"/>
        </w:tabs>
        <w:spacing w:line="360" w:lineRule="auto"/>
        <w:rPr>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_Toc18760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十、</w:t>
      </w:r>
      <w:r>
        <w:rPr>
          <w:rFonts w:hint="eastAsia" w:ascii="宋体" w:hAnsi="宋体" w:eastAsia="宋体" w:cs="宋体"/>
          <w:bCs/>
          <w:sz w:val="24"/>
          <w:szCs w:val="24"/>
          <w:highlight w:val="none"/>
        </w:rPr>
        <w:t>最后报价</w:t>
      </w:r>
      <w:r>
        <w:rPr>
          <w:sz w:val="24"/>
          <w:szCs w:val="24"/>
        </w:rPr>
        <w:tab/>
      </w:r>
      <w:r>
        <w:rPr>
          <w:sz w:val="24"/>
          <w:szCs w:val="24"/>
        </w:rPr>
        <w:fldChar w:fldCharType="begin"/>
      </w:r>
      <w:r>
        <w:rPr>
          <w:sz w:val="24"/>
          <w:szCs w:val="24"/>
        </w:rPr>
        <w:instrText xml:space="preserve"> PAGEREF _Toc18760 \h </w:instrText>
      </w:r>
      <w:r>
        <w:rPr>
          <w:sz w:val="24"/>
          <w:szCs w:val="24"/>
        </w:rPr>
        <w:fldChar w:fldCharType="separate"/>
      </w:r>
      <w:r>
        <w:rPr>
          <w:sz w:val="24"/>
          <w:szCs w:val="24"/>
        </w:rPr>
        <w:t>- 76 -</w:t>
      </w:r>
      <w:r>
        <w:rPr>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5221D23">
      <w:pPr>
        <w:pStyle w:val="11"/>
        <w:spacing w:after="0" w:line="360" w:lineRule="auto"/>
        <w:rPr>
          <w:rFonts w:hint="eastAsia" w:ascii="宋体" w:hAnsi="宋体" w:eastAsia="宋体" w:cs="宋体"/>
          <w:b/>
          <w:color w:val="000000" w:themeColor="text1"/>
          <w:kern w:val="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b/>
          <w:color w:val="000000" w:themeColor="text1"/>
          <w:kern w:val="1"/>
          <w:sz w:val="24"/>
          <w:szCs w:val="24"/>
          <w14:textFill>
            <w14:solidFill>
              <w14:schemeClr w14:val="tx1"/>
            </w14:solidFill>
          </w14:textFill>
        </w:rPr>
        <w:br w:type="page"/>
      </w:r>
    </w:p>
    <w:p w14:paraId="70F1390A">
      <w:pPr>
        <w:spacing w:line="360" w:lineRule="exact"/>
        <w:jc w:val="center"/>
        <w:outlineLvl w:val="0"/>
        <w:rPr>
          <w:rFonts w:hint="eastAsia" w:ascii="宋体" w:hAnsi="宋体" w:eastAsia="宋体" w:cs="宋体"/>
          <w:b/>
          <w:color w:val="000000" w:themeColor="text1"/>
          <w:kern w:val="1"/>
          <w:sz w:val="32"/>
          <w:szCs w:val="32"/>
          <w14:textFill>
            <w14:solidFill>
              <w14:schemeClr w14:val="tx1"/>
            </w14:solidFill>
          </w14:textFill>
        </w:rPr>
      </w:pPr>
      <w:bookmarkStart w:id="0" w:name="_Toc13323"/>
      <w:r>
        <w:rPr>
          <w:rFonts w:hint="eastAsia" w:ascii="宋体" w:hAnsi="宋体" w:eastAsia="宋体" w:cs="宋体"/>
          <w:b/>
          <w:color w:val="000000" w:themeColor="text1"/>
          <w:kern w:val="1"/>
          <w:sz w:val="32"/>
          <w:szCs w:val="32"/>
          <w14:textFill>
            <w14:solidFill>
              <w14:schemeClr w14:val="tx1"/>
            </w14:solidFill>
          </w14:textFill>
        </w:rPr>
        <w:t>第一章 磋商邀请</w:t>
      </w:r>
      <w:bookmarkEnd w:id="0"/>
    </w:p>
    <w:p w14:paraId="55229C66">
      <w:pPr>
        <w:widowControl/>
        <w:kinsoku w:val="0"/>
        <w:autoSpaceDE w:val="0"/>
        <w:autoSpaceDN w:val="0"/>
        <w:adjustRightInd w:val="0"/>
        <w:snapToGrid w:val="0"/>
        <w:spacing w:line="360" w:lineRule="auto"/>
        <w:textAlignment w:val="baseline"/>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项目概况：</w:t>
      </w:r>
    </w:p>
    <w:p w14:paraId="7C3844E5">
      <w:pPr>
        <w:pBdr>
          <w:top w:val="single" w:color="auto" w:sz="4" w:space="1"/>
          <w:left w:val="single" w:color="auto" w:sz="4" w:space="4"/>
          <w:bottom w:val="single" w:color="auto" w:sz="4" w:space="1"/>
          <w:right w:val="single" w:color="auto" w:sz="4" w:space="4"/>
        </w:pBd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花垣县2026年高素质农民培育服务采购项目</w:t>
      </w:r>
      <w:r>
        <w:rPr>
          <w:rFonts w:hint="eastAsia" w:ascii="宋体" w:hAnsi="宋体" w:eastAsia="宋体" w:cs="宋体"/>
          <w:color w:val="000000" w:themeColor="text1"/>
          <w:sz w:val="24"/>
          <w14:textFill>
            <w14:solidFill>
              <w14:schemeClr w14:val="tx1"/>
            </w14:solidFill>
          </w14:textFill>
        </w:rPr>
        <w:t>的潜在供应商应在《中国湖南政府采购网》（http://www.ccgp-hunan.gov.cn/）或《湘西公共资源交易网》（http://ggzyjy.xxz.gov.cn）获取电子招标文件，并于</w:t>
      </w:r>
      <w:r>
        <w:rPr>
          <w:rFonts w:hint="eastAsia" w:ascii="宋体" w:hAnsi="宋体" w:eastAsia="宋体" w:cs="宋体"/>
          <w:color w:val="000000" w:themeColor="text1"/>
          <w:sz w:val="24"/>
          <w:highlight w:val="non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lang w:val="en-US" w:eastAsia="zh-CN"/>
          <w14:textFill>
            <w14:solidFill>
              <w14:schemeClr w14:val="tx1"/>
            </w14:solidFill>
          </w14:textFill>
        </w:rPr>
        <w:t>9</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lang w:val="en-US" w:eastAsia="zh-CN"/>
          <w14:textFill>
            <w14:solidFill>
              <w14:schemeClr w14:val="tx1"/>
            </w14:solidFill>
          </w14:textFill>
        </w:rPr>
        <w:t>29</w:t>
      </w:r>
      <w:r>
        <w:rPr>
          <w:rFonts w:hint="eastAsia" w:ascii="宋体" w:hAnsi="宋体" w:eastAsia="宋体" w:cs="宋体"/>
          <w:color w:val="000000" w:themeColor="text1"/>
          <w:sz w:val="24"/>
          <w:highlight w:val="none"/>
          <w14:textFill>
            <w14:solidFill>
              <w14:schemeClr w14:val="tx1"/>
            </w14:solidFill>
          </w14:textFill>
        </w:rPr>
        <w:t>日09时00分（北京时间）前登录湘西公共资源交易网</w:t>
      </w:r>
      <w:r>
        <w:rPr>
          <w:rFonts w:hint="eastAsia" w:ascii="宋体" w:hAnsi="宋体" w:eastAsia="宋体" w:cs="宋体"/>
          <w:b/>
          <w:bCs/>
          <w:color w:val="000000" w:themeColor="text1"/>
          <w:sz w:val="24"/>
          <w:highlight w:val="none"/>
          <w14:textFill>
            <w14:solidFill>
              <w14:schemeClr w14:val="tx1"/>
            </w14:solidFill>
          </w14:textFill>
        </w:rPr>
        <w:t>上传电子响应文件</w:t>
      </w:r>
      <w:r>
        <w:rPr>
          <w:rFonts w:hint="eastAsia" w:ascii="宋体" w:hAnsi="宋体" w:eastAsia="宋体" w:cs="宋体"/>
          <w:color w:val="000000" w:themeColor="text1"/>
          <w:sz w:val="24"/>
          <w:highlight w:val="none"/>
          <w14:textFill>
            <w14:solidFill>
              <w14:schemeClr w14:val="tx1"/>
            </w14:solidFill>
          </w14:textFill>
        </w:rPr>
        <w:t>。</w:t>
      </w:r>
    </w:p>
    <w:p w14:paraId="19F3FEA2">
      <w:pPr>
        <w:pStyle w:val="3"/>
        <w:rPr>
          <w:rFonts w:hint="eastAsia" w:ascii="宋体" w:hAnsi="宋体" w:eastAsia="宋体" w:cs="宋体"/>
          <w:bCs w:val="0"/>
          <w:color w:val="000000" w:themeColor="text1"/>
          <w:szCs w:val="24"/>
          <w14:textFill>
            <w14:solidFill>
              <w14:schemeClr w14:val="tx1"/>
            </w14:solidFill>
          </w14:textFill>
        </w:rPr>
      </w:pPr>
      <w:bookmarkStart w:id="1" w:name="_Toc20837"/>
      <w:r>
        <w:rPr>
          <w:rFonts w:hint="eastAsia" w:ascii="宋体" w:hAnsi="宋体" w:eastAsia="宋体" w:cs="宋体"/>
          <w:bCs w:val="0"/>
          <w:color w:val="000000" w:themeColor="text1"/>
          <w:szCs w:val="24"/>
          <w14:textFill>
            <w14:solidFill>
              <w14:schemeClr w14:val="tx1"/>
            </w14:solidFill>
          </w14:textFill>
        </w:rPr>
        <w:t>一、采购项目基本情况</w:t>
      </w:r>
      <w:bookmarkEnd w:id="1"/>
    </w:p>
    <w:p w14:paraId="3AE67D42">
      <w:pPr>
        <w:adjustRightInd w:val="0"/>
        <w:snapToGrid w:val="0"/>
        <w:spacing w:line="360" w:lineRule="auto"/>
        <w:ind w:firstLine="480" w:firstLineChars="2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1、采购项目名称：</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eastAsia="zh-CN"/>
          <w14:textFill>
            <w14:solidFill>
              <w14:schemeClr w14:val="tx1"/>
            </w14:solidFill>
          </w14:textFill>
        </w:rPr>
        <w:t>花垣县2026年高素质农民培育服务采购项目</w:t>
      </w:r>
      <w:r>
        <w:rPr>
          <w:rFonts w:hint="eastAsia" w:ascii="宋体" w:hAnsi="宋体" w:eastAsia="宋体" w:cs="宋体"/>
          <w:color w:val="000000" w:themeColor="text1"/>
          <w:sz w:val="24"/>
          <w:u w:val="single"/>
          <w14:textFill>
            <w14:solidFill>
              <w14:schemeClr w14:val="tx1"/>
            </w14:solidFill>
          </w14:textFill>
        </w:rPr>
        <w:t xml:space="preserve"> </w:t>
      </w:r>
    </w:p>
    <w:p w14:paraId="162C8B66">
      <w:pPr>
        <w:adjustRightInd w:val="0"/>
        <w:snapToGrid w:val="0"/>
        <w:spacing w:line="360" w:lineRule="auto"/>
        <w:ind w:firstLine="480" w:firstLineChars="200"/>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2、政府采购计划编号：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val="en-US" w:eastAsia="zh-CN"/>
          <w14:textFill>
            <w14:solidFill>
              <w14:schemeClr w14:val="tx1"/>
            </w14:solidFill>
          </w14:textFill>
        </w:rPr>
        <w:t>包1 (2026)433124000006-1、包2 (2026)433124000006-2</w:t>
      </w:r>
    </w:p>
    <w:p w14:paraId="2D41FC90">
      <w:pPr>
        <w:adjustRightInd w:val="0"/>
        <w:snapToGrid w:val="0"/>
        <w:spacing w:line="360" w:lineRule="auto"/>
        <w:ind w:firstLine="480" w:firstLineChars="200"/>
        <w:rPr>
          <w:rFonts w:hint="eastAsia" w:ascii="宋体" w:hAnsi="宋体" w:eastAsia="宋体" w:cs="宋体"/>
          <w:i/>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3、采购代理编号：</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XDGS-2026-035     </w:t>
      </w:r>
    </w:p>
    <w:p w14:paraId="45C4FFEA">
      <w:pPr>
        <w:adjustRightInd w:val="0"/>
        <w:snapToGrid w:val="0"/>
        <w:spacing w:line="360" w:lineRule="auto"/>
        <w:ind w:firstLine="480" w:firstLineChars="200"/>
        <w:rPr>
          <w:rFonts w:hint="eastAsia" w:ascii="宋体" w:hAnsi="宋体" w:eastAsia="宋体" w:cs="宋体"/>
          <w:bCs/>
          <w:color w:val="000000" w:themeColor="text1"/>
          <w:sz w:val="24"/>
          <w:u w:val="single"/>
          <w:lang w:val="en-US" w:eastAsia="zh-CN"/>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4、采购项目预</w:t>
      </w:r>
      <w:r>
        <w:rPr>
          <w:rFonts w:hint="eastAsia" w:ascii="宋体" w:hAnsi="宋体" w:eastAsia="宋体" w:cs="宋体"/>
          <w:bCs/>
          <w:color w:val="000000" w:themeColor="text1"/>
          <w:sz w:val="24"/>
          <w:highlight w:val="none"/>
          <w14:textFill>
            <w14:solidFill>
              <w14:schemeClr w14:val="tx1"/>
            </w14:solidFill>
          </w14:textFill>
        </w:rPr>
        <w:t>算：</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eastAsia="zh-CN"/>
          <w14:textFill>
            <w14:solidFill>
              <w14:schemeClr w14:val="tx1"/>
            </w14:solidFill>
          </w14:textFill>
        </w:rPr>
        <w:t>86万</w:t>
      </w:r>
      <w:r>
        <w:rPr>
          <w:rFonts w:hint="eastAsia" w:ascii="宋体" w:hAnsi="宋体" w:eastAsia="宋体" w:cs="宋体"/>
          <w:color w:val="000000" w:themeColor="text1"/>
          <w:sz w:val="24"/>
          <w:highlight w:val="none"/>
          <w:u w:val="single"/>
          <w14:textFill>
            <w14:solidFill>
              <w14:schemeClr w14:val="tx1"/>
            </w14:solidFill>
          </w14:textFill>
        </w:rPr>
        <w:t xml:space="preserve">元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bCs/>
          <w:color w:val="000000" w:themeColor="text1"/>
          <w:sz w:val="24"/>
          <w:u w:val="single"/>
          <w14:textFill>
            <w14:solidFill>
              <w14:schemeClr w14:val="tx1"/>
            </w14:solidFill>
          </w14:textFill>
        </w:rPr>
        <w:t xml:space="preserve">       </w:t>
      </w:r>
    </w:p>
    <w:p w14:paraId="4A3B4F33">
      <w:pPr>
        <w:adjustRightInd w:val="0"/>
        <w:snapToGrid w:val="0"/>
        <w:spacing w:line="360" w:lineRule="auto"/>
        <w:ind w:firstLine="720" w:firstLineChars="300"/>
        <w:rPr>
          <w:rFonts w:hint="eastAsia"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sym w:font="Wingdings" w:char="00A8"/>
      </w:r>
      <w:r>
        <w:rPr>
          <w:rFonts w:hint="eastAsia" w:ascii="宋体" w:hAnsi="宋体" w:eastAsia="宋体" w:cs="宋体"/>
          <w:bCs/>
          <w:color w:val="000000" w:themeColor="text1"/>
          <w:sz w:val="24"/>
          <w14:textFill>
            <w14:solidFill>
              <w14:schemeClr w14:val="tx1"/>
            </w14:solidFill>
          </w14:textFill>
        </w:rPr>
        <w:t>支持预付款，预付比例：</w:t>
      </w:r>
      <w:r>
        <w:rPr>
          <w:rFonts w:hint="eastAsia" w:ascii="宋体" w:hAnsi="宋体" w:eastAsia="宋体" w:cs="宋体"/>
          <w:color w:val="000000" w:themeColor="text1"/>
          <w:sz w:val="24"/>
          <w:u w:val="single"/>
          <w14:textFill>
            <w14:solidFill>
              <w14:schemeClr w14:val="tx1"/>
            </w14:solidFill>
          </w14:textFill>
        </w:rPr>
        <w:t xml:space="preserve">        /      </w:t>
      </w:r>
    </w:p>
    <w:p w14:paraId="0AC84573">
      <w:pPr>
        <w:adjustRightInd w:val="0"/>
        <w:snapToGrid w:val="0"/>
        <w:spacing w:line="360" w:lineRule="auto"/>
        <w:ind w:firstLine="480" w:firstLineChars="2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5、本项目</w:t>
      </w:r>
      <w:r>
        <w:rPr>
          <w:rFonts w:hint="eastAsia" w:ascii="宋体" w:hAnsi="宋体" w:eastAsia="宋体" w:cs="宋体"/>
          <w:color w:val="000000" w:themeColor="text1"/>
          <w:sz w:val="24"/>
          <w14:textFill>
            <w14:solidFill>
              <w14:schemeClr w14:val="tx1"/>
            </w14:solidFill>
          </w14:textFill>
        </w:rPr>
        <w:t>对应的中小企业划分标准所属行业：</w:t>
      </w:r>
      <w:r>
        <w:rPr>
          <w:rFonts w:hint="eastAsia" w:ascii="宋体" w:hAnsi="宋体" w:eastAsia="宋体" w:cs="宋体"/>
          <w:color w:val="000000" w:themeColor="text1"/>
          <w:sz w:val="24"/>
          <w:u w:val="single"/>
          <w14:textFill>
            <w14:solidFill>
              <w14:schemeClr w14:val="tx1"/>
            </w14:solidFill>
          </w14:textFill>
        </w:rPr>
        <w:t xml:space="preserve"> 其他未列明行业 </w:t>
      </w:r>
    </w:p>
    <w:p w14:paraId="42ADCA1B">
      <w:pPr>
        <w:adjustRightInd w:val="0"/>
        <w:snapToGrid w:val="0"/>
        <w:spacing w:line="360" w:lineRule="auto"/>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6、评标方</w:t>
      </w:r>
      <w:r>
        <w:rPr>
          <w:rFonts w:hint="eastAsia" w:ascii="宋体" w:hAnsi="宋体" w:eastAsia="宋体" w:cs="宋体"/>
          <w:iCs/>
          <w:color w:val="000000" w:themeColor="text1"/>
          <w:sz w:val="24"/>
          <w14:textFill>
            <w14:solidFill>
              <w14:schemeClr w14:val="tx1"/>
            </w14:solidFill>
          </w14:textFill>
        </w:rPr>
        <w:t>法：</w:t>
      </w:r>
      <w:r>
        <w:rPr>
          <w:rFonts w:hint="eastAsia" w:ascii="宋体" w:hAnsi="宋体" w:eastAsia="宋体" w:cs="宋体"/>
          <w:iCs/>
          <w:color w:val="000000" w:themeColor="text1"/>
          <w:sz w:val="24"/>
          <w14:textFill>
            <w14:solidFill>
              <w14:schemeClr w14:val="tx1"/>
            </w14:solidFill>
          </w14:textFill>
        </w:rPr>
        <w:sym w:font="Wingdings" w:char="00FE"/>
      </w:r>
      <w:r>
        <w:rPr>
          <w:rFonts w:hint="eastAsia" w:ascii="宋体" w:hAnsi="宋体" w:eastAsia="宋体" w:cs="宋体"/>
          <w:iCs/>
          <w:color w:val="000000" w:themeColor="text1"/>
          <w:sz w:val="24"/>
          <w14:textFill>
            <w14:solidFill>
              <w14:schemeClr w14:val="tx1"/>
            </w14:solidFill>
          </w14:textFill>
        </w:rPr>
        <w:t xml:space="preserve">综合评分法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最低评标价法</w:t>
      </w:r>
    </w:p>
    <w:p w14:paraId="6B3E42D1">
      <w:pPr>
        <w:adjustRightInd w:val="0"/>
        <w:snapToGrid w:val="0"/>
        <w:spacing w:line="360" w:lineRule="auto"/>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7、合同定价方式</w:t>
      </w:r>
      <w:r>
        <w:rPr>
          <w:rFonts w:hint="eastAsia" w:ascii="宋体" w:hAnsi="宋体" w:eastAsia="宋体" w:cs="宋体"/>
          <w:iCs/>
          <w:color w:val="000000" w:themeColor="text1"/>
          <w:sz w:val="24"/>
          <w14:textFill>
            <w14:solidFill>
              <w14:schemeClr w14:val="tx1"/>
            </w14:solidFill>
          </w14:textFill>
        </w:rPr>
        <w:t>：</w:t>
      </w:r>
      <w:r>
        <w:rPr>
          <w:rFonts w:hint="eastAsia" w:ascii="宋体" w:hAnsi="宋体" w:eastAsia="宋体" w:cs="宋体"/>
          <w:iCs/>
          <w:color w:val="000000" w:themeColor="text1"/>
          <w:sz w:val="24"/>
          <w14:textFill>
            <w14:solidFill>
              <w14:schemeClr w14:val="tx1"/>
            </w14:solidFill>
          </w14:textFill>
        </w:rPr>
        <w:sym w:font="Wingdings" w:char="00FE"/>
      </w:r>
      <w:r>
        <w:rPr>
          <w:rFonts w:hint="eastAsia" w:ascii="宋体" w:hAnsi="宋体" w:eastAsia="宋体" w:cs="宋体"/>
          <w:iCs/>
          <w:color w:val="000000" w:themeColor="text1"/>
          <w:sz w:val="24"/>
          <w14:textFill>
            <w14:solidFill>
              <w14:schemeClr w14:val="tx1"/>
            </w14:solidFill>
          </w14:textFill>
        </w:rPr>
        <w:t xml:space="preserve">固定总价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 xml:space="preserve">固定单价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 xml:space="preserve">成本补偿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绩效激励</w:t>
      </w:r>
    </w:p>
    <w:p w14:paraId="4CA505C8">
      <w:pPr>
        <w:adjustRightInd w:val="0"/>
        <w:snapToGrid w:val="0"/>
        <w:spacing w:line="360" w:lineRule="auto"/>
        <w:ind w:firstLine="480" w:firstLineChars="2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8、合同履行期限</w:t>
      </w:r>
      <w:r>
        <w:rPr>
          <w:rFonts w:hint="eastAsia" w:ascii="宋体" w:hAnsi="宋体" w:eastAsia="宋体" w:cs="宋体"/>
          <w:bCs/>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初定为2026年12月</w:t>
      </w:r>
      <w:r>
        <w:rPr>
          <w:rFonts w:hint="eastAsia" w:ascii="宋体" w:hAnsi="宋体" w:eastAsia="宋体" w:cs="宋体"/>
          <w:color w:val="000000" w:themeColor="text1"/>
          <w:sz w:val="24"/>
          <w:highlight w:val="none"/>
          <w:u w:val="single"/>
          <w:lang w:val="en-US" w:eastAsia="zh-CN"/>
          <w14:textFill>
            <w14:solidFill>
              <w14:schemeClr w14:val="tx1"/>
            </w14:solidFill>
          </w14:textFill>
        </w:rPr>
        <w:t>20</w:t>
      </w:r>
      <w:r>
        <w:rPr>
          <w:rFonts w:hint="eastAsia" w:ascii="宋体" w:hAnsi="宋体" w:eastAsia="宋体" w:cs="宋体"/>
          <w:color w:val="000000" w:themeColor="text1"/>
          <w:sz w:val="24"/>
          <w:highlight w:val="none"/>
          <w:u w:val="single"/>
          <w14:textFill>
            <w14:solidFill>
              <w14:schemeClr w14:val="tx1"/>
            </w14:solidFill>
          </w14:textFill>
        </w:rPr>
        <w:t>日前结课，具体时间以实际合同签订时间为准。</w:t>
      </w:r>
    </w:p>
    <w:p w14:paraId="40C99A0B">
      <w:pPr>
        <w:pStyle w:val="40"/>
        <w:spacing w:line="360" w:lineRule="auto"/>
        <w:ind w:firstLine="48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9、</w:t>
      </w:r>
      <w:r>
        <w:rPr>
          <w:rFonts w:hint="eastAsia" w:ascii="宋体" w:hAnsi="宋体" w:eastAsia="宋体" w:cs="宋体"/>
          <w:color w:val="000000" w:themeColor="text1"/>
          <w:sz w:val="24"/>
          <w14:textFill>
            <w14:solidFill>
              <w14:schemeClr w14:val="tx1"/>
            </w14:solidFill>
          </w14:textFill>
        </w:rPr>
        <w:t>本项目分阶段要求投标人提供以下保证：</w:t>
      </w:r>
    </w:p>
    <w:p w14:paraId="1B814EFB">
      <w:pPr>
        <w:pStyle w:val="40"/>
        <w:spacing w:line="360" w:lineRule="auto"/>
        <w:ind w:firstLine="720" w:firstLineChars="300"/>
        <w:rPr>
          <w:rFonts w:hint="eastAsia" w:ascii="宋体" w:hAnsi="宋体" w:eastAsia="宋体" w:cs="宋体"/>
          <w:i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sym w:font="Wingdings" w:char="00A8"/>
      </w:r>
      <w:r>
        <w:rPr>
          <w:rFonts w:hint="eastAsia" w:ascii="宋体" w:hAnsi="宋体" w:eastAsia="宋体" w:cs="宋体"/>
          <w:bCs/>
          <w:color w:val="000000" w:themeColor="text1"/>
          <w:sz w:val="24"/>
          <w14:textFill>
            <w14:solidFill>
              <w14:schemeClr w14:val="tx1"/>
            </w14:solidFill>
          </w14:textFill>
        </w:rPr>
        <w:t>投标保证金：采购项目预算的</w:t>
      </w:r>
      <w:r>
        <w:rPr>
          <w:rFonts w:hint="eastAsia" w:ascii="宋体" w:hAnsi="宋体" w:eastAsia="宋体" w:cs="宋体"/>
          <w:color w:val="000000" w:themeColor="text1"/>
          <w:sz w:val="24"/>
          <w:u w:val="single"/>
          <w14:textFill>
            <w14:solidFill>
              <w14:schemeClr w14:val="tx1"/>
            </w14:solidFill>
          </w14:textFill>
        </w:rPr>
        <w:t xml:space="preserve"> / </w:t>
      </w:r>
      <w:r>
        <w:rPr>
          <w:rFonts w:hint="eastAsia" w:ascii="宋体" w:hAnsi="宋体" w:eastAsia="宋体" w:cs="宋体"/>
          <w:bCs/>
          <w:color w:val="000000" w:themeColor="text1"/>
          <w:sz w:val="24"/>
          <w14:textFill>
            <w14:solidFill>
              <w14:schemeClr w14:val="tx1"/>
            </w14:solidFill>
          </w14:textFill>
        </w:rPr>
        <w:t>%；</w:t>
      </w:r>
    </w:p>
    <w:p w14:paraId="5BC5F038">
      <w:pPr>
        <w:pStyle w:val="40"/>
        <w:spacing w:line="360" w:lineRule="auto"/>
        <w:ind w:firstLine="720" w:firstLineChars="300"/>
        <w:rPr>
          <w:rFonts w:hint="eastAsia" w:ascii="宋体" w:hAnsi="宋体" w:eastAsia="宋体" w:cs="宋体"/>
          <w:i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sym w:font="Wingdings" w:char="00A8"/>
      </w:r>
      <w:r>
        <w:rPr>
          <w:rFonts w:hint="eastAsia" w:ascii="宋体" w:hAnsi="宋体" w:eastAsia="宋体" w:cs="宋体"/>
          <w:bCs/>
          <w:color w:val="000000" w:themeColor="text1"/>
          <w:sz w:val="24"/>
          <w:highlight w:val="none"/>
          <w14:textFill>
            <w14:solidFill>
              <w14:schemeClr w14:val="tx1"/>
            </w14:solidFill>
          </w14:textFill>
        </w:rPr>
        <w:t>履约保证金：中标金额的</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hint="eastAsia" w:ascii="宋体" w:hAnsi="宋体" w:eastAsia="宋体" w:cs="宋体"/>
          <w:bCs/>
          <w:color w:val="000000" w:themeColor="text1"/>
          <w:sz w:val="24"/>
          <w:highlight w:val="none"/>
          <w14:textFill>
            <w14:solidFill>
              <w14:schemeClr w14:val="tx1"/>
            </w14:solidFill>
          </w14:textFill>
        </w:rPr>
        <w:t>%；</w:t>
      </w:r>
    </w:p>
    <w:p w14:paraId="25D8E3CA">
      <w:pPr>
        <w:pStyle w:val="40"/>
        <w:spacing w:line="360" w:lineRule="auto"/>
        <w:ind w:firstLine="720" w:firstLineChars="300"/>
        <w:rPr>
          <w:rFonts w:hint="eastAsia" w:ascii="宋体" w:hAnsi="宋体" w:eastAsia="宋体" w:cs="宋体"/>
          <w:iCs/>
          <w:color w:val="000000" w:themeColor="text1"/>
          <w:sz w:val="24"/>
          <w:highlight w:val="none"/>
          <w:lang w:val="en-US" w:eastAsia="zh-CN"/>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sym w:font="Wingdings" w:char="00A8"/>
      </w:r>
      <w:r>
        <w:rPr>
          <w:rFonts w:hint="eastAsia" w:ascii="宋体" w:hAnsi="宋体" w:eastAsia="宋体" w:cs="宋体"/>
          <w:bCs/>
          <w:color w:val="000000" w:themeColor="text1"/>
          <w:sz w:val="24"/>
          <w:highlight w:val="none"/>
          <w14:textFill>
            <w14:solidFill>
              <w14:schemeClr w14:val="tx1"/>
            </w14:solidFill>
          </w14:textFill>
        </w:rPr>
        <w:t>预付款保证金：预付款的</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hint="eastAsia" w:ascii="宋体" w:hAnsi="宋体" w:eastAsia="宋体" w:cs="宋体"/>
          <w:bCs/>
          <w:color w:val="000000" w:themeColor="text1"/>
          <w:sz w:val="24"/>
          <w:highlight w:val="none"/>
          <w14:textFill>
            <w14:solidFill>
              <w14:schemeClr w14:val="tx1"/>
            </w14:solidFill>
          </w14:textFill>
        </w:rPr>
        <w:t>%；</w:t>
      </w:r>
      <w:r>
        <w:rPr>
          <w:rFonts w:hint="eastAsia" w:ascii="宋体" w:hAnsi="宋体" w:eastAsia="宋体" w:cs="宋体"/>
          <w:bCs/>
          <w:color w:val="000000" w:themeColor="text1"/>
          <w:sz w:val="24"/>
          <w:highlight w:val="none"/>
          <w:lang w:val="en-US" w:eastAsia="zh-CN"/>
          <w14:textFill>
            <w14:solidFill>
              <w14:schemeClr w14:val="tx1"/>
            </w14:solidFill>
          </w14:textFill>
        </w:rPr>
        <w:t xml:space="preserve"> </w:t>
      </w:r>
    </w:p>
    <w:p w14:paraId="3C4E8F9B">
      <w:pPr>
        <w:pStyle w:val="40"/>
        <w:spacing w:line="360" w:lineRule="auto"/>
        <w:ind w:firstLine="720" w:firstLineChars="300"/>
        <w:rPr>
          <w:rFonts w:hint="eastAsia" w:ascii="宋体" w:hAnsi="宋体" w:eastAsia="宋体" w:cs="宋体"/>
          <w:i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sym w:font="Wingdings" w:char="00A8"/>
      </w:r>
      <w:r>
        <w:rPr>
          <w:rFonts w:hint="eastAsia" w:ascii="宋体" w:hAnsi="宋体" w:eastAsia="宋体" w:cs="宋体"/>
          <w:bCs/>
          <w:color w:val="000000" w:themeColor="text1"/>
          <w:sz w:val="24"/>
          <w:highlight w:val="none"/>
          <w14:textFill>
            <w14:solidFill>
              <w14:schemeClr w14:val="tx1"/>
            </w14:solidFill>
          </w14:textFill>
        </w:rPr>
        <w:t>质量保证金：合同金额的</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highlight w:val="none"/>
          <w14:textFill>
            <w14:solidFill>
              <w14:schemeClr w14:val="tx1"/>
            </w14:solidFill>
          </w14:textFill>
        </w:rPr>
        <w:t>%。</w:t>
      </w:r>
    </w:p>
    <w:p w14:paraId="4E3437D0">
      <w:pPr>
        <w:pStyle w:val="3"/>
        <w:numPr>
          <w:ilvl w:val="0"/>
          <w:numId w:val="2"/>
        </w:numPr>
        <w:rPr>
          <w:rFonts w:hint="eastAsia" w:ascii="宋体" w:hAnsi="宋体" w:eastAsia="宋体" w:cs="宋体"/>
          <w:bCs w:val="0"/>
          <w:color w:val="000000" w:themeColor="text1"/>
          <w:szCs w:val="24"/>
          <w14:textFill>
            <w14:solidFill>
              <w14:schemeClr w14:val="tx1"/>
            </w14:solidFill>
          </w14:textFill>
        </w:rPr>
      </w:pPr>
      <w:bookmarkStart w:id="2" w:name="_Toc24545"/>
      <w:r>
        <w:rPr>
          <w:rFonts w:hint="eastAsia" w:ascii="宋体" w:hAnsi="宋体" w:eastAsia="宋体" w:cs="宋体"/>
          <w:bCs w:val="0"/>
          <w:color w:val="000000" w:themeColor="text1"/>
          <w:szCs w:val="24"/>
          <w14:textFill>
            <w14:solidFill>
              <w14:schemeClr w14:val="tx1"/>
            </w14:solidFill>
          </w14:textFill>
        </w:rPr>
        <w:t>采购需求及项目可能实质性变动内容</w:t>
      </w:r>
      <w:bookmarkEnd w:id="2"/>
    </w:p>
    <w:tbl>
      <w:tblPr>
        <w:tblStyle w:val="25"/>
        <w:tblW w:w="487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05"/>
        <w:gridCol w:w="2001"/>
        <w:gridCol w:w="3393"/>
        <w:gridCol w:w="1383"/>
        <w:gridCol w:w="1594"/>
      </w:tblGrid>
      <w:tr w14:paraId="4207F3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488" w:type="pct"/>
            <w:tcBorders>
              <w:left w:val="single" w:color="auto" w:sz="4" w:space="0"/>
              <w:bottom w:val="single" w:color="auto" w:sz="4" w:space="0"/>
              <w:right w:val="single" w:color="auto" w:sz="4" w:space="0"/>
            </w:tcBorders>
            <w:noWrap w:val="0"/>
            <w:vAlign w:val="center"/>
          </w:tcPr>
          <w:p w14:paraId="7BE6D9A7">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包号</w:t>
            </w:r>
          </w:p>
        </w:tc>
        <w:tc>
          <w:tcPr>
            <w:tcW w:w="1078" w:type="pct"/>
            <w:tcBorders>
              <w:left w:val="single" w:color="auto" w:sz="4" w:space="0"/>
              <w:bottom w:val="single" w:color="auto" w:sz="4" w:space="0"/>
              <w:right w:val="single" w:color="auto" w:sz="4" w:space="0"/>
            </w:tcBorders>
            <w:noWrap w:val="0"/>
            <w:vAlign w:val="center"/>
          </w:tcPr>
          <w:p w14:paraId="686AB0DC">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标的名称</w:t>
            </w:r>
          </w:p>
        </w:tc>
        <w:tc>
          <w:tcPr>
            <w:tcW w:w="1828" w:type="pct"/>
            <w:tcBorders>
              <w:left w:val="single" w:color="auto" w:sz="4" w:space="0"/>
              <w:bottom w:val="single" w:color="auto" w:sz="4" w:space="0"/>
              <w:right w:val="single" w:color="auto" w:sz="4" w:space="0"/>
            </w:tcBorders>
            <w:noWrap w:val="0"/>
            <w:vAlign w:val="center"/>
          </w:tcPr>
          <w:p w14:paraId="663F5EFB">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项目内容</w:t>
            </w:r>
          </w:p>
        </w:tc>
        <w:tc>
          <w:tcPr>
            <w:tcW w:w="745" w:type="pct"/>
            <w:tcBorders>
              <w:left w:val="single" w:color="auto" w:sz="4" w:space="0"/>
              <w:bottom w:val="single" w:color="auto" w:sz="4" w:space="0"/>
              <w:right w:val="single" w:color="auto" w:sz="4" w:space="0"/>
            </w:tcBorders>
            <w:noWrap w:val="0"/>
            <w:vAlign w:val="center"/>
          </w:tcPr>
          <w:p w14:paraId="01A57127">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采购项目</w:t>
            </w:r>
          </w:p>
          <w:p w14:paraId="08EEF4A7">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预算（</w:t>
            </w:r>
            <w:r>
              <w:rPr>
                <w:rFonts w:hint="eastAsia" w:ascii="宋体" w:hAnsi="宋体" w:eastAsia="宋体" w:cs="宋体"/>
                <w:color w:val="auto"/>
                <w:kern w:val="0"/>
                <w:sz w:val="24"/>
                <w:szCs w:val="24"/>
                <w:highlight w:val="none"/>
                <w:lang w:val="en-US" w:eastAsia="zh-CN"/>
              </w:rPr>
              <w:t>元</w:t>
            </w:r>
            <w:r>
              <w:rPr>
                <w:rFonts w:hint="eastAsia" w:ascii="宋体" w:hAnsi="宋体" w:eastAsia="宋体" w:cs="宋体"/>
                <w:color w:val="auto"/>
                <w:kern w:val="0"/>
                <w:sz w:val="24"/>
                <w:szCs w:val="24"/>
                <w:highlight w:val="none"/>
              </w:rPr>
              <w:t>）</w:t>
            </w:r>
          </w:p>
        </w:tc>
        <w:tc>
          <w:tcPr>
            <w:tcW w:w="859" w:type="pct"/>
            <w:tcBorders>
              <w:left w:val="single" w:color="auto" w:sz="4" w:space="0"/>
              <w:bottom w:val="single" w:color="auto" w:sz="4" w:space="0"/>
            </w:tcBorders>
            <w:noWrap w:val="0"/>
            <w:vAlign w:val="center"/>
          </w:tcPr>
          <w:p w14:paraId="0918CC40">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采购项目最高限价（</w:t>
            </w:r>
            <w:r>
              <w:rPr>
                <w:rFonts w:hint="eastAsia" w:ascii="宋体" w:hAnsi="宋体" w:eastAsia="宋体" w:cs="宋体"/>
                <w:color w:val="auto"/>
                <w:kern w:val="0"/>
                <w:sz w:val="24"/>
                <w:szCs w:val="24"/>
                <w:highlight w:val="none"/>
                <w:lang w:val="en-US" w:eastAsia="zh-CN"/>
              </w:rPr>
              <w:t>元</w:t>
            </w:r>
            <w:r>
              <w:rPr>
                <w:rFonts w:hint="eastAsia" w:ascii="宋体" w:hAnsi="宋体" w:eastAsia="宋体" w:cs="宋体"/>
                <w:color w:val="auto"/>
                <w:kern w:val="0"/>
                <w:sz w:val="24"/>
                <w:szCs w:val="24"/>
                <w:highlight w:val="none"/>
              </w:rPr>
              <w:t>）</w:t>
            </w:r>
          </w:p>
        </w:tc>
      </w:tr>
      <w:tr w14:paraId="1A8C3D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6" w:hRule="atLeast"/>
          <w:jc w:val="center"/>
        </w:trPr>
        <w:tc>
          <w:tcPr>
            <w:tcW w:w="488" w:type="pct"/>
            <w:tcBorders>
              <w:top w:val="single" w:color="auto" w:sz="4" w:space="0"/>
              <w:left w:val="single" w:color="auto" w:sz="4" w:space="0"/>
              <w:bottom w:val="single" w:color="auto" w:sz="4" w:space="0"/>
              <w:right w:val="single" w:color="auto" w:sz="4" w:space="0"/>
            </w:tcBorders>
            <w:noWrap w:val="0"/>
            <w:vAlign w:val="center"/>
          </w:tcPr>
          <w:p w14:paraId="6A64CD25">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包1</w:t>
            </w:r>
          </w:p>
        </w:tc>
        <w:tc>
          <w:tcPr>
            <w:tcW w:w="1078" w:type="pct"/>
            <w:tcBorders>
              <w:top w:val="single" w:color="auto" w:sz="4" w:space="0"/>
              <w:left w:val="single" w:color="auto" w:sz="4" w:space="0"/>
              <w:bottom w:val="single" w:color="auto" w:sz="4" w:space="0"/>
              <w:right w:val="single" w:color="auto" w:sz="4" w:space="0"/>
            </w:tcBorders>
            <w:noWrap w:val="0"/>
            <w:vAlign w:val="center"/>
          </w:tcPr>
          <w:p w14:paraId="45DD06D0">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000000" w:themeColor="text1"/>
                <w:sz w:val="24"/>
                <w14:textFill>
                  <w14:solidFill>
                    <w14:schemeClr w14:val="tx1"/>
                  </w14:solidFill>
                </w14:textFill>
              </w:rPr>
              <w:t>粮油产能提升培训班</w:t>
            </w:r>
            <w:r>
              <w:rPr>
                <w:rFonts w:hint="eastAsia" w:ascii="宋体" w:hAnsi="宋体" w:eastAsia="宋体" w:cs="宋体"/>
                <w:color w:val="000000" w:themeColor="text1"/>
                <w:sz w:val="24"/>
                <w:lang w:val="en-US" w:eastAsia="zh-CN"/>
                <w14:textFill>
                  <w14:solidFill>
                    <w14:schemeClr w14:val="tx1"/>
                  </w14:solidFill>
                </w14:textFill>
              </w:rPr>
              <w:t>和</w:t>
            </w:r>
            <w:r>
              <w:rPr>
                <w:rFonts w:hint="eastAsia" w:ascii="宋体" w:hAnsi="宋体" w:eastAsia="宋体" w:cs="宋体"/>
                <w:color w:val="000000" w:themeColor="text1"/>
                <w:sz w:val="24"/>
                <w14:textFill>
                  <w14:solidFill>
                    <w14:schemeClr w14:val="tx1"/>
                  </w14:solidFill>
                </w14:textFill>
              </w:rPr>
              <w:t>乡村产业带头人培训班</w:t>
            </w:r>
          </w:p>
        </w:tc>
        <w:tc>
          <w:tcPr>
            <w:tcW w:w="1828" w:type="pct"/>
            <w:tcBorders>
              <w:top w:val="single" w:color="auto" w:sz="4" w:space="0"/>
              <w:left w:val="single" w:color="auto" w:sz="4" w:space="0"/>
              <w:bottom w:val="single" w:color="auto" w:sz="4" w:space="0"/>
              <w:right w:val="single" w:color="auto" w:sz="4" w:space="0"/>
            </w:tcBorders>
            <w:noWrap w:val="0"/>
            <w:vAlign w:val="center"/>
          </w:tcPr>
          <w:p w14:paraId="7D1C8B8D">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详见第四章采购需求</w:t>
            </w:r>
          </w:p>
        </w:tc>
        <w:tc>
          <w:tcPr>
            <w:tcW w:w="745" w:type="pct"/>
            <w:tcBorders>
              <w:top w:val="single" w:color="auto" w:sz="4" w:space="0"/>
              <w:left w:val="single" w:color="auto" w:sz="4" w:space="0"/>
              <w:bottom w:val="single" w:color="auto" w:sz="4" w:space="0"/>
              <w:right w:val="single" w:color="auto" w:sz="4" w:space="0"/>
            </w:tcBorders>
            <w:noWrap w:val="0"/>
            <w:vAlign w:val="center"/>
          </w:tcPr>
          <w:p w14:paraId="25B52088">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420000.00</w:t>
            </w:r>
          </w:p>
        </w:tc>
        <w:tc>
          <w:tcPr>
            <w:tcW w:w="859" w:type="pct"/>
            <w:tcBorders>
              <w:top w:val="single" w:color="auto" w:sz="4" w:space="0"/>
              <w:left w:val="single" w:color="auto" w:sz="4" w:space="0"/>
              <w:bottom w:val="single" w:color="auto" w:sz="4" w:space="0"/>
            </w:tcBorders>
            <w:noWrap w:val="0"/>
            <w:vAlign w:val="center"/>
          </w:tcPr>
          <w:p w14:paraId="114933BB">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420000.00</w:t>
            </w:r>
          </w:p>
        </w:tc>
      </w:tr>
      <w:tr w14:paraId="285213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2" w:hRule="atLeast"/>
          <w:jc w:val="center"/>
        </w:trPr>
        <w:tc>
          <w:tcPr>
            <w:tcW w:w="488" w:type="pct"/>
            <w:tcBorders>
              <w:top w:val="single" w:color="auto" w:sz="4" w:space="0"/>
              <w:left w:val="single" w:color="auto" w:sz="4" w:space="0"/>
              <w:right w:val="single" w:color="auto" w:sz="4" w:space="0"/>
            </w:tcBorders>
            <w:noWrap w:val="0"/>
            <w:vAlign w:val="center"/>
          </w:tcPr>
          <w:p w14:paraId="50B63DD1">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包2</w:t>
            </w:r>
          </w:p>
        </w:tc>
        <w:tc>
          <w:tcPr>
            <w:tcW w:w="1078" w:type="pct"/>
            <w:tcBorders>
              <w:top w:val="single" w:color="auto" w:sz="4" w:space="0"/>
              <w:left w:val="single" w:color="auto" w:sz="4" w:space="0"/>
              <w:right w:val="single" w:color="auto" w:sz="4" w:space="0"/>
            </w:tcBorders>
            <w:noWrap w:val="0"/>
            <w:vAlign w:val="center"/>
          </w:tcPr>
          <w:p w14:paraId="52AED6C2">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000000" w:themeColor="text1"/>
                <w:sz w:val="24"/>
                <w:lang w:eastAsia="zh-CN"/>
                <w14:textFill>
                  <w14:solidFill>
                    <w14:schemeClr w14:val="tx1"/>
                  </w14:solidFill>
                </w14:textFill>
              </w:rPr>
              <w:t>农机手技能提升培训班</w:t>
            </w:r>
            <w:r>
              <w:rPr>
                <w:rFonts w:hint="eastAsia" w:ascii="宋体" w:hAnsi="宋体" w:eastAsia="宋体" w:cs="宋体"/>
                <w:color w:val="000000" w:themeColor="text1"/>
                <w:sz w:val="24"/>
                <w:lang w:val="en-US" w:eastAsia="zh-CN"/>
                <w14:textFill>
                  <w14:solidFill>
                    <w14:schemeClr w14:val="tx1"/>
                  </w14:solidFill>
                </w14:textFill>
              </w:rPr>
              <w:t>和</w:t>
            </w:r>
            <w:r>
              <w:rPr>
                <w:rFonts w:hint="eastAsia" w:ascii="宋体" w:hAnsi="宋体" w:eastAsia="宋体" w:cs="宋体"/>
                <w:color w:val="000000" w:themeColor="text1"/>
                <w:sz w:val="24"/>
                <w:lang w:eastAsia="zh-CN"/>
                <w14:textFill>
                  <w14:solidFill>
                    <w14:schemeClr w14:val="tx1"/>
                  </w14:solidFill>
                </w14:textFill>
              </w:rPr>
              <w:t>农机手技能提升专题培训班</w:t>
            </w:r>
          </w:p>
        </w:tc>
        <w:tc>
          <w:tcPr>
            <w:tcW w:w="1828" w:type="pct"/>
            <w:tcBorders>
              <w:top w:val="single" w:color="auto" w:sz="4" w:space="0"/>
              <w:left w:val="single" w:color="auto" w:sz="4" w:space="0"/>
              <w:right w:val="single" w:color="auto" w:sz="4" w:space="0"/>
            </w:tcBorders>
            <w:noWrap w:val="0"/>
            <w:vAlign w:val="center"/>
          </w:tcPr>
          <w:p w14:paraId="2410A8E4">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详见第四章采购需求</w:t>
            </w:r>
          </w:p>
        </w:tc>
        <w:tc>
          <w:tcPr>
            <w:tcW w:w="745" w:type="pct"/>
            <w:tcBorders>
              <w:top w:val="single" w:color="auto" w:sz="4" w:space="0"/>
              <w:left w:val="single" w:color="auto" w:sz="4" w:space="0"/>
              <w:right w:val="single" w:color="auto" w:sz="4" w:space="0"/>
            </w:tcBorders>
            <w:noWrap w:val="0"/>
            <w:vAlign w:val="center"/>
          </w:tcPr>
          <w:p w14:paraId="590AF68B">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440000.00</w:t>
            </w:r>
          </w:p>
        </w:tc>
        <w:tc>
          <w:tcPr>
            <w:tcW w:w="859" w:type="pct"/>
            <w:tcBorders>
              <w:top w:val="single" w:color="auto" w:sz="4" w:space="0"/>
              <w:left w:val="single" w:color="auto" w:sz="4" w:space="0"/>
            </w:tcBorders>
            <w:noWrap w:val="0"/>
            <w:vAlign w:val="center"/>
          </w:tcPr>
          <w:p w14:paraId="61D74F25">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440000.00</w:t>
            </w:r>
          </w:p>
        </w:tc>
      </w:tr>
    </w:tbl>
    <w:p w14:paraId="14158A66">
      <w:pPr>
        <w:numPr>
          <w:ilvl w:val="0"/>
          <w:numId w:val="0"/>
        </w:numPr>
        <w:rPr>
          <w:rFonts w:hint="eastAsia" w:ascii="宋体" w:hAnsi="宋体" w:eastAsia="宋体" w:cs="宋体"/>
        </w:rPr>
      </w:pPr>
    </w:p>
    <w:p w14:paraId="17C788BD">
      <w:pPr>
        <w:numPr>
          <w:ilvl w:val="0"/>
          <w:numId w:val="0"/>
        </w:numPr>
        <w:rPr>
          <w:rFonts w:hint="eastAsia" w:ascii="宋体" w:hAnsi="宋体" w:eastAsia="宋体" w:cs="宋体"/>
        </w:rPr>
      </w:pPr>
    </w:p>
    <w:p w14:paraId="7FC69416">
      <w:pPr>
        <w:adjustRightInd w:val="0"/>
        <w:snapToGrid w:val="0"/>
        <w:spacing w:line="360" w:lineRule="auto"/>
        <w:ind w:firstLine="482" w:firstLineChars="200"/>
        <w:rPr>
          <w:rFonts w:hint="eastAsia" w:ascii="宋体" w:hAnsi="宋体" w:eastAsia="宋体" w:cs="宋体"/>
          <w:b/>
          <w:bCs/>
          <w:color w:val="000000" w:themeColor="text1"/>
          <w:szCs w:val="24"/>
          <w:highlight w:val="none"/>
          <w14:textFill>
            <w14:solidFill>
              <w14:schemeClr w14:val="tx1"/>
            </w14:solidFill>
          </w14:textFill>
        </w:rPr>
      </w:pPr>
      <w:r>
        <w:rPr>
          <w:rFonts w:hint="eastAsia" w:ascii="宋体" w:hAnsi="宋体" w:eastAsia="宋体" w:cs="宋体"/>
          <w:b/>
          <w:bCs/>
          <w:sz w:val="24"/>
          <w:szCs w:val="24"/>
          <w:highlight w:val="none"/>
        </w:rPr>
        <w:t>注：本项目允许投标人兼投多个包，执行兼投不兼中，单个投标人最多中标 1 个包。同一投标人多个包评审排名第一的，</w:t>
      </w:r>
      <w:r>
        <w:rPr>
          <w:rFonts w:hint="eastAsia" w:ascii="宋体" w:hAnsi="宋体" w:eastAsia="宋体" w:cs="宋体"/>
          <w:b/>
          <w:bCs/>
          <w:sz w:val="24"/>
          <w:szCs w:val="24"/>
          <w:highlight w:val="none"/>
          <w:lang w:val="en-US" w:eastAsia="zh-CN"/>
        </w:rPr>
        <w:t>评标委员会</w:t>
      </w:r>
      <w:r>
        <w:rPr>
          <w:rFonts w:hint="eastAsia" w:ascii="宋体" w:hAnsi="宋体" w:eastAsia="宋体" w:cs="宋体"/>
          <w:b/>
          <w:bCs/>
          <w:sz w:val="24"/>
          <w:szCs w:val="24"/>
          <w:highlight w:val="none"/>
        </w:rPr>
        <w:t>按投标人提交的《供应商包号选择书面确认函》选定中标包，其余包取消该投标人中标候选人</w:t>
      </w:r>
      <w:r>
        <w:rPr>
          <w:rFonts w:hint="eastAsia" w:ascii="宋体" w:hAnsi="宋体" w:eastAsia="宋体" w:cs="宋体"/>
          <w:b/>
          <w:bCs/>
          <w:sz w:val="24"/>
          <w:szCs w:val="24"/>
          <w:highlight w:val="none"/>
          <w:lang w:val="en-US" w:eastAsia="zh-CN"/>
        </w:rPr>
        <w:t>推荐</w:t>
      </w:r>
      <w:r>
        <w:rPr>
          <w:rFonts w:hint="eastAsia" w:ascii="宋体" w:hAnsi="宋体" w:eastAsia="宋体" w:cs="宋体"/>
          <w:b/>
          <w:bCs/>
          <w:sz w:val="24"/>
          <w:szCs w:val="24"/>
          <w:highlight w:val="none"/>
        </w:rPr>
        <w:t>资格。</w:t>
      </w:r>
    </w:p>
    <w:p w14:paraId="2F479E83">
      <w:pPr>
        <w:pStyle w:val="3"/>
        <w:rPr>
          <w:rFonts w:hint="eastAsia" w:ascii="宋体" w:hAnsi="宋体" w:eastAsia="宋体" w:cs="宋体"/>
          <w:bCs w:val="0"/>
          <w:color w:val="000000" w:themeColor="text1"/>
          <w:szCs w:val="24"/>
          <w14:textFill>
            <w14:solidFill>
              <w14:schemeClr w14:val="tx1"/>
            </w14:solidFill>
          </w14:textFill>
        </w:rPr>
      </w:pPr>
      <w:bookmarkStart w:id="3" w:name="_Toc29826"/>
      <w:r>
        <w:rPr>
          <w:rFonts w:hint="eastAsia" w:ascii="宋体" w:hAnsi="宋体" w:eastAsia="宋体" w:cs="宋体"/>
          <w:bCs w:val="0"/>
          <w:color w:val="000000" w:themeColor="text1"/>
          <w:szCs w:val="24"/>
          <w14:textFill>
            <w14:solidFill>
              <w14:schemeClr w14:val="tx1"/>
            </w14:solidFill>
          </w14:textFill>
        </w:rPr>
        <w:t>三、采购项目需落实的政府采购政策</w:t>
      </w:r>
      <w:bookmarkEnd w:id="3"/>
    </w:p>
    <w:p w14:paraId="76C62C19">
      <w:pPr>
        <w:adjustRightInd w:val="0"/>
        <w:snapToGrid w:val="0"/>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1.支持中小企业：中小企业享受预留采购份额或价格折扣</w:t>
      </w:r>
      <w:r>
        <w:rPr>
          <w:rFonts w:hint="eastAsia" w:ascii="宋体" w:hAnsi="宋体" w:eastAsia="宋体" w:cs="宋体"/>
          <w:sz w:val="24"/>
          <w:szCs w:val="24"/>
        </w:rPr>
        <w:t>。</w:t>
      </w:r>
    </w:p>
    <w:p w14:paraId="4052FA89">
      <w:pPr>
        <w:pStyle w:val="3"/>
        <w:rPr>
          <w:rFonts w:hint="eastAsia" w:ascii="宋体" w:hAnsi="宋体" w:eastAsia="宋体" w:cs="宋体"/>
          <w:bCs w:val="0"/>
          <w:color w:val="000000" w:themeColor="text1"/>
          <w:szCs w:val="24"/>
          <w14:textFill>
            <w14:solidFill>
              <w14:schemeClr w14:val="tx1"/>
            </w14:solidFill>
          </w14:textFill>
        </w:rPr>
      </w:pPr>
      <w:bookmarkStart w:id="4" w:name="_Toc23376"/>
      <w:r>
        <w:rPr>
          <w:rFonts w:hint="eastAsia" w:ascii="宋体" w:hAnsi="宋体" w:eastAsia="宋体" w:cs="宋体"/>
          <w:bCs w:val="0"/>
          <w:color w:val="000000" w:themeColor="text1"/>
          <w:szCs w:val="24"/>
          <w14:textFill>
            <w14:solidFill>
              <w14:schemeClr w14:val="tx1"/>
            </w14:solidFill>
          </w14:textFill>
        </w:rPr>
        <w:t>四、</w:t>
      </w:r>
      <w:r>
        <w:rPr>
          <w:rFonts w:hint="eastAsia" w:ascii="宋体" w:hAnsi="宋体" w:eastAsia="宋体" w:cs="宋体"/>
          <w:bCs w:val="0"/>
          <w:color w:val="000000" w:themeColor="text1"/>
          <w:szCs w:val="24"/>
          <w:lang w:val="en-US" w:eastAsia="zh-CN"/>
          <w14:textFill>
            <w14:solidFill>
              <w14:schemeClr w14:val="tx1"/>
            </w14:solidFill>
          </w14:textFill>
        </w:rPr>
        <w:t>供应商</w:t>
      </w:r>
      <w:r>
        <w:rPr>
          <w:rFonts w:hint="eastAsia" w:ascii="宋体" w:hAnsi="宋体" w:eastAsia="宋体" w:cs="宋体"/>
          <w:bCs w:val="0"/>
          <w:color w:val="000000" w:themeColor="text1"/>
          <w:szCs w:val="24"/>
          <w14:textFill>
            <w14:solidFill>
              <w14:schemeClr w14:val="tx1"/>
            </w14:solidFill>
          </w14:textFill>
        </w:rPr>
        <w:t>的资格要求</w:t>
      </w:r>
      <w:bookmarkEnd w:id="4"/>
    </w:p>
    <w:p w14:paraId="51FC4B8F">
      <w:pPr>
        <w:adjustRightInd w:val="0"/>
        <w:snapToGrid w:val="0"/>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1、基本资格条件：满足《中华人民共和国政府采购法》第二十二条规定；</w:t>
      </w:r>
    </w:p>
    <w:p w14:paraId="6B61F0AE">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2、落实政府采购政策需满足的资格要求：</w:t>
      </w:r>
    </w:p>
    <w:p w14:paraId="489278D8">
      <w:pPr>
        <w:widowControl/>
        <w:adjustRightInd w:val="0"/>
        <w:spacing w:line="360" w:lineRule="auto"/>
        <w:ind w:firstLine="720" w:firstLineChars="300"/>
        <w:jc w:val="left"/>
        <w:rPr>
          <w:rFonts w:hint="eastAsia" w:ascii="宋体" w:hAnsi="宋体" w:eastAsia="宋体" w:cs="宋体"/>
          <w:bCs/>
          <w:color w:val="000000" w:themeColor="text1"/>
          <w:kern w:val="0"/>
          <w:sz w:val="24"/>
          <w:highlight w:val="none"/>
          <w:lang w:bidi="ar"/>
          <w14:textFill>
            <w14:solidFill>
              <w14:schemeClr w14:val="tx1"/>
            </w14:solidFill>
          </w14:textFill>
        </w:rPr>
      </w:pP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专门面向：</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中小企业  </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 xml:space="preserve">小微企业 </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 xml:space="preserve">监狱企业 </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福利性单位。</w:t>
      </w:r>
    </w:p>
    <w:p w14:paraId="2B3DB2FA">
      <w:pPr>
        <w:widowControl/>
        <w:adjustRightInd w:val="0"/>
        <w:spacing w:line="360" w:lineRule="auto"/>
        <w:ind w:firstLine="720" w:firstLineChars="300"/>
        <w:jc w:val="left"/>
        <w:rPr>
          <w:rFonts w:hint="eastAsia" w:ascii="宋体" w:hAnsi="宋体" w:eastAsia="宋体" w:cs="宋体"/>
          <w:bCs/>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sym w:font="Wingdings" w:char="00A8"/>
      </w:r>
      <w:r>
        <w:rPr>
          <w:rFonts w:hint="eastAsia" w:ascii="宋体" w:hAnsi="宋体" w:eastAsia="宋体" w:cs="宋体"/>
          <w:color w:val="000000" w:themeColor="text1"/>
          <w:kern w:val="0"/>
          <w:sz w:val="24"/>
          <w:lang w:bidi="ar"/>
          <w14:textFill>
            <w14:solidFill>
              <w14:schemeClr w14:val="tx1"/>
            </w14:solidFill>
          </w14:textFill>
        </w:rPr>
        <w:t>强制</w:t>
      </w:r>
      <w:r>
        <w:rPr>
          <w:rFonts w:hint="eastAsia" w:ascii="宋体" w:hAnsi="宋体" w:eastAsia="宋体" w:cs="宋体"/>
          <w:bCs/>
          <w:color w:val="000000" w:themeColor="text1"/>
          <w:kern w:val="0"/>
          <w:sz w:val="24"/>
          <w:lang w:bidi="ar"/>
          <w14:textFill>
            <w14:solidFill>
              <w14:schemeClr w14:val="tx1"/>
            </w14:solidFill>
          </w14:textFill>
        </w:rPr>
        <w:t>分包：大型企业应将采购份额的</w:t>
      </w:r>
      <w:r>
        <w:rPr>
          <w:rFonts w:hint="eastAsia" w:ascii="宋体" w:hAnsi="宋体" w:eastAsia="宋体" w:cs="宋体"/>
          <w:bCs/>
          <w:color w:val="000000" w:themeColor="text1"/>
          <w:kern w:val="0"/>
          <w:sz w:val="24"/>
          <w:u w:val="single"/>
          <w:lang w:bidi="ar"/>
          <w14:textFill>
            <w14:solidFill>
              <w14:schemeClr w14:val="tx1"/>
            </w14:solidFill>
          </w14:textFill>
        </w:rPr>
        <w:t>    </w:t>
      </w:r>
      <w:r>
        <w:rPr>
          <w:rFonts w:hint="eastAsia" w:ascii="宋体" w:hAnsi="宋体" w:eastAsia="宋体" w:cs="宋体"/>
          <w:bCs/>
          <w:color w:val="000000" w:themeColor="text1"/>
          <w:kern w:val="0"/>
          <w:sz w:val="24"/>
          <w:u w:val="single"/>
          <w:lang w:val="en-US" w:eastAsia="zh-CN" w:bidi="ar"/>
          <w14:textFill>
            <w14:solidFill>
              <w14:schemeClr w14:val="tx1"/>
            </w14:solidFill>
          </w14:textFill>
        </w:rPr>
        <w:t>/</w:t>
      </w:r>
      <w:r>
        <w:rPr>
          <w:rFonts w:hint="eastAsia" w:ascii="宋体" w:hAnsi="宋体" w:eastAsia="宋体" w:cs="宋体"/>
          <w:bCs/>
          <w:color w:val="000000" w:themeColor="text1"/>
          <w:kern w:val="0"/>
          <w:sz w:val="24"/>
          <w:u w:val="single"/>
          <w:lang w:bidi="ar"/>
          <w14:textFill>
            <w14:solidFill>
              <w14:schemeClr w14:val="tx1"/>
            </w14:solidFill>
          </w14:textFill>
        </w:rPr>
        <w:t>   </w:t>
      </w:r>
      <w:r>
        <w:rPr>
          <w:rFonts w:hint="eastAsia" w:ascii="宋体" w:hAnsi="宋体" w:eastAsia="宋体" w:cs="宋体"/>
          <w:bCs/>
          <w:color w:val="000000" w:themeColor="text1"/>
          <w:kern w:val="0"/>
          <w:sz w:val="24"/>
          <w:lang w:bidi="ar"/>
          <w14:textFill>
            <w14:solidFill>
              <w14:schemeClr w14:val="tx1"/>
            </w14:solidFill>
          </w14:textFill>
        </w:rPr>
        <w:t>%分包给中小企业。</w:t>
      </w:r>
    </w:p>
    <w:p w14:paraId="24A01879">
      <w:pPr>
        <w:spacing w:line="360" w:lineRule="auto"/>
        <w:ind w:firstLine="482" w:firstLineChars="200"/>
        <w:rPr>
          <w:rFonts w:hint="eastAsia" w:ascii="宋体" w:hAnsi="宋体" w:eastAsia="宋体" w:cs="宋体"/>
          <w:b/>
          <w:bCs/>
          <w:color w:val="000000" w:themeColor="text1"/>
          <w:sz w:val="24"/>
          <w:u w:val="single"/>
          <w:lang w:val="en-US" w:eastAsia="zh-CN"/>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3、采购项目的特定资格要求：</w:t>
      </w:r>
      <w:r>
        <w:rPr>
          <w:rFonts w:hint="eastAsia" w:ascii="宋体" w:hAnsi="宋体" w:eastAsia="宋体" w:cs="宋体"/>
          <w:b/>
          <w:bCs/>
          <w:color w:val="000000" w:themeColor="text1"/>
          <w:sz w:val="24"/>
          <w:u w:val="single"/>
          <w:lang w:val="en-US" w:eastAsia="zh-CN"/>
          <w14:textFill>
            <w14:solidFill>
              <w14:schemeClr w14:val="tx1"/>
            </w14:solidFill>
          </w14:textFill>
        </w:rPr>
        <w:t>无</w:t>
      </w:r>
    </w:p>
    <w:p w14:paraId="2AE8A45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w:t>
      </w:r>
      <w:r>
        <w:rPr>
          <w:rFonts w:hint="eastAsia" w:ascii="宋体" w:hAnsi="宋体" w:eastAsia="宋体" w:cs="宋体"/>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单位负责人为同一人或者存在直接控股、管理关系的不同供应商，不得参加同一合同项下的政府采购活动。</w:t>
      </w:r>
    </w:p>
    <w:p w14:paraId="7117DBF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w:t>
      </w:r>
      <w:r>
        <w:rPr>
          <w:rFonts w:hint="eastAsia" w:ascii="宋体" w:hAnsi="宋体" w:eastAsia="宋体" w:cs="宋体"/>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为本采购项目提供整体设计、规范编制或者项目管理、监理、检测等服务的，不得再参加此项目的其他采购活动。</w:t>
      </w:r>
    </w:p>
    <w:p w14:paraId="72D91BE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w:t>
      </w:r>
      <w:r>
        <w:rPr>
          <w:rFonts w:hint="eastAsia" w:ascii="宋体" w:hAnsi="宋体" w:eastAsia="宋体" w:cs="宋体"/>
          <w:color w:val="000000" w:themeColor="text1"/>
          <w:sz w:val="24"/>
          <w:lang w:val="zh-CN"/>
          <w14:textFill>
            <w14:solidFill>
              <w14:schemeClr w14:val="tx1"/>
            </w14:solidFill>
          </w14:textFill>
        </w:rPr>
        <w:t>被“信用中国”</w:t>
      </w:r>
      <w:r>
        <w:rPr>
          <w:rFonts w:hint="eastAsia" w:ascii="宋体" w:hAnsi="宋体" w:eastAsia="宋体" w:cs="宋体"/>
          <w:color w:val="000000" w:themeColor="text1"/>
          <w:sz w:val="24"/>
          <w14:textFill>
            <w14:solidFill>
              <w14:schemeClr w14:val="tx1"/>
            </w14:solidFill>
          </w14:textFill>
        </w:rPr>
        <w:t>网站</w:t>
      </w:r>
      <w:r>
        <w:rPr>
          <w:rFonts w:hint="eastAsia" w:ascii="宋体" w:hAnsi="宋体" w:eastAsia="宋体" w:cs="宋体"/>
          <w:color w:val="000000" w:themeColor="text1"/>
          <w:sz w:val="24"/>
          <w:lang w:val="zh-CN"/>
          <w14:textFill>
            <w14:solidFill>
              <w14:schemeClr w14:val="tx1"/>
            </w14:solidFill>
          </w14:textFill>
        </w:rPr>
        <w:t>列入失信被执行人和重大税收违法</w:t>
      </w:r>
      <w:r>
        <w:rPr>
          <w:rFonts w:hint="eastAsia" w:ascii="宋体" w:hAnsi="宋体" w:eastAsia="宋体" w:cs="宋体"/>
          <w:color w:val="000000" w:themeColor="text1"/>
          <w:sz w:val="24"/>
          <w14:textFill>
            <w14:solidFill>
              <w14:schemeClr w14:val="tx1"/>
            </w14:solidFill>
          </w14:textFill>
        </w:rPr>
        <w:t>失信主体</w:t>
      </w:r>
      <w:r>
        <w:rPr>
          <w:rFonts w:hint="eastAsia" w:ascii="宋体" w:hAnsi="宋体" w:eastAsia="宋体" w:cs="宋体"/>
          <w:color w:val="000000" w:themeColor="text1"/>
          <w:sz w:val="24"/>
          <w:lang w:val="zh-CN"/>
          <w14:textFill>
            <w14:solidFill>
              <w14:schemeClr w14:val="tx1"/>
            </w14:solidFill>
          </w14:textFill>
        </w:rPr>
        <w:t>、被“中国政府采购网”列入政府采购严重违法失信行为记录名单（处罚期限尚未届满的）</w:t>
      </w:r>
      <w:r>
        <w:rPr>
          <w:rFonts w:hint="eastAsia" w:ascii="宋体" w:hAnsi="宋体" w:eastAsia="宋体" w:cs="宋体"/>
          <w:color w:val="000000" w:themeColor="text1"/>
          <w:sz w:val="24"/>
          <w14:textFill>
            <w14:solidFill>
              <w14:schemeClr w14:val="tx1"/>
            </w14:solidFill>
          </w14:textFill>
        </w:rPr>
        <w:t>的</w:t>
      </w:r>
      <w:r>
        <w:rPr>
          <w:rFonts w:hint="eastAsia" w:ascii="宋体" w:hAnsi="宋体" w:eastAsia="宋体" w:cs="宋体"/>
          <w:color w:val="000000" w:themeColor="text1"/>
          <w:sz w:val="24"/>
          <w:lang w:val="zh-CN"/>
          <w14:textFill>
            <w14:solidFill>
              <w14:schemeClr w14:val="tx1"/>
            </w14:solidFill>
          </w14:textFill>
        </w:rPr>
        <w:t>，不得参与本项目的政府采购活动</w:t>
      </w:r>
      <w:r>
        <w:rPr>
          <w:rFonts w:hint="eastAsia" w:ascii="宋体" w:hAnsi="宋体" w:eastAsia="宋体" w:cs="宋体"/>
          <w:color w:val="000000" w:themeColor="text1"/>
          <w:sz w:val="24"/>
          <w14:textFill>
            <w14:solidFill>
              <w14:schemeClr w14:val="tx1"/>
            </w14:solidFill>
          </w14:textFill>
        </w:rPr>
        <w:t>。</w:t>
      </w:r>
    </w:p>
    <w:p w14:paraId="2F9D7CB8">
      <w:pPr>
        <w:spacing w:line="360" w:lineRule="auto"/>
        <w:ind w:firstLine="480" w:firstLineChars="2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7、本项目</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b/>
          <w:bCs/>
          <w:color w:val="000000" w:themeColor="text1"/>
          <w:sz w:val="24"/>
          <w:u w:val="single"/>
          <w14:textFill>
            <w14:solidFill>
              <w14:schemeClr w14:val="tx1"/>
            </w14:solidFill>
          </w14:textFill>
        </w:rPr>
        <w:t>不接受</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联合体投标。</w:t>
      </w:r>
    </w:p>
    <w:p w14:paraId="002A8861">
      <w:pPr>
        <w:pStyle w:val="3"/>
        <w:rPr>
          <w:rFonts w:hint="eastAsia" w:ascii="宋体" w:hAnsi="宋体" w:eastAsia="宋体" w:cs="宋体"/>
          <w:bCs w:val="0"/>
          <w:color w:val="000000" w:themeColor="text1"/>
          <w:szCs w:val="24"/>
          <w14:textFill>
            <w14:solidFill>
              <w14:schemeClr w14:val="tx1"/>
            </w14:solidFill>
          </w14:textFill>
        </w:rPr>
      </w:pPr>
      <w:bookmarkStart w:id="5" w:name="_Toc18943"/>
      <w:r>
        <w:rPr>
          <w:rFonts w:hint="eastAsia" w:ascii="宋体" w:hAnsi="宋体" w:eastAsia="宋体" w:cs="宋体"/>
          <w:bCs w:val="0"/>
          <w:color w:val="000000" w:themeColor="text1"/>
          <w:szCs w:val="24"/>
          <w14:textFill>
            <w14:solidFill>
              <w14:schemeClr w14:val="tx1"/>
            </w14:solidFill>
          </w14:textFill>
        </w:rPr>
        <w:t>五、获取采购文件</w:t>
      </w:r>
      <w:bookmarkEnd w:id="5"/>
    </w:p>
    <w:p w14:paraId="6AF3175D">
      <w:pPr>
        <w:tabs>
          <w:tab w:val="left" w:pos="4700"/>
          <w:tab w:val="left" w:pos="6000"/>
          <w:tab w:val="left" w:pos="7160"/>
          <w:tab w:val="left" w:pos="8520"/>
        </w:tabs>
        <w:autoSpaceDE w:val="0"/>
        <w:autoSpaceDN w:val="0"/>
        <w:adjustRightInd w:val="0"/>
        <w:snapToGrid w:val="0"/>
        <w:spacing w:line="360" w:lineRule="auto"/>
        <w:ind w:right="-23" w:firstLine="480" w:firstLineChars="200"/>
        <w:jc w:val="left"/>
        <w:rPr>
          <w:rFonts w:hint="eastAsia" w:ascii="宋体" w:hAnsi="宋体" w:eastAsia="宋体" w:cs="宋体"/>
          <w:color w:val="000000" w:themeColor="text1"/>
          <w:spacing w:val="-14"/>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有</w:t>
      </w:r>
      <w:r>
        <w:rPr>
          <w:rFonts w:hint="eastAsia" w:ascii="宋体" w:hAnsi="宋体" w:eastAsia="宋体" w:cs="宋体"/>
          <w:color w:val="000000" w:themeColor="text1"/>
          <w:spacing w:val="-2"/>
          <w:kern w:val="0"/>
          <w:sz w:val="24"/>
          <w14:textFill>
            <w14:solidFill>
              <w14:schemeClr w14:val="tx1"/>
            </w14:solidFill>
          </w14:textFill>
        </w:rPr>
        <w:t>意</w:t>
      </w:r>
      <w:r>
        <w:rPr>
          <w:rFonts w:hint="eastAsia" w:ascii="宋体" w:hAnsi="宋体" w:eastAsia="宋体" w:cs="宋体"/>
          <w:color w:val="000000" w:themeColor="text1"/>
          <w:kern w:val="0"/>
          <w:sz w:val="24"/>
          <w14:textFill>
            <w14:solidFill>
              <w14:schemeClr w14:val="tx1"/>
            </w14:solidFill>
          </w14:textFill>
        </w:rPr>
        <w:t>参</w:t>
      </w:r>
      <w:r>
        <w:rPr>
          <w:rFonts w:hint="eastAsia" w:ascii="宋体" w:hAnsi="宋体" w:eastAsia="宋体" w:cs="宋体"/>
          <w:color w:val="000000" w:themeColor="text1"/>
          <w:spacing w:val="-2"/>
          <w:kern w:val="0"/>
          <w:sz w:val="24"/>
          <w14:textFill>
            <w14:solidFill>
              <w14:schemeClr w14:val="tx1"/>
            </w14:solidFill>
          </w14:textFill>
        </w:rPr>
        <w:t>加</w:t>
      </w:r>
      <w:r>
        <w:rPr>
          <w:rFonts w:hint="eastAsia" w:ascii="宋体" w:hAnsi="宋体" w:eastAsia="宋体" w:cs="宋体"/>
          <w:color w:val="000000" w:themeColor="text1"/>
          <w:kern w:val="0"/>
          <w:sz w:val="24"/>
          <w14:textFill>
            <w14:solidFill>
              <w14:schemeClr w14:val="tx1"/>
            </w14:solidFill>
          </w14:textFill>
        </w:rPr>
        <w:t>投</w:t>
      </w:r>
      <w:r>
        <w:rPr>
          <w:rFonts w:hint="eastAsia" w:ascii="宋体" w:hAnsi="宋体" w:eastAsia="宋体" w:cs="宋体"/>
          <w:color w:val="000000" w:themeColor="text1"/>
          <w:spacing w:val="-2"/>
          <w:kern w:val="0"/>
          <w:sz w:val="24"/>
          <w14:textFill>
            <w14:solidFill>
              <w14:schemeClr w14:val="tx1"/>
            </w14:solidFill>
          </w14:textFill>
        </w:rPr>
        <w:t>标</w:t>
      </w:r>
      <w:r>
        <w:rPr>
          <w:rFonts w:hint="eastAsia" w:ascii="宋体" w:hAnsi="宋体" w:eastAsia="宋体" w:cs="宋体"/>
          <w:color w:val="000000" w:themeColor="text1"/>
          <w:kern w:val="0"/>
          <w:sz w:val="24"/>
          <w:highlight w:val="none"/>
          <w14:textFill>
            <w14:solidFill>
              <w14:schemeClr w14:val="tx1"/>
            </w14:solidFill>
          </w14:textFill>
        </w:rPr>
        <w:t>者，于</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年</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9</w:t>
      </w:r>
      <w:r>
        <w:rPr>
          <w:rFonts w:hint="eastAsia" w:ascii="宋体" w:hAnsi="宋体" w:eastAsia="宋体" w:cs="宋体"/>
          <w:color w:val="000000" w:themeColor="text1"/>
          <w:spacing w:val="-2"/>
          <w:kern w:val="0"/>
          <w:sz w:val="24"/>
          <w:highlight w:val="none"/>
          <w14:textFill>
            <w14:solidFill>
              <w14:schemeClr w14:val="tx1"/>
            </w14:solidFill>
          </w14:textFill>
        </w:rPr>
        <w:t>月</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19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日</w:t>
      </w:r>
      <w:r>
        <w:rPr>
          <w:rFonts w:hint="eastAsia" w:ascii="宋体" w:hAnsi="宋体" w:eastAsia="宋体" w:cs="宋体"/>
          <w:color w:val="000000" w:themeColor="text1"/>
          <w:kern w:val="0"/>
          <w:sz w:val="24"/>
          <w:highlight w:val="none"/>
          <w:u w:val="single"/>
          <w14:textFill>
            <w14:solidFill>
              <w14:schemeClr w14:val="tx1"/>
            </w14:solidFill>
          </w14:textFill>
        </w:rPr>
        <w:t xml:space="preserve"> 08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kern w:val="0"/>
          <w:sz w:val="24"/>
          <w:highlight w:val="none"/>
          <w:u w:val="single"/>
          <w14:textFill>
            <w14:solidFill>
              <w14:schemeClr w14:val="tx1"/>
            </w14:solidFill>
          </w14:textFill>
        </w:rPr>
        <w:t xml:space="preserve"> 00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分至</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年</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月</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 xml:space="preserve"> 24 </w:t>
      </w:r>
      <w:r>
        <w:rPr>
          <w:rFonts w:hint="eastAsia" w:ascii="宋体" w:hAnsi="宋体" w:eastAsia="宋体" w:cs="宋体"/>
          <w:color w:val="000000" w:themeColor="text1"/>
          <w:spacing w:val="-2"/>
          <w:kern w:val="0"/>
          <w:sz w:val="24"/>
          <w:highlight w:val="none"/>
          <w14:textFill>
            <w14:solidFill>
              <w14:schemeClr w14:val="tx1"/>
            </w14:solidFill>
          </w14:textFill>
        </w:rPr>
        <w:t>日</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spacing w:val="-32"/>
          <w:kern w:val="0"/>
          <w:sz w:val="24"/>
          <w:highlight w:val="none"/>
          <w:u w:val="single"/>
          <w14:textFill>
            <w14:solidFill>
              <w14:schemeClr w14:val="tx1"/>
            </w14:solidFill>
          </w14:textFill>
        </w:rPr>
        <w:t>1</w:t>
      </w:r>
      <w:r>
        <w:rPr>
          <w:rFonts w:hint="eastAsia" w:ascii="宋体" w:hAnsi="宋体" w:eastAsia="宋体" w:cs="宋体"/>
          <w:color w:val="000000" w:themeColor="text1"/>
          <w:spacing w:val="-32"/>
          <w:kern w:val="0"/>
          <w:sz w:val="24"/>
          <w:highlight w:val="none"/>
          <w:u w:val="single"/>
          <w:lang w:val="en-US" w:eastAsia="zh-CN"/>
          <w14:textFill>
            <w14:solidFill>
              <w14:schemeClr w14:val="tx1"/>
            </w14:solidFill>
          </w14:textFill>
        </w:rPr>
        <w:t xml:space="preserve">7 </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kern w:val="0"/>
          <w:sz w:val="24"/>
          <w:highlight w:val="none"/>
          <w:u w:val="single"/>
          <w14:textFill>
            <w14:solidFill>
              <w14:schemeClr w14:val="tx1"/>
            </w14:solidFill>
          </w14:textFill>
        </w:rPr>
        <w:t xml:space="preserve"> 00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分</w:t>
      </w:r>
      <w:r>
        <w:rPr>
          <w:rFonts w:hint="eastAsia" w:ascii="宋体" w:hAnsi="宋体" w:eastAsia="宋体" w:cs="宋体"/>
          <w:color w:val="000000" w:themeColor="text1"/>
          <w:kern w:val="0"/>
          <w:sz w:val="24"/>
          <w:highlight w:val="none"/>
          <w14:textFill>
            <w14:solidFill>
              <w14:schemeClr w14:val="tx1"/>
            </w14:solidFill>
          </w14:textFill>
        </w:rPr>
        <w:t>（北</w:t>
      </w:r>
      <w:r>
        <w:rPr>
          <w:rFonts w:hint="eastAsia" w:ascii="宋体" w:hAnsi="宋体" w:eastAsia="宋体" w:cs="宋体"/>
          <w:color w:val="000000" w:themeColor="text1"/>
          <w:spacing w:val="-2"/>
          <w:kern w:val="0"/>
          <w:sz w:val="24"/>
          <w:highlight w:val="none"/>
          <w14:textFill>
            <w14:solidFill>
              <w14:schemeClr w14:val="tx1"/>
            </w14:solidFill>
          </w14:textFill>
        </w:rPr>
        <w:t>京</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spacing w:val="-2"/>
          <w:kern w:val="0"/>
          <w:sz w:val="24"/>
          <w:highlight w:val="none"/>
          <w14:textFill>
            <w14:solidFill>
              <w14:schemeClr w14:val="tx1"/>
            </w14:solidFill>
          </w14:textFill>
        </w:rPr>
        <w:t>间</w:t>
      </w:r>
      <w:r>
        <w:rPr>
          <w:rFonts w:hint="eastAsia" w:ascii="宋体" w:hAnsi="宋体" w:eastAsia="宋体" w:cs="宋体"/>
          <w:color w:val="000000" w:themeColor="text1"/>
          <w:spacing w:val="-108"/>
          <w:kern w:val="0"/>
          <w:sz w:val="24"/>
          <w:highlight w:val="none"/>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），在</w:t>
      </w:r>
      <w:r>
        <w:rPr>
          <w:rFonts w:hint="eastAsia" w:ascii="宋体" w:hAnsi="宋体" w:eastAsia="宋体" w:cs="宋体"/>
          <w:color w:val="000000" w:themeColor="text1"/>
          <w:kern w:val="0"/>
          <w:sz w:val="24"/>
          <w:highlight w:val="none"/>
          <w:u w:val="single"/>
          <w14:textFill>
            <w14:solidFill>
              <w14:schemeClr w14:val="tx1"/>
            </w14:solidFill>
          </w14:textFill>
        </w:rPr>
        <w:t xml:space="preserve"> 《中国湖南政府采购网》（http://www.ccgp-hunan.gov.cn/）或者《湘西公共资源交易网》</w:t>
      </w:r>
      <w:r>
        <w:rPr>
          <w:rFonts w:hint="eastAsia" w:ascii="宋体" w:hAnsi="宋体" w:eastAsia="宋体" w:cs="宋体"/>
          <w:color w:val="000000" w:themeColor="text1"/>
          <w:kern w:val="0"/>
          <w:sz w:val="24"/>
          <w:u w:val="single"/>
          <w14:textFill>
            <w14:solidFill>
              <w14:schemeClr w14:val="tx1"/>
            </w14:solidFill>
          </w14:textFill>
        </w:rPr>
        <w:t xml:space="preserve">（http://ggzyjy.xxz.gov.cn） </w:t>
      </w:r>
      <w:r>
        <w:rPr>
          <w:rFonts w:hint="eastAsia" w:ascii="宋体" w:hAnsi="宋体" w:eastAsia="宋体" w:cs="宋体"/>
          <w:color w:val="000000" w:themeColor="text1"/>
          <w:spacing w:val="-2"/>
          <w:kern w:val="0"/>
          <w:sz w:val="24"/>
          <w14:textFill>
            <w14:solidFill>
              <w14:schemeClr w14:val="tx1"/>
            </w14:solidFill>
          </w14:textFill>
        </w:rPr>
        <w:t>获取电子</w:t>
      </w:r>
      <w:r>
        <w:rPr>
          <w:rFonts w:hint="eastAsia" w:ascii="宋体" w:hAnsi="宋体" w:eastAsia="宋体" w:cs="宋体"/>
          <w:color w:val="000000" w:themeColor="text1"/>
          <w:kern w:val="0"/>
          <w:sz w:val="24"/>
          <w14:textFill>
            <w14:solidFill>
              <w14:schemeClr w14:val="tx1"/>
            </w14:solidFill>
          </w14:textFill>
        </w:rPr>
        <w:t>招标</w:t>
      </w:r>
      <w:r>
        <w:rPr>
          <w:rFonts w:hint="eastAsia" w:ascii="宋体" w:hAnsi="宋体" w:eastAsia="宋体" w:cs="宋体"/>
          <w:color w:val="000000" w:themeColor="text1"/>
          <w:spacing w:val="-2"/>
          <w:kern w:val="0"/>
          <w:sz w:val="24"/>
          <w14:textFill>
            <w14:solidFill>
              <w14:schemeClr w14:val="tx1"/>
            </w14:solidFill>
          </w14:textFill>
        </w:rPr>
        <w:t>文件</w:t>
      </w:r>
      <w:r>
        <w:rPr>
          <w:rFonts w:hint="eastAsia" w:ascii="宋体" w:hAnsi="宋体" w:eastAsia="宋体" w:cs="宋体"/>
          <w:color w:val="000000" w:themeColor="text1"/>
          <w:spacing w:val="-14"/>
          <w:kern w:val="0"/>
          <w:sz w:val="24"/>
          <w14:textFill>
            <w14:solidFill>
              <w14:schemeClr w14:val="tx1"/>
            </w14:solidFill>
          </w14:textFill>
        </w:rPr>
        <w:t>。</w:t>
      </w:r>
    </w:p>
    <w:p w14:paraId="5148D877">
      <w:pPr>
        <w:tabs>
          <w:tab w:val="left" w:pos="4700"/>
          <w:tab w:val="left" w:pos="6000"/>
          <w:tab w:val="left" w:pos="7160"/>
          <w:tab w:val="left" w:pos="8520"/>
        </w:tabs>
        <w:autoSpaceDE w:val="0"/>
        <w:autoSpaceDN w:val="0"/>
        <w:adjustRightInd w:val="0"/>
        <w:snapToGrid w:val="0"/>
        <w:spacing w:line="360" w:lineRule="auto"/>
        <w:ind w:right="-23" w:firstLine="480" w:firstLineChars="2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FE"/>
      </w:r>
      <w:r>
        <w:rPr>
          <w:rFonts w:hint="eastAsia" w:ascii="宋体" w:hAnsi="宋体" w:eastAsia="宋体" w:cs="宋体"/>
          <w:iCs/>
          <w:color w:val="000000" w:themeColor="text1"/>
          <w:sz w:val="24"/>
          <w14:textFill>
            <w14:solidFill>
              <w14:schemeClr w14:val="tx1"/>
            </w14:solidFill>
          </w14:textFill>
        </w:rPr>
        <w:t>本项目</w:t>
      </w:r>
      <w:r>
        <w:rPr>
          <w:rFonts w:hint="eastAsia" w:ascii="宋体" w:hAnsi="宋体" w:eastAsia="宋体" w:cs="宋体"/>
          <w:color w:val="000000" w:themeColor="text1"/>
          <w:spacing w:val="-14"/>
          <w:kern w:val="0"/>
          <w:sz w:val="24"/>
          <w14:textFill>
            <w14:solidFill>
              <w14:schemeClr w14:val="tx1"/>
            </w14:solidFill>
          </w14:textFill>
        </w:rPr>
        <w:t>实行电子交易，</w:t>
      </w:r>
      <w:r>
        <w:rPr>
          <w:rFonts w:hint="eastAsia" w:ascii="宋体" w:hAnsi="宋体" w:eastAsia="宋体" w:cs="宋体"/>
          <w:color w:val="000000" w:themeColor="text1"/>
          <w:kern w:val="0"/>
          <w:sz w:val="24"/>
          <w14:textFill>
            <w14:solidFill>
              <w14:schemeClr w14:val="tx1"/>
            </w14:solidFill>
          </w14:textFill>
        </w:rPr>
        <w:t>有</w:t>
      </w:r>
      <w:r>
        <w:rPr>
          <w:rFonts w:hint="eastAsia" w:ascii="宋体" w:hAnsi="宋体" w:eastAsia="宋体" w:cs="宋体"/>
          <w:color w:val="000000" w:themeColor="text1"/>
          <w:spacing w:val="-2"/>
          <w:kern w:val="0"/>
          <w:sz w:val="24"/>
          <w14:textFill>
            <w14:solidFill>
              <w14:schemeClr w14:val="tx1"/>
            </w14:solidFill>
          </w14:textFill>
        </w:rPr>
        <w:t>意</w:t>
      </w:r>
      <w:r>
        <w:rPr>
          <w:rFonts w:hint="eastAsia" w:ascii="宋体" w:hAnsi="宋体" w:eastAsia="宋体" w:cs="宋体"/>
          <w:color w:val="000000" w:themeColor="text1"/>
          <w:kern w:val="0"/>
          <w:sz w:val="24"/>
          <w14:textFill>
            <w14:solidFill>
              <w14:schemeClr w14:val="tx1"/>
            </w14:solidFill>
          </w14:textFill>
        </w:rPr>
        <w:t>参</w:t>
      </w:r>
      <w:r>
        <w:rPr>
          <w:rFonts w:hint="eastAsia" w:ascii="宋体" w:hAnsi="宋体" w:eastAsia="宋体" w:cs="宋体"/>
          <w:color w:val="000000" w:themeColor="text1"/>
          <w:spacing w:val="-2"/>
          <w:kern w:val="0"/>
          <w:sz w:val="24"/>
          <w14:textFill>
            <w14:solidFill>
              <w14:schemeClr w14:val="tx1"/>
            </w14:solidFill>
          </w14:textFill>
        </w:rPr>
        <w:t>加</w:t>
      </w:r>
      <w:r>
        <w:rPr>
          <w:rFonts w:hint="eastAsia" w:ascii="宋体" w:hAnsi="宋体" w:eastAsia="宋体" w:cs="宋体"/>
          <w:color w:val="000000" w:themeColor="text1"/>
          <w:kern w:val="0"/>
          <w:sz w:val="24"/>
          <w14:textFill>
            <w14:solidFill>
              <w14:schemeClr w14:val="tx1"/>
            </w14:solidFill>
          </w14:textFill>
        </w:rPr>
        <w:t>投</w:t>
      </w:r>
      <w:r>
        <w:rPr>
          <w:rFonts w:hint="eastAsia" w:ascii="宋体" w:hAnsi="宋体" w:eastAsia="宋体" w:cs="宋体"/>
          <w:color w:val="000000" w:themeColor="text1"/>
          <w:spacing w:val="-2"/>
          <w:kern w:val="0"/>
          <w:sz w:val="24"/>
          <w14:textFill>
            <w14:solidFill>
              <w14:schemeClr w14:val="tx1"/>
            </w14:solidFill>
          </w14:textFill>
        </w:rPr>
        <w:t>标</w:t>
      </w:r>
      <w:r>
        <w:rPr>
          <w:rFonts w:hint="eastAsia" w:ascii="宋体" w:hAnsi="宋体" w:eastAsia="宋体" w:cs="宋体"/>
          <w:color w:val="000000" w:themeColor="text1"/>
          <w:kern w:val="0"/>
          <w:sz w:val="24"/>
          <w14:textFill>
            <w14:solidFill>
              <w14:schemeClr w14:val="tx1"/>
            </w14:solidFill>
          </w14:textFill>
        </w:rPr>
        <w:t>者，在</w:t>
      </w:r>
      <w:r>
        <w:rPr>
          <w:rFonts w:hint="eastAsia" w:ascii="宋体" w:hAnsi="宋体" w:eastAsia="宋体" w:cs="宋体"/>
          <w:color w:val="000000" w:themeColor="text1"/>
          <w:kern w:val="0"/>
          <w:sz w:val="24"/>
          <w:u w:val="single"/>
          <w14:textFill>
            <w14:solidFill>
              <w14:schemeClr w14:val="tx1"/>
            </w14:solidFill>
          </w14:textFill>
        </w:rPr>
        <w:t xml:space="preserve"> 《中国湖南政府采购网》（http://www.ccgp-hunan.gov.cn/）→查看政府采购公告→附件→下载电子招标文件，或者登陆《湘西公共资源交易网》（http://ggzyjy.xxz.gov.cn）→点击“一站式综合服务系统”→点击“用户登录”→点击：“会员端”（使用用户名登录或证书 Key登录）→点击“采购业务-填写投标信息”菜单，进入页面→点击“操作”按钮，进入到投标信息完善详情页面：填写项目负责人，点击我要投标→点击“采购业务-采购公告及文件下载”菜单，进入页面→点击“领取”下载按钮，进入详细页面→点击“下载招标文件”按钮，进入文件详细页面进行交易文件下载 </w:t>
      </w:r>
      <w:r>
        <w:rPr>
          <w:rFonts w:hint="eastAsia" w:ascii="宋体" w:hAnsi="宋体" w:eastAsia="宋体" w:cs="宋体"/>
          <w:color w:val="000000" w:themeColor="text1"/>
          <w:spacing w:val="-2"/>
          <w:kern w:val="0"/>
          <w:sz w:val="24"/>
          <w14:textFill>
            <w14:solidFill>
              <w14:schemeClr w14:val="tx1"/>
            </w14:solidFill>
          </w14:textFill>
        </w:rPr>
        <w:t>获取电子版</w:t>
      </w:r>
      <w:r>
        <w:rPr>
          <w:rFonts w:hint="eastAsia" w:ascii="宋体" w:hAnsi="宋体" w:eastAsia="宋体" w:cs="宋体"/>
          <w:color w:val="000000" w:themeColor="text1"/>
          <w:kern w:val="0"/>
          <w:sz w:val="24"/>
          <w14:textFill>
            <w14:solidFill>
              <w14:schemeClr w14:val="tx1"/>
            </w14:solidFill>
          </w14:textFill>
        </w:rPr>
        <w:t>招标</w:t>
      </w:r>
      <w:r>
        <w:rPr>
          <w:rFonts w:hint="eastAsia" w:ascii="宋体" w:hAnsi="宋体" w:eastAsia="宋体" w:cs="宋体"/>
          <w:color w:val="000000" w:themeColor="text1"/>
          <w:spacing w:val="-2"/>
          <w:kern w:val="0"/>
          <w:sz w:val="24"/>
          <w14:textFill>
            <w14:solidFill>
              <w14:schemeClr w14:val="tx1"/>
            </w14:solidFill>
          </w14:textFill>
        </w:rPr>
        <w:t>文件</w:t>
      </w:r>
      <w:r>
        <w:rPr>
          <w:rFonts w:hint="eastAsia" w:ascii="宋体" w:hAnsi="宋体" w:eastAsia="宋体" w:cs="宋体"/>
          <w:color w:val="000000" w:themeColor="text1"/>
          <w:spacing w:val="-14"/>
          <w:kern w:val="0"/>
          <w:sz w:val="24"/>
          <w14:textFill>
            <w14:solidFill>
              <w14:schemeClr w14:val="tx1"/>
            </w14:solidFill>
          </w14:textFill>
        </w:rPr>
        <w:t>。</w:t>
      </w:r>
    </w:p>
    <w:p w14:paraId="6738459F">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备注：1、以上2种途径均可获取电子招标文件，但投标供应商须在获取电子招标文件截止时间以前登陆《湘西公共资源交易网》完成点击我要投标阶段的操作，否则将会影响其投标；</w:t>
      </w:r>
    </w:p>
    <w:p w14:paraId="72710696">
      <w:pPr>
        <w:pStyle w:val="45"/>
        <w:spacing w:before="0"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 xml:space="preserve">    2、</w:t>
      </w:r>
      <w:r>
        <w:rPr>
          <w:rFonts w:hint="eastAsia" w:ascii="宋体" w:hAnsi="宋体" w:eastAsia="宋体" w:cs="宋体"/>
          <w:b/>
          <w:bCs/>
          <w:color w:val="000000" w:themeColor="text1"/>
          <w:kern w:val="2"/>
          <w14:textFill>
            <w14:solidFill>
              <w14:schemeClr w14:val="tx1"/>
            </w14:solidFill>
          </w14:textFill>
        </w:rPr>
        <w:t>各投标供应商自行在以上网站下载或查阅招标相关文件和资料等，恕不另行通知，如有遗漏采购代理机构概不负责。</w:t>
      </w:r>
    </w:p>
    <w:p w14:paraId="2FFF137B">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六、投标截止时间、开标时间及地点</w:t>
      </w:r>
    </w:p>
    <w:p w14:paraId="4296DE43">
      <w:pPr>
        <w:spacing w:line="360" w:lineRule="auto"/>
        <w:ind w:left="239" w:leftChars="114" w:firstLine="240" w:firstLineChars="1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1、电子响应文件递交的截止时间（即：投标截止时间，下同）及开标时间：</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kern w:val="0"/>
          <w:sz w:val="24"/>
          <w:highlight w:val="none"/>
          <w14:textFill>
            <w14:solidFill>
              <w14:schemeClr w14:val="tx1"/>
            </w14:solidFill>
          </w14:textFill>
        </w:rPr>
        <w:t>年</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月</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日</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09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00</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分</w:t>
      </w:r>
      <w:r>
        <w:rPr>
          <w:rFonts w:hint="eastAsia" w:ascii="宋体" w:hAnsi="宋体" w:eastAsia="宋体" w:cs="宋体"/>
          <w:b/>
          <w:bCs/>
          <w:color w:val="000000" w:themeColor="text1"/>
          <w:kern w:val="0"/>
          <w:sz w:val="24"/>
          <w:highlight w:val="none"/>
          <w:lang w:bidi="ar"/>
          <w14:textFill>
            <w14:solidFill>
              <w14:schemeClr w14:val="tx1"/>
            </w14:solidFill>
          </w14:textFill>
        </w:rPr>
        <w:t>（</w:t>
      </w:r>
      <w:r>
        <w:rPr>
          <w:rFonts w:hint="eastAsia" w:ascii="宋体" w:hAnsi="宋体" w:eastAsia="宋体" w:cs="宋体"/>
          <w:b/>
          <w:bCs/>
          <w:color w:val="000000" w:themeColor="text1"/>
          <w:kern w:val="0"/>
          <w:sz w:val="24"/>
          <w:lang w:bidi="ar"/>
          <w14:textFill>
            <w14:solidFill>
              <w14:schemeClr w14:val="tx1"/>
            </w14:solidFill>
          </w14:textFill>
        </w:rPr>
        <w:t>北京时间）。</w:t>
      </w:r>
      <w:r>
        <w:rPr>
          <w:rFonts w:hint="eastAsia" w:ascii="宋体" w:hAnsi="宋体" w:eastAsia="宋体" w:cs="宋体"/>
          <w:color w:val="000000" w:themeColor="text1"/>
          <w:kern w:val="0"/>
          <w:sz w:val="24"/>
          <w:lang w:bidi="ar"/>
          <w14:textFill>
            <w14:solidFill>
              <w14:schemeClr w14:val="tx1"/>
            </w14:solidFill>
          </w14:textFill>
        </w:rPr>
        <w:t>请投标人登录《湘西公共资源交易网》（http://ggzyjy.xxz.gov.cn）下载电子投标文件制作工具编制响应文件，</w:t>
      </w:r>
      <w:r>
        <w:rPr>
          <w:rFonts w:hint="eastAsia" w:ascii="宋体" w:hAnsi="宋体" w:eastAsia="宋体" w:cs="宋体"/>
          <w:b/>
          <w:bCs/>
          <w:color w:val="000000" w:themeColor="text1"/>
          <w:kern w:val="0"/>
          <w:sz w:val="24"/>
          <w:lang w:bidi="ar"/>
          <w14:textFill>
            <w14:solidFill>
              <w14:schemeClr w14:val="tx1"/>
            </w14:solidFill>
          </w14:textFill>
        </w:rPr>
        <w:t>投标人应在投标截止时间前通过湘西州公共资源交易中心电子交易平台（http://app.ggzyjy.xxz.gov.cn/TPBidder/memberLogin）递交数据电文形式的响应文件一份</w:t>
      </w:r>
      <w:r>
        <w:rPr>
          <w:rFonts w:hint="eastAsia" w:ascii="宋体" w:hAnsi="宋体" w:eastAsia="宋体" w:cs="宋体"/>
          <w:color w:val="000000" w:themeColor="text1"/>
          <w:kern w:val="0"/>
          <w:sz w:val="24"/>
          <w:lang w:bidi="ar"/>
          <w14:textFill>
            <w14:solidFill>
              <w14:schemeClr w14:val="tx1"/>
            </w14:solidFill>
          </w14:textFill>
        </w:rPr>
        <w:t>。逾期送达的电子响应文件，电子招标投标交易平台予以拒收。</w:t>
      </w:r>
    </w:p>
    <w:p w14:paraId="5CC8C59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2、电子响应文件的解密截止时间：</w:t>
      </w:r>
      <w:r>
        <w:rPr>
          <w:rFonts w:hint="eastAsia" w:ascii="宋体" w:hAnsi="宋体" w:eastAsia="宋体" w:cs="宋体"/>
          <w:b/>
          <w:bCs/>
          <w:color w:val="000000" w:themeColor="text1"/>
          <w:kern w:val="0"/>
          <w:sz w:val="24"/>
          <w:lang w:bidi="ar"/>
          <w14:textFill>
            <w14:solidFill>
              <w14:schemeClr w14:val="tx1"/>
            </w14:solidFill>
          </w14:textFill>
        </w:rPr>
        <w:t>解密指令发出后 30 分钟内</w:t>
      </w:r>
      <w:r>
        <w:rPr>
          <w:rFonts w:hint="eastAsia" w:ascii="宋体" w:hAnsi="宋体" w:eastAsia="宋体" w:cs="宋体"/>
          <w:color w:val="000000" w:themeColor="text1"/>
          <w:kern w:val="0"/>
          <w:sz w:val="24"/>
          <w:lang w:bidi="ar"/>
          <w14:textFill>
            <w14:solidFill>
              <w14:schemeClr w14:val="tx1"/>
            </w14:solidFill>
          </w14:textFill>
        </w:rPr>
        <w:t>。请投标人确保响应文件如期解密。在开标现场解密的，请投标人携带CA数字证书并自备解密电脑和网络。</w:t>
      </w:r>
    </w:p>
    <w:p w14:paraId="4F97E5E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3、开标地点：在湘西自治州公共资源交易中心电子招标交易平台</w:t>
      </w:r>
      <w:r>
        <w:rPr>
          <w:rFonts w:hint="eastAsia" w:ascii="宋体" w:hAnsi="宋体" w:eastAsia="宋体" w:cs="宋体"/>
          <w:b/>
          <w:bCs/>
          <w:color w:val="000000" w:themeColor="text1"/>
          <w:kern w:val="0"/>
          <w:sz w:val="24"/>
          <w:lang w:bidi="ar"/>
          <w14:textFill>
            <w14:solidFill>
              <w14:schemeClr w14:val="tx1"/>
            </w14:solidFill>
          </w14:textFill>
        </w:rPr>
        <w:t>不见面开标</w:t>
      </w:r>
      <w:r>
        <w:rPr>
          <w:rFonts w:hint="eastAsia" w:ascii="宋体" w:hAnsi="宋体" w:eastAsia="宋体" w:cs="宋体"/>
          <w:b/>
          <w:bCs/>
          <w:color w:val="000000" w:themeColor="text1"/>
          <w:kern w:val="0"/>
          <w:sz w:val="24"/>
          <w:highlight w:val="none"/>
          <w:lang w:bidi="ar"/>
          <w14:textFill>
            <w14:solidFill>
              <w14:schemeClr w14:val="tx1"/>
            </w14:solidFill>
          </w14:textFill>
        </w:rPr>
        <w:t>室</w:t>
      </w:r>
      <w:r>
        <w:rPr>
          <w:rFonts w:hint="eastAsia" w:ascii="宋体" w:hAnsi="宋体" w:eastAsia="宋体" w:cs="宋体"/>
          <w:b/>
          <w:bCs/>
          <w:color w:val="000000" w:themeColor="text1"/>
          <w:kern w:val="0"/>
          <w:sz w:val="24"/>
          <w:highlight w:val="none"/>
          <w:u w:val="single"/>
          <w:lang w:bidi="ar"/>
          <w14:textFill>
            <w14:solidFill>
              <w14:schemeClr w14:val="tx1"/>
            </w14:solidFill>
          </w14:textFill>
        </w:rPr>
        <w:t xml:space="preserve"> </w:t>
      </w:r>
      <w:r>
        <w:rPr>
          <w:rFonts w:hint="eastAsia" w:ascii="宋体" w:hAnsi="宋体" w:eastAsia="宋体" w:cs="宋体"/>
          <w:b/>
          <w:bCs/>
          <w:color w:val="000000" w:themeColor="text1"/>
          <w:kern w:val="0"/>
          <w:sz w:val="24"/>
          <w:highlight w:val="none"/>
          <w:u w:val="single"/>
          <w:lang w:val="en-US" w:eastAsia="zh-CN" w:bidi="ar"/>
          <w14:textFill>
            <w14:solidFill>
              <w14:schemeClr w14:val="tx1"/>
            </w14:solidFill>
          </w14:textFill>
        </w:rPr>
        <w:t>四</w:t>
      </w:r>
      <w:r>
        <w:rPr>
          <w:rFonts w:hint="eastAsia" w:ascii="宋体" w:hAnsi="宋体" w:eastAsia="宋体" w:cs="宋体"/>
          <w:b/>
          <w:bCs/>
          <w:color w:val="000000" w:themeColor="text1"/>
          <w:kern w:val="0"/>
          <w:sz w:val="24"/>
          <w:highlight w:val="none"/>
          <w:u w:val="single"/>
          <w:lang w:bidi="ar"/>
          <w14:textFill>
            <w14:solidFill>
              <w14:schemeClr w14:val="tx1"/>
            </w14:solidFill>
          </w14:textFill>
        </w:rPr>
        <w:t xml:space="preserve"> </w:t>
      </w:r>
      <w:r>
        <w:rPr>
          <w:rFonts w:hint="eastAsia" w:ascii="宋体" w:hAnsi="宋体" w:eastAsia="宋体" w:cs="宋体"/>
          <w:b/>
          <w:bCs/>
          <w:color w:val="000000" w:themeColor="text1"/>
          <w:kern w:val="0"/>
          <w:sz w:val="24"/>
          <w:highlight w:val="none"/>
          <w:lang w:bidi="ar"/>
          <w14:textFill>
            <w14:solidFill>
              <w14:schemeClr w14:val="tx1"/>
            </w14:solidFill>
          </w14:textFill>
        </w:rPr>
        <w:t>举行</w:t>
      </w:r>
      <w:r>
        <w:rPr>
          <w:rFonts w:hint="eastAsia" w:ascii="宋体" w:hAnsi="宋体" w:eastAsia="宋体" w:cs="宋体"/>
          <w:color w:val="000000" w:themeColor="text1"/>
          <w:kern w:val="0"/>
          <w:sz w:val="24"/>
          <w:highlight w:val="none"/>
          <w:lang w:bidi="ar"/>
          <w14:textFill>
            <w14:solidFill>
              <w14:schemeClr w14:val="tx1"/>
            </w14:solidFill>
          </w14:textFill>
        </w:rPr>
        <w:t>，</w:t>
      </w:r>
      <w:r>
        <w:rPr>
          <w:rFonts w:hint="eastAsia" w:ascii="宋体" w:hAnsi="宋体" w:eastAsia="宋体" w:cs="宋体"/>
          <w:color w:val="000000" w:themeColor="text1"/>
          <w:kern w:val="0"/>
          <w:sz w:val="24"/>
          <w:lang w:bidi="ar"/>
          <w14:textFill>
            <w14:solidFill>
              <w14:schemeClr w14:val="tx1"/>
            </w14:solidFill>
          </w14:textFill>
        </w:rPr>
        <w:t>所有投标人应准时在线参加开标。</w:t>
      </w:r>
    </w:p>
    <w:p w14:paraId="1CF8BC8B">
      <w:pPr>
        <w:spacing w:line="360" w:lineRule="auto"/>
        <w:ind w:firstLine="480" w:firstLineChars="200"/>
        <w:rPr>
          <w:rFonts w:hint="eastAsia" w:ascii="宋体" w:hAnsi="宋体" w:eastAsia="宋体" w:cs="宋体"/>
          <w:b/>
          <w:bCs/>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 </w:t>
      </w:r>
      <w:r>
        <w:rPr>
          <w:rFonts w:hint="eastAsia" w:ascii="宋体" w:hAnsi="宋体" w:eastAsia="宋体" w:cs="宋体"/>
          <w:b/>
          <w:bCs/>
          <w:color w:val="000000" w:themeColor="text1"/>
          <w:kern w:val="0"/>
          <w:sz w:val="24"/>
          <w:lang w:bidi="ar"/>
          <w14:textFill>
            <w14:solidFill>
              <w14:schemeClr w14:val="tx1"/>
            </w14:solidFill>
          </w14:textFill>
        </w:rPr>
        <w:t>注：届时网上不见面开标大厅进行在线解密需使用对应制作响应文件的CA锁进行解密（不见面开标大厅登录地址：</w:t>
      </w:r>
      <w:r>
        <w:rPr>
          <w:rFonts w:hint="eastAsia" w:ascii="宋体" w:hAnsi="宋体" w:eastAsia="宋体" w:cs="宋体"/>
          <w:b/>
          <w:bCs/>
          <w:color w:val="000000" w:themeColor="text1"/>
          <w:kern w:val="0"/>
          <w:sz w:val="24"/>
          <w:lang w:bidi="ar"/>
          <w14:textFill>
            <w14:solidFill>
              <w14:schemeClr w14:val="tx1"/>
            </w14:solidFill>
          </w14:textFill>
        </w:rPr>
        <w:fldChar w:fldCharType="begin"/>
      </w:r>
      <w:r>
        <w:rPr>
          <w:rFonts w:hint="eastAsia" w:ascii="宋体" w:hAnsi="宋体" w:eastAsia="宋体" w:cs="宋体"/>
          <w:b/>
          <w:bCs/>
          <w:color w:val="000000" w:themeColor="text1"/>
          <w:kern w:val="0"/>
          <w:sz w:val="24"/>
          <w:lang w:bidi="ar"/>
          <w14:textFill>
            <w14:solidFill>
              <w14:schemeClr w14:val="tx1"/>
            </w14:solidFill>
          </w14:textFill>
        </w:rPr>
        <w:instrText xml:space="preserve"> HYPERLINK "http://app.ggzyjy.xxz.gov.cn/BidOpening/bidopeninghallaction/hall/" </w:instrText>
      </w:r>
      <w:r>
        <w:rPr>
          <w:rFonts w:hint="eastAsia" w:ascii="宋体" w:hAnsi="宋体" w:eastAsia="宋体" w:cs="宋体"/>
          <w:b/>
          <w:bCs/>
          <w:color w:val="000000" w:themeColor="text1"/>
          <w:kern w:val="0"/>
          <w:sz w:val="24"/>
          <w:lang w:bidi="ar"/>
          <w14:textFill>
            <w14:solidFill>
              <w14:schemeClr w14:val="tx1"/>
            </w14:solidFill>
          </w14:textFill>
        </w:rPr>
        <w:fldChar w:fldCharType="separate"/>
      </w:r>
      <w:r>
        <w:rPr>
          <w:rFonts w:hint="eastAsia" w:ascii="宋体" w:hAnsi="宋体" w:eastAsia="宋体" w:cs="宋体"/>
          <w:b/>
          <w:bCs/>
          <w:color w:val="000000" w:themeColor="text1"/>
          <w:kern w:val="0"/>
          <w:sz w:val="24"/>
          <w:lang w:bidi="ar"/>
          <w14:textFill>
            <w14:solidFill>
              <w14:schemeClr w14:val="tx1"/>
            </w14:solidFill>
          </w14:textFill>
        </w:rPr>
        <w:t>http://app.ggzyjy.xxz.gov.cn/</w:t>
      </w:r>
    </w:p>
    <w:p w14:paraId="3BDF8FFA">
      <w:pP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kern w:val="0"/>
          <w:sz w:val="24"/>
          <w:lang w:bidi="ar"/>
          <w14:textFill>
            <w14:solidFill>
              <w14:schemeClr w14:val="tx1"/>
            </w14:solidFill>
          </w14:textFill>
        </w:rPr>
        <w:t>BidOpening/bidopeninghallaction/hall/</w:t>
      </w:r>
      <w:r>
        <w:rPr>
          <w:rFonts w:hint="eastAsia" w:ascii="宋体" w:hAnsi="宋体" w:eastAsia="宋体" w:cs="宋体"/>
          <w:b/>
          <w:bCs/>
          <w:color w:val="000000" w:themeColor="text1"/>
          <w:kern w:val="0"/>
          <w:sz w:val="24"/>
          <w:lang w:bidi="ar"/>
          <w14:textFill>
            <w14:solidFill>
              <w14:schemeClr w14:val="tx1"/>
            </w14:solidFill>
          </w14:textFill>
        </w:rPr>
        <w:fldChar w:fldCharType="end"/>
      </w:r>
      <w:r>
        <w:rPr>
          <w:rFonts w:hint="eastAsia" w:ascii="宋体" w:hAnsi="宋体" w:eastAsia="宋体" w:cs="宋体"/>
          <w:b/>
          <w:bCs/>
          <w:color w:val="000000" w:themeColor="text1"/>
          <w:kern w:val="0"/>
          <w:sz w:val="24"/>
          <w:lang w:bidi="ar"/>
          <w14:textFill>
            <w14:solidFill>
              <w14:schemeClr w14:val="tx1"/>
            </w14:solidFill>
          </w14:textFill>
        </w:rPr>
        <w:t>login）。</w:t>
      </w:r>
    </w:p>
    <w:p w14:paraId="0F394FD1">
      <w:pPr>
        <w:pStyle w:val="3"/>
        <w:rPr>
          <w:rFonts w:hint="eastAsia" w:ascii="宋体" w:hAnsi="宋体" w:eastAsia="宋体" w:cs="宋体"/>
          <w:bCs w:val="0"/>
          <w:color w:val="000000" w:themeColor="text1"/>
          <w:szCs w:val="24"/>
          <w14:textFill>
            <w14:solidFill>
              <w14:schemeClr w14:val="tx1"/>
            </w14:solidFill>
          </w14:textFill>
        </w:rPr>
      </w:pPr>
      <w:bookmarkStart w:id="6" w:name="_Toc8473"/>
      <w:r>
        <w:rPr>
          <w:rFonts w:hint="eastAsia" w:ascii="宋体" w:hAnsi="宋体" w:eastAsia="宋体" w:cs="宋体"/>
          <w:bCs w:val="0"/>
          <w:color w:val="000000" w:themeColor="text1"/>
          <w:szCs w:val="24"/>
          <w14:textFill>
            <w14:solidFill>
              <w14:schemeClr w14:val="tx1"/>
            </w14:solidFill>
          </w14:textFill>
        </w:rPr>
        <w:t>七、公告期限</w:t>
      </w:r>
      <w:bookmarkEnd w:id="6"/>
    </w:p>
    <w:p w14:paraId="79F80899">
      <w:pPr>
        <w:widowControl/>
        <w:spacing w:line="360" w:lineRule="auto"/>
        <w:ind w:firstLine="480" w:firstLineChars="200"/>
        <w:jc w:val="left"/>
        <w:rPr>
          <w:rFonts w:hint="eastAsia" w:ascii="宋体" w:hAnsi="宋体" w:eastAsia="宋体" w:cs="宋体"/>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 xml:space="preserve">1、本公告在《中国湖南政府采购网》（http://ccgp-hunan.gov.cn），公告期限从本公告发布之日起 5 个工作日。 </w:t>
      </w:r>
    </w:p>
    <w:p w14:paraId="3F83D4C9">
      <w:pPr>
        <w:widowControl/>
        <w:spacing w:line="360" w:lineRule="auto"/>
        <w:ind w:firstLine="480" w:firstLineChars="200"/>
        <w:jc w:val="left"/>
        <w:rPr>
          <w:rFonts w:hint="eastAsia" w:ascii="宋体" w:hAnsi="宋体" w:eastAsia="宋体" w:cs="宋体"/>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2、在其他媒体发布的磋商公告，公告内容以《中国湖南政府采购网》发布的公告为准；公告期限自本磋商公告在《中国湖南政府采购网》发布公告之日起算。</w:t>
      </w:r>
    </w:p>
    <w:p w14:paraId="207F8682">
      <w:pPr>
        <w:pStyle w:val="3"/>
        <w:rPr>
          <w:rFonts w:hint="eastAsia" w:ascii="宋体" w:hAnsi="宋体" w:eastAsia="宋体" w:cs="宋体"/>
          <w:b/>
          <w:bCs/>
          <w:color w:val="000000" w:themeColor="text1"/>
          <w:sz w:val="24"/>
          <w14:textFill>
            <w14:solidFill>
              <w14:schemeClr w14:val="tx1"/>
            </w14:solidFill>
          </w14:textFill>
        </w:rPr>
      </w:pPr>
      <w:bookmarkStart w:id="7" w:name="_Toc19718"/>
      <w:r>
        <w:rPr>
          <w:rFonts w:hint="eastAsia" w:ascii="宋体" w:hAnsi="宋体" w:eastAsia="宋体" w:cs="宋体"/>
          <w:bCs w:val="0"/>
          <w:color w:val="000000" w:themeColor="text1"/>
          <w:szCs w:val="24"/>
          <w14:textFill>
            <w14:solidFill>
              <w14:schemeClr w14:val="tx1"/>
            </w14:solidFill>
          </w14:textFill>
        </w:rPr>
        <w:t>八、</w:t>
      </w:r>
      <w:r>
        <w:rPr>
          <w:rFonts w:hint="eastAsia" w:ascii="宋体" w:hAnsi="宋体" w:eastAsia="宋体" w:cs="宋体"/>
          <w:b/>
          <w:bCs/>
          <w:color w:val="000000" w:themeColor="text1"/>
          <w:sz w:val="24"/>
          <w14:textFill>
            <w14:solidFill>
              <w14:schemeClr w14:val="tx1"/>
            </w14:solidFill>
          </w14:textFill>
        </w:rPr>
        <w:t>询问及质疑</w:t>
      </w:r>
      <w:bookmarkEnd w:id="7"/>
    </w:p>
    <w:p w14:paraId="4A06B60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（1）供应商对政府采购活动事项如有疑问的，可以向采购人、采购代理机构提出询问。采购人、采购代理机构将在3个工作日内作出答复。</w:t>
      </w:r>
    </w:p>
    <w:p w14:paraId="7EAF6FD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（2）供应商认为磋商文件使自己的合法权益受到损害的，可以在获取磋商文件之日起7个工作日内，按《湖南省财政厅关于印发＜政府采购质疑答复和投诉处理操作规程＞的通知》</w:t>
      </w:r>
      <w:r>
        <w:rPr>
          <w:rFonts w:hint="eastAsia" w:ascii="宋体" w:hAnsi="宋体" w:eastAsia="宋体" w:cs="宋体"/>
          <w:color w:val="000000" w:themeColor="text1"/>
          <w:sz w:val="24"/>
          <w:lang w:val="en-US" w:eastAsia="zh-CN"/>
          <w14:textFill>
            <w14:solidFill>
              <w14:schemeClr w14:val="tx1"/>
            </w14:solidFill>
          </w14:textFill>
        </w:rPr>
        <w:t>(湘财购〔2024〕67 号)</w:t>
      </w:r>
      <w:r>
        <w:rPr>
          <w:rFonts w:hint="eastAsia" w:ascii="宋体" w:hAnsi="宋体" w:eastAsia="宋体" w:cs="宋体"/>
          <w:color w:val="000000" w:themeColor="text1"/>
          <w:sz w:val="24"/>
          <w14:textFill>
            <w14:solidFill>
              <w14:schemeClr w14:val="tx1"/>
            </w14:solidFill>
          </w14:textFill>
        </w:rPr>
        <w:t>规定，以书面形式向采购人、采购代理机构一次性提出针对同一采购程序环节的质疑。</w:t>
      </w:r>
    </w:p>
    <w:p w14:paraId="2DEBB2CC">
      <w:pPr>
        <w:pStyle w:val="3"/>
        <w:rPr>
          <w:rFonts w:hint="eastAsia" w:ascii="宋体" w:hAnsi="宋体" w:eastAsia="宋体" w:cs="宋体"/>
          <w:bCs w:val="0"/>
          <w:color w:val="000000" w:themeColor="text1"/>
          <w:szCs w:val="24"/>
          <w:lang w:val="en-US" w:eastAsia="zh-CN"/>
          <w14:textFill>
            <w14:solidFill>
              <w14:schemeClr w14:val="tx1"/>
            </w14:solidFill>
          </w14:textFill>
        </w:rPr>
      </w:pPr>
      <w:bookmarkStart w:id="8" w:name="_Toc9599"/>
      <w:r>
        <w:rPr>
          <w:rFonts w:hint="eastAsia" w:ascii="宋体" w:hAnsi="宋体" w:eastAsia="宋体" w:cs="宋体"/>
          <w:bCs w:val="0"/>
          <w:color w:val="000000" w:themeColor="text1"/>
          <w:szCs w:val="24"/>
          <w14:textFill>
            <w14:solidFill>
              <w14:schemeClr w14:val="tx1"/>
            </w14:solidFill>
          </w14:textFill>
        </w:rPr>
        <w:t>九、其它</w:t>
      </w:r>
      <w:bookmarkEnd w:id="8"/>
    </w:p>
    <w:p w14:paraId="48AEF957">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本项目采用电子招投标方式，参加投标均须使用CA数字证书登陆进行操作，如需办理CA可前往湘西自治州公共资源交易中心后湘西金融大厦办理，办理流程详见湘西公共资源交易网（http://ggzyjy.xxz.gov.cn）页面查看→《服务导航》→《操作指南》→《政府采购业务系统操作手册-投标供应商》办理须知，并按相应要求进行信息注册，以便获取磋商文件等相关事宜，CA办理咨询电话0743-8523032。</w:t>
      </w:r>
    </w:p>
    <w:p w14:paraId="56F13443">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2.由于对网上招投标操作不熟悉或自身电脑、个人网络等原因导致不能在投标截止时间之前完成电子投标文件上传的，相应责任由投标供应商自行承担。在使用系统过程中有疑问或困难请及时进行咨询。</w:t>
      </w:r>
    </w:p>
    <w:p w14:paraId="7E20D4C4">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3.请务必按采购文件要求通过数字证书进行加密并签章。</w:t>
      </w:r>
    </w:p>
    <w:p w14:paraId="6D09D6A5">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4.建议电子响应文件总容量不超过200M，单个节点容量不超过50M。</w:t>
      </w:r>
    </w:p>
    <w:p w14:paraId="551462C1">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5.如果开标时出现网络故障、技术故障等情形而影响招投标活动，采购人可采取项目延期、延长电子响应文件解密时间等相应措施，以保障招投标活动的公开、公平和公正，投标供应商不得对此持有异议。</w:t>
      </w:r>
    </w:p>
    <w:p w14:paraId="277BE3E2">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6.开标注意事项：投标供应商自行完成电子投标文件解密，因投标供应商自身原因未在规定时间内完成解密或无法解密的响应文件视为撤销其响应文件，相应责任由投标供应商自行承担。</w:t>
      </w:r>
    </w:p>
    <w:p w14:paraId="2929E99C">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7.本项目投标过程中，电子投标系统使用操作遇到任何问题及时向软件公司咨询，咨询联系方式：0743-8523902。如因不会操作所造成的投标失败或损失由投标供应商自行负责。</w:t>
      </w:r>
    </w:p>
    <w:p w14:paraId="2C33E7CD">
      <w:pPr>
        <w:pStyle w:val="3"/>
        <w:rPr>
          <w:rFonts w:hint="eastAsia" w:ascii="宋体" w:hAnsi="宋体" w:eastAsia="宋体" w:cs="宋体"/>
          <w:bCs w:val="0"/>
          <w:color w:val="000000" w:themeColor="text1"/>
          <w:szCs w:val="24"/>
          <w:lang w:val="en-US" w:eastAsia="zh-CN"/>
          <w14:textFill>
            <w14:solidFill>
              <w14:schemeClr w14:val="tx1"/>
            </w14:solidFill>
          </w14:textFill>
        </w:rPr>
      </w:pPr>
      <w:bookmarkStart w:id="9" w:name="_Toc31648"/>
      <w:bookmarkStart w:id="10" w:name="_Toc30602"/>
      <w:r>
        <w:rPr>
          <w:rFonts w:hint="eastAsia" w:ascii="宋体" w:hAnsi="宋体" w:eastAsia="宋体" w:cs="宋体"/>
          <w:bCs w:val="0"/>
          <w:color w:val="000000" w:themeColor="text1"/>
          <w:szCs w:val="24"/>
          <w:lang w:val="en-US" w:eastAsia="zh-CN"/>
          <w14:textFill>
            <w14:solidFill>
              <w14:schemeClr w14:val="tx1"/>
            </w14:solidFill>
          </w14:textFill>
        </w:rPr>
        <w:t>十、响应说明</w:t>
      </w:r>
      <w:bookmarkEnd w:id="9"/>
      <w:bookmarkEnd w:id="10"/>
      <w:r>
        <w:rPr>
          <w:rFonts w:hint="eastAsia" w:ascii="宋体" w:hAnsi="宋体" w:eastAsia="宋体" w:cs="宋体"/>
          <w:bCs w:val="0"/>
          <w:color w:val="000000" w:themeColor="text1"/>
          <w:szCs w:val="24"/>
          <w:lang w:val="en-US" w:eastAsia="zh-CN"/>
          <w14:textFill>
            <w14:solidFill>
              <w14:schemeClr w14:val="tx1"/>
            </w14:solidFill>
          </w14:textFill>
        </w:rPr>
        <w:t xml:space="preserve"> </w:t>
      </w:r>
    </w:p>
    <w:p w14:paraId="6B9CCAB8">
      <w:pPr>
        <w:keepNext w:val="0"/>
        <w:keepLines w:val="0"/>
        <w:pageBreakBefore w:val="0"/>
        <w:widowControl/>
        <w:suppressLineNumbers w:val="0"/>
        <w:shd w:val="clear" w:color="auto" w:fill="auto"/>
        <w:wordWrap/>
        <w:topLinePunct w:val="0"/>
        <w:bidi w:val="0"/>
        <w:spacing w:line="460" w:lineRule="exact"/>
        <w:ind w:firstLine="480"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磋商邀请选项：</w:t>
      </w:r>
      <w:r>
        <w:rPr>
          <w:rFonts w:hint="eastAsia" w:ascii="宋体" w:hAnsi="宋体" w:eastAsia="宋体" w:cs="宋体"/>
          <w:bCs/>
          <w:i w:val="0"/>
          <w:iCs/>
          <w:color w:val="auto"/>
          <w:szCs w:val="21"/>
          <w:highlight w:val="none"/>
        </w:rPr>
        <w:t>■</w:t>
      </w:r>
      <w:r>
        <w:rPr>
          <w:rFonts w:hint="eastAsia" w:ascii="宋体" w:hAnsi="宋体" w:eastAsia="宋体" w:cs="宋体"/>
          <w:color w:val="auto"/>
          <w:kern w:val="0"/>
          <w:sz w:val="24"/>
          <w:szCs w:val="24"/>
          <w:highlight w:val="none"/>
          <w:lang w:val="en-US" w:eastAsia="zh-CN" w:bidi="ar"/>
        </w:rPr>
        <w:t>表示选择，</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4"/>
          <w:szCs w:val="24"/>
          <w:highlight w:val="none"/>
          <w:lang w:val="en-US" w:eastAsia="zh-CN" w:bidi="ar"/>
        </w:rPr>
        <w:t>表示未选择。</w:t>
      </w:r>
    </w:p>
    <w:p w14:paraId="6729239A">
      <w:pPr>
        <w:rPr>
          <w:rFonts w:hint="eastAsia" w:ascii="宋体" w:hAnsi="宋体" w:eastAsia="宋体" w:cs="宋体"/>
          <w:lang w:val="en-US" w:eastAsia="zh-CN"/>
        </w:rPr>
      </w:pPr>
    </w:p>
    <w:p w14:paraId="17ABE01D">
      <w:pPr>
        <w:pStyle w:val="3"/>
        <w:rPr>
          <w:rFonts w:hint="eastAsia" w:ascii="宋体" w:hAnsi="宋体" w:eastAsia="宋体" w:cs="宋体"/>
          <w:bCs w:val="0"/>
          <w:color w:val="000000" w:themeColor="text1"/>
          <w:szCs w:val="24"/>
          <w14:textFill>
            <w14:solidFill>
              <w14:schemeClr w14:val="tx1"/>
            </w14:solidFill>
          </w14:textFill>
        </w:rPr>
      </w:pPr>
      <w:bookmarkStart w:id="11" w:name="_Toc24186"/>
      <w:r>
        <w:rPr>
          <w:rFonts w:hint="eastAsia" w:ascii="宋体" w:hAnsi="宋体" w:eastAsia="宋体" w:cs="宋体"/>
          <w:bCs w:val="0"/>
          <w:color w:val="000000" w:themeColor="text1"/>
          <w:szCs w:val="24"/>
          <w:lang w:val="en-US" w:eastAsia="zh-CN"/>
          <w14:textFill>
            <w14:solidFill>
              <w14:schemeClr w14:val="tx1"/>
            </w14:solidFill>
          </w14:textFill>
        </w:rPr>
        <w:t>十一、</w:t>
      </w:r>
      <w:r>
        <w:rPr>
          <w:rFonts w:hint="eastAsia" w:ascii="宋体" w:hAnsi="宋体" w:eastAsia="宋体" w:cs="宋体"/>
          <w:bCs w:val="0"/>
          <w:color w:val="000000" w:themeColor="text1"/>
          <w:szCs w:val="24"/>
          <w14:textFill>
            <w14:solidFill>
              <w14:schemeClr w14:val="tx1"/>
            </w14:solidFill>
          </w14:textFill>
        </w:rPr>
        <w:t>凡对本次采购提出询问，请按以下方式联系</w:t>
      </w:r>
      <w:bookmarkEnd w:id="11"/>
    </w:p>
    <w:p w14:paraId="3994E03A">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1.采购人信息</w:t>
      </w:r>
    </w:p>
    <w:p w14:paraId="54B3EB0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名    称：</w:t>
      </w:r>
      <w:r>
        <w:rPr>
          <w:rFonts w:hint="eastAsia" w:ascii="宋体" w:hAnsi="宋体" w:eastAsia="宋体" w:cs="宋体"/>
          <w:color w:val="000000" w:themeColor="text1"/>
          <w:sz w:val="24"/>
          <w:highlight w:val="none"/>
          <w:lang w:eastAsia="zh-CN"/>
          <w14:textFill>
            <w14:solidFill>
              <w14:schemeClr w14:val="tx1"/>
            </w14:solidFill>
          </w14:textFill>
        </w:rPr>
        <w:t xml:space="preserve">花垣县农业农村局 </w:t>
      </w:r>
      <w:r>
        <w:rPr>
          <w:rFonts w:hint="eastAsia" w:ascii="宋体" w:hAnsi="宋体" w:eastAsia="宋体" w:cs="宋体"/>
          <w:color w:val="000000" w:themeColor="text1"/>
          <w:sz w:val="24"/>
          <w:highlight w:val="none"/>
          <w14:textFill>
            <w14:solidFill>
              <w14:schemeClr w14:val="tx1"/>
            </w14:solidFill>
          </w14:textFill>
        </w:rPr>
        <w:t xml:space="preserve">                            　</w:t>
      </w:r>
    </w:p>
    <w:p w14:paraId="18C6BE31">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lang w:eastAsia="zh-CN"/>
          <w14:textFill>
            <w14:solidFill>
              <w14:schemeClr w14:val="tx1"/>
            </w14:solidFill>
          </w14:textFill>
        </w:rPr>
        <w:t>湘西土家族苗族自治州花垣县花垣镇湘西国家农业科技园区科创中心大楼 6 楼</w:t>
      </w:r>
    </w:p>
    <w:p w14:paraId="70AB14A5">
      <w:pPr>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w:t>
      </w:r>
      <w:r>
        <w:rPr>
          <w:rFonts w:hint="eastAsia" w:ascii="宋体" w:hAnsi="宋体" w:eastAsia="宋体" w:cs="宋体"/>
          <w:color w:val="000000" w:themeColor="text1"/>
          <w:sz w:val="24"/>
          <w:lang w:val="en-US" w:eastAsia="zh-CN"/>
          <w14:textFill>
            <w14:solidFill>
              <w14:schemeClr w14:val="tx1"/>
            </w14:solidFill>
          </w14:textFill>
        </w:rPr>
        <w:t>人及联系</w:t>
      </w:r>
      <w:r>
        <w:rPr>
          <w:rFonts w:hint="eastAsia" w:ascii="宋体" w:hAnsi="宋体" w:eastAsia="宋体" w:cs="宋体"/>
          <w:color w:val="000000" w:themeColor="text1"/>
          <w:sz w:val="24"/>
          <w14:textFill>
            <w14:solidFill>
              <w14:schemeClr w14:val="tx1"/>
            </w14:solidFill>
          </w14:textFill>
        </w:rPr>
        <w:t>方式：</w:t>
      </w:r>
      <w:r>
        <w:rPr>
          <w:rFonts w:hint="eastAsia" w:ascii="宋体" w:hAnsi="宋体" w:eastAsia="宋体" w:cs="宋体"/>
          <w:color w:val="000000" w:themeColor="text1"/>
          <w:sz w:val="24"/>
          <w:lang w:val="en-US" w:eastAsia="zh-CN"/>
          <w14:textFill>
            <w14:solidFill>
              <w14:schemeClr w14:val="tx1"/>
            </w14:solidFill>
          </w14:textFill>
        </w:rPr>
        <w:t>代志清</w:t>
      </w:r>
      <w:r>
        <w:rPr>
          <w:rFonts w:hint="eastAsia" w:ascii="宋体" w:hAnsi="宋体" w:eastAsia="宋体" w:cs="宋体"/>
          <w:color w:val="000000" w:themeColor="text1"/>
          <w:sz w:val="24"/>
          <w:lang w:eastAsia="zh-CN"/>
          <w14:textFill>
            <w14:solidFill>
              <w14:schemeClr w14:val="tx1"/>
            </w14:solidFill>
          </w14:textFill>
        </w:rPr>
        <w:t>、13974359971</w:t>
      </w:r>
    </w:p>
    <w:p w14:paraId="308CD53D">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2.采购代理机构信息</w:t>
      </w:r>
    </w:p>
    <w:p w14:paraId="249F19D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名    称：湖南信达项目咨询管理有限公司     　</w:t>
      </w:r>
    </w:p>
    <w:p w14:paraId="2AAE191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　  址：湖南省吉首市人民南路100号     　</w:t>
      </w:r>
    </w:p>
    <w:p w14:paraId="098B905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w:t>
      </w:r>
      <w:r>
        <w:rPr>
          <w:rFonts w:hint="eastAsia" w:ascii="宋体" w:hAnsi="宋体" w:eastAsia="宋体" w:cs="宋体"/>
          <w:color w:val="000000" w:themeColor="text1"/>
          <w:sz w:val="24"/>
          <w:lang w:val="en-US" w:eastAsia="zh-CN"/>
          <w14:textFill>
            <w14:solidFill>
              <w14:schemeClr w14:val="tx1"/>
            </w14:solidFill>
          </w14:textFill>
        </w:rPr>
        <w:t>人及联系</w:t>
      </w:r>
      <w:r>
        <w:rPr>
          <w:rFonts w:hint="eastAsia" w:ascii="宋体" w:hAnsi="宋体" w:eastAsia="宋体" w:cs="宋体"/>
          <w:color w:val="000000" w:themeColor="text1"/>
          <w:sz w:val="24"/>
          <w14:textFill>
            <w14:solidFill>
              <w14:schemeClr w14:val="tx1"/>
            </w14:solidFill>
          </w14:textFill>
        </w:rPr>
        <w:t>方式：孙子慧、艾明0743-8271078/13974396789、15107437299</w:t>
      </w:r>
    </w:p>
    <w:p w14:paraId="37D6D7C7">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3.项目联系方式</w:t>
      </w:r>
    </w:p>
    <w:p w14:paraId="0E73B7B6">
      <w:pPr>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项目联系人：艾明                                              </w:t>
      </w:r>
    </w:p>
    <w:p w14:paraId="0AB36C0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电　    话：0743-8271078/15107437299</w:t>
      </w:r>
    </w:p>
    <w:p w14:paraId="3EAAA2BE">
      <w:pPr>
        <w:rPr>
          <w:rFonts w:hint="eastAsia" w:ascii="宋体" w:hAnsi="宋体" w:eastAsia="宋体" w:cs="宋体"/>
          <w:b/>
          <w:color w:val="000000" w:themeColor="text1"/>
          <w:kern w:val="1"/>
          <w:sz w:val="32"/>
          <w:szCs w:val="32"/>
          <w14:textFill>
            <w14:solidFill>
              <w14:schemeClr w14:val="tx1"/>
            </w14:solidFill>
          </w14:textFill>
        </w:rPr>
      </w:pPr>
      <w:r>
        <w:rPr>
          <w:rFonts w:hint="eastAsia" w:ascii="宋体" w:hAnsi="宋体" w:eastAsia="宋体" w:cs="宋体"/>
          <w:b/>
          <w:color w:val="000000" w:themeColor="text1"/>
          <w:kern w:val="1"/>
          <w:sz w:val="32"/>
          <w:szCs w:val="32"/>
          <w14:textFill>
            <w14:solidFill>
              <w14:schemeClr w14:val="tx1"/>
            </w14:solidFill>
          </w14:textFill>
        </w:rPr>
        <w:br w:type="page"/>
      </w:r>
    </w:p>
    <w:p w14:paraId="5777FB08">
      <w:pPr>
        <w:spacing w:line="360" w:lineRule="auto"/>
        <w:jc w:val="center"/>
        <w:outlineLvl w:val="0"/>
        <w:rPr>
          <w:rFonts w:hint="eastAsia" w:ascii="宋体" w:hAnsi="宋体" w:eastAsia="宋体" w:cs="宋体"/>
          <w:b/>
          <w:color w:val="000000" w:themeColor="text1"/>
          <w:kern w:val="1"/>
          <w:sz w:val="32"/>
          <w:szCs w:val="32"/>
          <w14:textFill>
            <w14:solidFill>
              <w14:schemeClr w14:val="tx1"/>
            </w14:solidFill>
          </w14:textFill>
        </w:rPr>
      </w:pPr>
      <w:bookmarkStart w:id="12" w:name="_Toc1063"/>
      <w:r>
        <w:rPr>
          <w:rFonts w:hint="eastAsia" w:ascii="宋体" w:hAnsi="宋体" w:eastAsia="宋体" w:cs="宋体"/>
          <w:b/>
          <w:color w:val="000000" w:themeColor="text1"/>
          <w:kern w:val="1"/>
          <w:sz w:val="32"/>
          <w:szCs w:val="32"/>
          <w14:textFill>
            <w14:solidFill>
              <w14:schemeClr w14:val="tx1"/>
            </w14:solidFill>
          </w14:textFill>
        </w:rPr>
        <w:t>第二章 磋商须知</w:t>
      </w:r>
      <w:bookmarkEnd w:id="12"/>
    </w:p>
    <w:p w14:paraId="62C03483">
      <w:pPr>
        <w:pStyle w:val="15"/>
        <w:spacing w:line="360" w:lineRule="auto"/>
        <w:jc w:val="center"/>
        <w:outlineLvl w:val="1"/>
        <w:rPr>
          <w:rFonts w:hint="eastAsia" w:ascii="宋体" w:hAnsi="宋体" w:eastAsia="宋体" w:cs="宋体"/>
          <w:b/>
          <w:color w:val="000000" w:themeColor="text1"/>
          <w:sz w:val="28"/>
          <w:szCs w:val="28"/>
          <w14:textFill>
            <w14:solidFill>
              <w14:schemeClr w14:val="tx1"/>
            </w14:solidFill>
          </w14:textFill>
        </w:rPr>
      </w:pPr>
      <w:bookmarkStart w:id="13" w:name="_Toc28309"/>
      <w:r>
        <w:rPr>
          <w:rFonts w:hint="eastAsia" w:ascii="宋体" w:hAnsi="宋体" w:eastAsia="宋体" w:cs="宋体"/>
          <w:b/>
          <w:color w:val="000000" w:themeColor="text1"/>
          <w:sz w:val="28"/>
          <w:szCs w:val="28"/>
          <w14:textFill>
            <w14:solidFill>
              <w14:schemeClr w14:val="tx1"/>
            </w14:solidFill>
          </w14:textFill>
        </w:rPr>
        <w:t>第一节 磋商须知前附表</w:t>
      </w:r>
      <w:bookmarkEnd w:id="13"/>
    </w:p>
    <w:p w14:paraId="2642E4D8">
      <w:pPr>
        <w:pStyle w:val="15"/>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注：1、本项目启用的条款在“编列内容规定”栏内以“■”标注。</w:t>
      </w:r>
    </w:p>
    <w:p w14:paraId="5326F765">
      <w:pPr>
        <w:pStyle w:val="15"/>
        <w:spacing w:line="380" w:lineRule="exact"/>
        <w:ind w:firstLine="482" w:firstLineChars="200"/>
        <w:jc w:val="left"/>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2、当磋商须知前附表与磋商须知正文不一致时，以磋商须知前附表准。</w:t>
      </w:r>
    </w:p>
    <w:tbl>
      <w:tblPr>
        <w:tblStyle w:val="25"/>
        <w:tblW w:w="92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94"/>
        <w:gridCol w:w="1672"/>
        <w:gridCol w:w="5965"/>
      </w:tblGrid>
      <w:tr w14:paraId="3206E3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blHeader/>
          <w:jc w:val="center"/>
        </w:trPr>
        <w:tc>
          <w:tcPr>
            <w:tcW w:w="1594" w:type="dxa"/>
            <w:vAlign w:val="center"/>
          </w:tcPr>
          <w:p w14:paraId="3AC21651">
            <w:pPr>
              <w:spacing w:line="38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条款号</w:t>
            </w:r>
          </w:p>
        </w:tc>
        <w:tc>
          <w:tcPr>
            <w:tcW w:w="1672" w:type="dxa"/>
            <w:vAlign w:val="center"/>
          </w:tcPr>
          <w:p w14:paraId="16B0B170">
            <w:pPr>
              <w:spacing w:line="38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条款名称</w:t>
            </w:r>
          </w:p>
        </w:tc>
        <w:tc>
          <w:tcPr>
            <w:tcW w:w="5965" w:type="dxa"/>
            <w:vAlign w:val="center"/>
          </w:tcPr>
          <w:p w14:paraId="4A4B8BD5">
            <w:pPr>
              <w:spacing w:line="38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编列内容规定</w:t>
            </w:r>
          </w:p>
        </w:tc>
      </w:tr>
      <w:tr w14:paraId="559B49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9C037DC">
            <w:pPr>
              <w:spacing w:line="380" w:lineRule="exact"/>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一、说明</w:t>
            </w:r>
          </w:p>
        </w:tc>
      </w:tr>
      <w:tr w14:paraId="44AD2C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0" w:hRule="atLeast"/>
          <w:jc w:val="center"/>
        </w:trPr>
        <w:tc>
          <w:tcPr>
            <w:tcW w:w="1594" w:type="dxa"/>
            <w:vAlign w:val="center"/>
          </w:tcPr>
          <w:p w14:paraId="35D222C1">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77807226">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第1.1款</w:t>
            </w:r>
          </w:p>
        </w:tc>
        <w:tc>
          <w:tcPr>
            <w:tcW w:w="1672" w:type="dxa"/>
            <w:vAlign w:val="center"/>
          </w:tcPr>
          <w:p w14:paraId="45DDF71E">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采购项目</w:t>
            </w:r>
          </w:p>
        </w:tc>
        <w:tc>
          <w:tcPr>
            <w:tcW w:w="5965" w:type="dxa"/>
            <w:vAlign w:val="center"/>
          </w:tcPr>
          <w:p w14:paraId="3D054C17">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lang w:eastAsia="zh-CN"/>
                <w14:textFill>
                  <w14:solidFill>
                    <w14:schemeClr w14:val="tx1"/>
                  </w14:solidFill>
                </w14:textFill>
              </w:rPr>
              <w:t>花垣县2026年高素质农民培育服务采购项目</w:t>
            </w:r>
            <w:r>
              <w:rPr>
                <w:rFonts w:hint="eastAsia" w:ascii="宋体" w:hAnsi="宋体" w:eastAsia="宋体" w:cs="宋体"/>
                <w:b/>
                <w:bCs/>
                <w:color w:val="000000" w:themeColor="text1"/>
                <w:kern w:val="1"/>
                <w:sz w:val="24"/>
                <w14:textFill>
                  <w14:solidFill>
                    <w14:schemeClr w14:val="tx1"/>
                  </w14:solidFill>
                </w14:textFill>
              </w:rPr>
              <w:t xml:space="preserve"> </w:t>
            </w:r>
          </w:p>
        </w:tc>
      </w:tr>
      <w:tr w14:paraId="6E42CD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26" w:hRule="atLeast"/>
          <w:jc w:val="center"/>
        </w:trPr>
        <w:tc>
          <w:tcPr>
            <w:tcW w:w="1594" w:type="dxa"/>
            <w:vAlign w:val="center"/>
          </w:tcPr>
          <w:p w14:paraId="671EBE53">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2AE0FE31">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第2.1款</w:t>
            </w:r>
          </w:p>
        </w:tc>
        <w:tc>
          <w:tcPr>
            <w:tcW w:w="1672" w:type="dxa"/>
            <w:vAlign w:val="center"/>
          </w:tcPr>
          <w:p w14:paraId="7FC9F29F">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采购人</w:t>
            </w:r>
          </w:p>
        </w:tc>
        <w:tc>
          <w:tcPr>
            <w:tcW w:w="5965" w:type="dxa"/>
            <w:vAlign w:val="center"/>
          </w:tcPr>
          <w:p w14:paraId="23C105E4">
            <w:pPr>
              <w:spacing w:line="380" w:lineRule="exac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w:t>
            </w:r>
            <w:r>
              <w:rPr>
                <w:rFonts w:hint="eastAsia" w:ascii="宋体" w:hAnsi="宋体" w:eastAsia="宋体" w:cs="宋体"/>
                <w:color w:val="000000" w:themeColor="text1"/>
                <w:sz w:val="24"/>
                <w:highlight w:val="none"/>
                <w14:textFill>
                  <w14:solidFill>
                    <w14:schemeClr w14:val="tx1"/>
                  </w14:solidFill>
                </w14:textFill>
              </w:rPr>
              <w:t>购人：</w:t>
            </w:r>
            <w:r>
              <w:rPr>
                <w:rFonts w:hint="eastAsia" w:ascii="宋体" w:hAnsi="宋体" w:eastAsia="宋体" w:cs="宋体"/>
                <w:color w:val="000000" w:themeColor="text1"/>
                <w:sz w:val="24"/>
                <w:highlight w:val="none"/>
                <w:lang w:val="en-US" w:eastAsia="zh-CN"/>
                <w14:textFill>
                  <w14:solidFill>
                    <w14:schemeClr w14:val="tx1"/>
                  </w14:solidFill>
                </w14:textFill>
              </w:rPr>
              <w:t>花垣县</w:t>
            </w:r>
            <w:r>
              <w:rPr>
                <w:rFonts w:hint="eastAsia" w:ascii="宋体" w:hAnsi="宋体" w:eastAsia="宋体" w:cs="宋体"/>
                <w:color w:val="000000" w:themeColor="text1"/>
                <w:sz w:val="24"/>
                <w:highlight w:val="none"/>
                <w:lang w:eastAsia="zh-CN"/>
                <w14:textFill>
                  <w14:solidFill>
                    <w14:schemeClr w14:val="tx1"/>
                  </w14:solidFill>
                </w14:textFill>
              </w:rPr>
              <w:t>农业农村局</w:t>
            </w:r>
          </w:p>
          <w:p w14:paraId="53854CDA">
            <w:pPr>
              <w:spacing w:line="360" w:lineRule="auto"/>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lang w:eastAsia="zh-CN"/>
                <w14:textFill>
                  <w14:solidFill>
                    <w14:schemeClr w14:val="tx1"/>
                  </w14:solidFill>
                </w14:textFill>
              </w:rPr>
              <w:t>湘西土家族苗族自治州花垣县花垣镇湘西国家农业科技园区科创中心大楼 6 楼</w:t>
            </w:r>
          </w:p>
          <w:p w14:paraId="4F2464E3">
            <w:pPr>
              <w:spacing w:line="380" w:lineRule="exact"/>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lang w:val="en-US" w:eastAsia="zh-CN"/>
                <w14:textFill>
                  <w14:solidFill>
                    <w14:schemeClr w14:val="tx1"/>
                  </w14:solidFill>
                </w14:textFill>
              </w:rPr>
              <w:t>代志清</w:t>
            </w:r>
          </w:p>
          <w:p w14:paraId="67F8B171">
            <w:pPr>
              <w:spacing w:line="380" w:lineRule="exact"/>
              <w:rPr>
                <w:rFonts w:hint="eastAsia" w:ascii="宋体" w:hAnsi="宋体" w:eastAsia="宋体" w:cs="宋体"/>
                <w:color w:val="000000" w:themeColor="text1"/>
                <w:kern w:val="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电  话：</w:t>
            </w:r>
            <w:r>
              <w:rPr>
                <w:rFonts w:hint="eastAsia" w:ascii="宋体" w:hAnsi="宋体" w:eastAsia="宋体" w:cs="宋体"/>
                <w:color w:val="000000" w:themeColor="text1"/>
                <w:sz w:val="24"/>
                <w:lang w:eastAsia="zh-CN"/>
                <w14:textFill>
                  <w14:solidFill>
                    <w14:schemeClr w14:val="tx1"/>
                  </w14:solidFill>
                </w14:textFill>
              </w:rPr>
              <w:t>13974359971</w:t>
            </w:r>
          </w:p>
        </w:tc>
      </w:tr>
      <w:tr w14:paraId="1BDA32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1" w:hRule="atLeast"/>
          <w:jc w:val="center"/>
        </w:trPr>
        <w:tc>
          <w:tcPr>
            <w:tcW w:w="1594" w:type="dxa"/>
            <w:vAlign w:val="center"/>
          </w:tcPr>
          <w:p w14:paraId="3B2D52E9">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38080ED2">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第2.2款</w:t>
            </w:r>
          </w:p>
        </w:tc>
        <w:tc>
          <w:tcPr>
            <w:tcW w:w="1672" w:type="dxa"/>
            <w:vAlign w:val="center"/>
          </w:tcPr>
          <w:p w14:paraId="53254481">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采购代理机构</w:t>
            </w:r>
          </w:p>
        </w:tc>
        <w:tc>
          <w:tcPr>
            <w:tcW w:w="5965" w:type="dxa"/>
            <w:vAlign w:val="center"/>
          </w:tcPr>
          <w:p w14:paraId="37114A82">
            <w:pPr>
              <w:spacing w:line="380" w:lineRule="exac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采购代理机构：湖南信达项目咨询管理有限公司</w:t>
            </w:r>
          </w:p>
          <w:p w14:paraId="222A5E2B">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地  址：</w:t>
            </w:r>
            <w:r>
              <w:rPr>
                <w:rFonts w:hint="eastAsia" w:ascii="宋体" w:hAnsi="宋体" w:eastAsia="宋体" w:cs="宋体"/>
                <w:color w:val="000000" w:themeColor="text1"/>
                <w:sz w:val="24"/>
                <w14:textFill>
                  <w14:solidFill>
                    <w14:schemeClr w14:val="tx1"/>
                  </w14:solidFill>
                </w14:textFill>
              </w:rPr>
              <w:t>湖南省吉首市人民南路100号</w:t>
            </w:r>
          </w:p>
          <w:p w14:paraId="3FBF6E46">
            <w:pPr>
              <w:spacing w:line="380" w:lineRule="exac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联系人：孙子慧、艾明</w:t>
            </w:r>
          </w:p>
          <w:p w14:paraId="32962295">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电  话：</w:t>
            </w:r>
            <w:r>
              <w:rPr>
                <w:rFonts w:hint="eastAsia" w:ascii="宋体" w:hAnsi="宋体" w:eastAsia="宋体" w:cs="宋体"/>
                <w:color w:val="000000" w:themeColor="text1"/>
                <w:sz w:val="24"/>
                <w14:textFill>
                  <w14:solidFill>
                    <w14:schemeClr w14:val="tx1"/>
                  </w14:solidFill>
                </w14:textFill>
              </w:rPr>
              <w:t>0743-8271078/13974396789、15107437299</w:t>
            </w:r>
          </w:p>
        </w:tc>
      </w:tr>
      <w:tr w14:paraId="23B22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1" w:hRule="atLeast"/>
          <w:jc w:val="center"/>
        </w:trPr>
        <w:tc>
          <w:tcPr>
            <w:tcW w:w="1594" w:type="dxa"/>
            <w:vAlign w:val="center"/>
          </w:tcPr>
          <w:p w14:paraId="668EBA3E">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73166EEC">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第2.3款</w:t>
            </w:r>
          </w:p>
        </w:tc>
        <w:tc>
          <w:tcPr>
            <w:tcW w:w="1672" w:type="dxa"/>
            <w:vAlign w:val="center"/>
          </w:tcPr>
          <w:p w14:paraId="2512C45B">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供应商的</w:t>
            </w:r>
          </w:p>
          <w:p w14:paraId="7BDEC09C">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邀请方式</w:t>
            </w:r>
          </w:p>
        </w:tc>
        <w:tc>
          <w:tcPr>
            <w:tcW w:w="5965" w:type="dxa"/>
            <w:vAlign w:val="center"/>
          </w:tcPr>
          <w:p w14:paraId="24E417F6">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■发布公告</w:t>
            </w:r>
          </w:p>
          <w:p w14:paraId="6015D843">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□邀请函邀请</w:t>
            </w:r>
          </w:p>
        </w:tc>
      </w:tr>
      <w:tr w14:paraId="0B1F7C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94" w:type="dxa"/>
            <w:vAlign w:val="center"/>
          </w:tcPr>
          <w:p w14:paraId="7A3B96CA">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79DF7A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第3.1款</w:t>
            </w:r>
          </w:p>
        </w:tc>
        <w:tc>
          <w:tcPr>
            <w:tcW w:w="1672" w:type="dxa"/>
            <w:vAlign w:val="center"/>
          </w:tcPr>
          <w:p w14:paraId="4B5D0378">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供应商资格条件</w:t>
            </w:r>
          </w:p>
        </w:tc>
        <w:tc>
          <w:tcPr>
            <w:tcW w:w="5965" w:type="dxa"/>
            <w:vAlign w:val="center"/>
          </w:tcPr>
          <w:p w14:paraId="1492A0FE">
            <w:pPr>
              <w:widowControl/>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val="0"/>
                <w:bCs w:val="0"/>
                <w:color w:val="000000" w:themeColor="text1"/>
                <w:sz w:val="24"/>
                <w14:textFill>
                  <w14:solidFill>
                    <w14:schemeClr w14:val="tx1"/>
                  </w14:solidFill>
                </w14:textFill>
              </w:rPr>
              <w:t>详见磋商文件第一章第四条</w:t>
            </w:r>
          </w:p>
        </w:tc>
      </w:tr>
      <w:tr w14:paraId="3A6934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682FB65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F57387F">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第6.1款</w:t>
            </w:r>
          </w:p>
        </w:tc>
        <w:tc>
          <w:tcPr>
            <w:tcW w:w="1672" w:type="dxa"/>
            <w:vAlign w:val="center"/>
          </w:tcPr>
          <w:p w14:paraId="3DDD65D7">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联合体形式</w:t>
            </w:r>
          </w:p>
        </w:tc>
        <w:tc>
          <w:tcPr>
            <w:tcW w:w="5965" w:type="dxa"/>
            <w:vAlign w:val="center"/>
          </w:tcPr>
          <w:p w14:paraId="39217381">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■不接受</w:t>
            </w:r>
          </w:p>
          <w:p w14:paraId="3E182539">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□接受</w:t>
            </w:r>
          </w:p>
        </w:tc>
      </w:tr>
      <w:tr w14:paraId="793DE0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250B5AC4">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C5AD23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第6.2（3）款</w:t>
            </w:r>
          </w:p>
        </w:tc>
        <w:tc>
          <w:tcPr>
            <w:tcW w:w="1672" w:type="dxa"/>
            <w:vAlign w:val="center"/>
          </w:tcPr>
          <w:p w14:paraId="1202C4EA">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对联合体各</w:t>
            </w:r>
          </w:p>
          <w:p w14:paraId="04DE327D">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方的要求</w:t>
            </w:r>
          </w:p>
        </w:tc>
        <w:tc>
          <w:tcPr>
            <w:tcW w:w="5965" w:type="dxa"/>
            <w:vAlign w:val="center"/>
          </w:tcPr>
          <w:p w14:paraId="0E152E6F">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p>
        </w:tc>
      </w:tr>
      <w:tr w14:paraId="3602F9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56BB718E">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A67D9F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第7.1款</w:t>
            </w:r>
          </w:p>
        </w:tc>
        <w:tc>
          <w:tcPr>
            <w:tcW w:w="1672" w:type="dxa"/>
            <w:vAlign w:val="center"/>
          </w:tcPr>
          <w:p w14:paraId="2D17B863">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现场勘察</w:t>
            </w:r>
          </w:p>
        </w:tc>
        <w:tc>
          <w:tcPr>
            <w:tcW w:w="5965" w:type="dxa"/>
            <w:vAlign w:val="center"/>
          </w:tcPr>
          <w:p w14:paraId="034547A5">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■采购人不组织，供应商可自行勘察现场。</w:t>
            </w:r>
          </w:p>
          <w:p w14:paraId="03E9664A">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□采购人组织，时间：</w:t>
            </w:r>
            <w:r>
              <w:rPr>
                <w:rFonts w:hint="eastAsia" w:ascii="宋体" w:hAnsi="宋体" w:eastAsia="宋体" w:cs="宋体"/>
                <w:color w:val="000000" w:themeColor="text1"/>
                <w:kern w:val="1"/>
                <w:sz w:val="24"/>
                <w:u w:val="single"/>
                <w14:textFill>
                  <w14:solidFill>
                    <w14:schemeClr w14:val="tx1"/>
                  </w14:solidFill>
                </w14:textFill>
              </w:rPr>
              <w:t xml:space="preserve">   </w:t>
            </w:r>
            <w:r>
              <w:rPr>
                <w:rFonts w:hint="eastAsia" w:ascii="宋体" w:hAnsi="宋体" w:eastAsia="宋体" w:cs="宋体"/>
                <w:color w:val="000000" w:themeColor="text1"/>
                <w:kern w:val="1"/>
                <w:sz w:val="24"/>
                <w14:textFill>
                  <w14:solidFill>
                    <w14:schemeClr w14:val="tx1"/>
                  </w14:solidFill>
                </w14:textFill>
              </w:rPr>
              <w:t>地点：</w:t>
            </w:r>
            <w:r>
              <w:rPr>
                <w:rFonts w:hint="eastAsia" w:ascii="宋体" w:hAnsi="宋体" w:eastAsia="宋体" w:cs="宋体"/>
                <w:color w:val="000000" w:themeColor="text1"/>
                <w:kern w:val="1"/>
                <w:sz w:val="24"/>
                <w:u w:val="single"/>
                <w14:textFill>
                  <w14:solidFill>
                    <w14:schemeClr w14:val="tx1"/>
                  </w14:solidFill>
                </w14:textFill>
              </w:rPr>
              <w:t xml:space="preserve">   </w:t>
            </w:r>
            <w:r>
              <w:rPr>
                <w:rFonts w:hint="eastAsia" w:ascii="宋体" w:hAnsi="宋体" w:eastAsia="宋体" w:cs="宋体"/>
                <w:color w:val="000000" w:themeColor="text1"/>
                <w:kern w:val="1"/>
                <w:sz w:val="24"/>
                <w14:textFill>
                  <w14:solidFill>
                    <w14:schemeClr w14:val="tx1"/>
                  </w14:solidFill>
                </w14:textFill>
              </w:rPr>
              <w:t>联系人：</w:t>
            </w:r>
            <w:r>
              <w:rPr>
                <w:rFonts w:hint="eastAsia" w:ascii="宋体" w:hAnsi="宋体" w:eastAsia="宋体" w:cs="宋体"/>
                <w:color w:val="000000" w:themeColor="text1"/>
                <w:kern w:val="1"/>
                <w:sz w:val="24"/>
                <w:u w:val="single"/>
                <w14:textFill>
                  <w14:solidFill>
                    <w14:schemeClr w14:val="tx1"/>
                  </w14:solidFill>
                </w14:textFill>
              </w:rPr>
              <w:t xml:space="preserve">   </w:t>
            </w:r>
          </w:p>
        </w:tc>
      </w:tr>
      <w:tr w14:paraId="4E6DEB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399BA014">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4E941FA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第8.1款</w:t>
            </w:r>
          </w:p>
        </w:tc>
        <w:tc>
          <w:tcPr>
            <w:tcW w:w="1672" w:type="dxa"/>
            <w:vAlign w:val="center"/>
          </w:tcPr>
          <w:p w14:paraId="5221EC0A">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采购进口产品</w:t>
            </w:r>
          </w:p>
        </w:tc>
        <w:tc>
          <w:tcPr>
            <w:tcW w:w="5965" w:type="dxa"/>
            <w:vAlign w:val="center"/>
          </w:tcPr>
          <w:p w14:paraId="148E2622">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43451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1" w:hRule="atLeast"/>
          <w:jc w:val="center"/>
        </w:trPr>
        <w:tc>
          <w:tcPr>
            <w:tcW w:w="1594" w:type="dxa"/>
            <w:vMerge w:val="restart"/>
            <w:vAlign w:val="center"/>
          </w:tcPr>
          <w:p w14:paraId="18A893A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2F41CA6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第9款</w:t>
            </w:r>
          </w:p>
        </w:tc>
        <w:tc>
          <w:tcPr>
            <w:tcW w:w="1672" w:type="dxa"/>
            <w:shd w:val="clear" w:color="auto" w:fill="auto"/>
            <w:vAlign w:val="center"/>
          </w:tcPr>
          <w:p w14:paraId="58CC5B93">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支持中小企业</w:t>
            </w:r>
          </w:p>
          <w:p w14:paraId="24C6DD45">
            <w:pPr>
              <w:spacing w:line="380" w:lineRule="exact"/>
              <w:jc w:val="center"/>
              <w:rPr>
                <w:rFonts w:hint="eastAsia" w:ascii="宋体" w:hAnsi="宋体" w:eastAsia="宋体" w:cs="宋体"/>
                <w:b/>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发展</w:t>
            </w:r>
          </w:p>
        </w:tc>
        <w:tc>
          <w:tcPr>
            <w:tcW w:w="5965" w:type="dxa"/>
            <w:shd w:val="clear" w:color="auto" w:fill="auto"/>
            <w:vAlign w:val="center"/>
          </w:tcPr>
          <w:p w14:paraId="26EB2891">
            <w:pPr>
              <w:keepNext w:val="0"/>
              <w:keepLines w:val="0"/>
              <w:pageBreakBefore w:val="0"/>
              <w:widowControl w:val="0"/>
              <w:numPr>
                <w:ilvl w:val="0"/>
                <w:numId w:val="0"/>
              </w:numPr>
              <w:shd w:val="clear" w:color="auto" w:fill="auto"/>
              <w:kinsoku/>
              <w:wordWrap/>
              <w:overflowPunct/>
              <w:topLinePunct w:val="0"/>
              <w:autoSpaceDE/>
              <w:autoSpaceDN/>
              <w:bidi w:val="0"/>
              <w:spacing w:line="400" w:lineRule="exac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val="en-US" w:eastAsia="zh-CN"/>
              </w:rPr>
              <w:t>1.本项目为非专门面向中小企业采购项目（残疾人福利性单位和监狱企业视同小微企业），</w:t>
            </w:r>
            <w:r>
              <w:rPr>
                <w:rFonts w:hint="eastAsia" w:ascii="宋体" w:hAnsi="宋体" w:eastAsia="宋体" w:cs="宋体"/>
                <w:b/>
                <w:bCs/>
                <w:color w:val="auto"/>
                <w:sz w:val="24"/>
                <w:highlight w:val="none"/>
                <w:lang w:val="en-US" w:eastAsia="zh-CN"/>
              </w:rPr>
              <w:t>小型和微型企业的价格给予10%-20%的扣除优惠，用扣除后的价格参与评审，本项目具体扣除比例为 10％。</w:t>
            </w:r>
          </w:p>
          <w:p w14:paraId="6575F908">
            <w:pPr>
              <w:keepNext w:val="0"/>
              <w:keepLines w:val="0"/>
              <w:pageBreakBefore w:val="0"/>
              <w:widowControl w:val="0"/>
              <w:numPr>
                <w:ilvl w:val="0"/>
                <w:numId w:val="0"/>
              </w:numPr>
              <w:shd w:val="clear" w:color="auto" w:fill="auto"/>
              <w:kinsoku/>
              <w:wordWrap/>
              <w:overflowPunct/>
              <w:topLinePunct w:val="0"/>
              <w:autoSpaceDE/>
              <w:autoSpaceDN/>
              <w:bidi w:val="0"/>
              <w:spacing w:line="400" w:lineRule="exact"/>
              <w:textAlignment w:val="auto"/>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2.</w:t>
            </w:r>
            <w:r>
              <w:rPr>
                <w:rFonts w:hint="eastAsia" w:ascii="宋体" w:hAnsi="宋体" w:eastAsia="宋体" w:cs="宋体"/>
                <w:b/>
                <w:bCs/>
                <w:color w:val="auto"/>
                <w:kern w:val="2"/>
                <w:sz w:val="24"/>
                <w:szCs w:val="24"/>
                <w:lang w:val="en-US" w:eastAsia="zh-CN" w:bidi="ar-SA"/>
              </w:rPr>
              <w:t>供应商为小微企业的，必须提供采购文件规定格式的《中小企业声明函》并如实填写相关信息。</w:t>
            </w:r>
          </w:p>
          <w:p w14:paraId="5F4416D2">
            <w:pPr>
              <w:keepNext w:val="0"/>
              <w:keepLines w:val="0"/>
              <w:pageBreakBefore w:val="0"/>
              <w:widowControl w:val="0"/>
              <w:numPr>
                <w:ilvl w:val="0"/>
                <w:numId w:val="0"/>
              </w:numPr>
              <w:shd w:val="clear" w:color="auto" w:fill="auto"/>
              <w:kinsoku/>
              <w:wordWrap/>
              <w:overflowPunct/>
              <w:topLinePunct w:val="0"/>
              <w:autoSpaceDE/>
              <w:autoSpaceDN/>
              <w:bidi w:val="0"/>
              <w:spacing w:line="400" w:lineRule="exact"/>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eastAsia="zh-CN"/>
              </w:rPr>
              <w:t>3.本项目对应的中小企业划分标准所属行业为：</w:t>
            </w:r>
            <w:r>
              <w:rPr>
                <w:rFonts w:hint="eastAsia" w:ascii="宋体" w:hAnsi="宋体" w:eastAsia="宋体" w:cs="宋体"/>
                <w:b/>
                <w:bCs/>
                <w:color w:val="auto"/>
                <w:sz w:val="24"/>
                <w:highlight w:val="none"/>
                <w:lang w:val="en-US" w:eastAsia="zh-CN"/>
              </w:rPr>
              <w:t>其他未列明行业。</w:t>
            </w:r>
          </w:p>
          <w:p w14:paraId="4BF37BE0">
            <w:pPr>
              <w:widowControl/>
              <w:spacing w:line="36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auto"/>
                <w:kern w:val="2"/>
                <w:sz w:val="24"/>
                <w:szCs w:val="24"/>
                <w:lang w:val="en-US" w:eastAsia="zh-CN" w:bidi="ar-SA"/>
              </w:rPr>
              <w:t>4.划分标准：从业人员300人以下的为中小微型企业。其中，从业人员100人及以上的为中型企业；从业人员10人及以上的为小型企业；从业人员10人以下的为微型企业。</w:t>
            </w:r>
          </w:p>
        </w:tc>
      </w:tr>
      <w:tr w14:paraId="1CFE1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Merge w:val="continue"/>
            <w:vAlign w:val="center"/>
          </w:tcPr>
          <w:p w14:paraId="59D1B051">
            <w:pPr>
              <w:spacing w:line="380" w:lineRule="exact"/>
              <w:jc w:val="center"/>
              <w:rPr>
                <w:rFonts w:hint="eastAsia" w:ascii="宋体" w:hAnsi="宋体" w:eastAsia="宋体" w:cs="宋体"/>
                <w:color w:val="000000" w:themeColor="text1"/>
                <w:kern w:val="1"/>
                <w:sz w:val="24"/>
                <w14:textFill>
                  <w14:solidFill>
                    <w14:schemeClr w14:val="tx1"/>
                  </w14:solidFill>
                </w14:textFill>
              </w:rPr>
            </w:pPr>
          </w:p>
        </w:tc>
        <w:tc>
          <w:tcPr>
            <w:tcW w:w="1672" w:type="dxa"/>
            <w:shd w:val="clear" w:color="auto" w:fill="auto"/>
            <w:vAlign w:val="center"/>
          </w:tcPr>
          <w:p w14:paraId="3ADB13AD">
            <w:pPr>
              <w:keepNext w:val="0"/>
              <w:keepLines w:val="0"/>
              <w:pageBreakBefore w:val="0"/>
              <w:widowControl w:val="0"/>
              <w:shd w:val="clear" w:color="auto" w:fill="auto"/>
              <w:kinsoku/>
              <w:wordWrap/>
              <w:overflowPunct/>
              <w:topLinePunct w:val="0"/>
              <w:autoSpaceDE/>
              <w:autoSpaceDN/>
              <w:bidi w:val="0"/>
              <w:spacing w:line="400" w:lineRule="exac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highlight w:val="none"/>
              </w:rPr>
              <w:t>法律法规、规章和省级以上财政部门规定的其他内容</w:t>
            </w:r>
          </w:p>
        </w:tc>
        <w:tc>
          <w:tcPr>
            <w:tcW w:w="5965" w:type="dxa"/>
            <w:shd w:val="clear" w:color="auto" w:fill="auto"/>
            <w:vAlign w:val="center"/>
          </w:tcPr>
          <w:p w14:paraId="00D0DC05">
            <w:pPr>
              <w:keepNext w:val="0"/>
              <w:keepLines w:val="0"/>
              <w:pageBreakBefore w:val="0"/>
              <w:widowControl w:val="0"/>
              <w:shd w:val="clear" w:color="auto" w:fill="auto"/>
              <w:kinsoku/>
              <w:wordWrap/>
              <w:overflowPunct/>
              <w:topLinePunct w:val="0"/>
              <w:autoSpaceDE/>
              <w:autoSpaceDN/>
              <w:bidi w:val="0"/>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按照有关法律法规、规章和省级以上财政部门规定执行。</w:t>
            </w:r>
          </w:p>
        </w:tc>
      </w:tr>
      <w:tr w14:paraId="262D4F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5EFD36E">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二、磋商文件</w:t>
            </w:r>
          </w:p>
        </w:tc>
      </w:tr>
      <w:tr w14:paraId="6D802C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696754A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E3D04AD">
            <w:pPr>
              <w:spacing w:line="380" w:lineRule="exact"/>
              <w:jc w:val="center"/>
              <w:rPr>
                <w:rFonts w:hint="eastAsia" w:ascii="宋体" w:hAnsi="宋体" w:eastAsia="宋体" w:cs="宋体"/>
                <w:color w:val="000000" w:themeColor="text1"/>
                <w:kern w:val="1"/>
                <w:sz w:val="24"/>
                <w:shd w:val="clear" w:color="auto" w:fill="FF0000"/>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第10.3款</w:t>
            </w:r>
          </w:p>
        </w:tc>
        <w:tc>
          <w:tcPr>
            <w:tcW w:w="1672" w:type="dxa"/>
            <w:vAlign w:val="center"/>
          </w:tcPr>
          <w:p w14:paraId="69689CAE">
            <w:pPr>
              <w:spacing w:line="380" w:lineRule="exact"/>
              <w:jc w:val="center"/>
              <w:rPr>
                <w:rFonts w:hint="eastAsia" w:ascii="宋体" w:hAnsi="宋体" w:eastAsia="宋体" w:cs="宋体"/>
                <w:b/>
                <w:bCs/>
                <w:color w:val="000000" w:themeColor="text1"/>
                <w:kern w:val="1"/>
                <w:sz w:val="24"/>
                <w:shd w:val="clear" w:color="auto" w:fill="FF0000"/>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磋商文件的可能实质性变动内容</w:t>
            </w:r>
          </w:p>
        </w:tc>
        <w:tc>
          <w:tcPr>
            <w:tcW w:w="5965" w:type="dxa"/>
            <w:vAlign w:val="center"/>
          </w:tcPr>
          <w:p w14:paraId="13E12547">
            <w:pPr>
              <w:spacing w:line="380" w:lineRule="exact"/>
              <w:rPr>
                <w:rFonts w:hint="eastAsia" w:ascii="宋体" w:hAnsi="宋体" w:eastAsia="宋体" w:cs="宋体"/>
                <w:b/>
                <w:bCs/>
                <w:color w:val="000000" w:themeColor="text1"/>
                <w:kern w:val="1"/>
                <w:sz w:val="24"/>
                <w:shd w:val="clear" w:color="auto" w:fill="FF0000"/>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无</w:t>
            </w:r>
          </w:p>
        </w:tc>
      </w:tr>
      <w:tr w14:paraId="5D0AA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3" w:hRule="atLeast"/>
          <w:jc w:val="center"/>
        </w:trPr>
        <w:tc>
          <w:tcPr>
            <w:tcW w:w="1594" w:type="dxa"/>
            <w:vAlign w:val="center"/>
          </w:tcPr>
          <w:p w14:paraId="2F7B6B3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17B391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第11.1款</w:t>
            </w:r>
          </w:p>
        </w:tc>
        <w:tc>
          <w:tcPr>
            <w:tcW w:w="1672" w:type="dxa"/>
            <w:vAlign w:val="center"/>
          </w:tcPr>
          <w:p w14:paraId="1E7E67FC">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提供磋商文件</w:t>
            </w:r>
          </w:p>
          <w:p w14:paraId="1637707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期限</w:t>
            </w:r>
          </w:p>
        </w:tc>
        <w:tc>
          <w:tcPr>
            <w:tcW w:w="5965" w:type="dxa"/>
            <w:vAlign w:val="center"/>
          </w:tcPr>
          <w:p w14:paraId="55CEAEB4">
            <w:pPr>
              <w:spacing w:line="380" w:lineRule="exact"/>
              <w:jc w:val="left"/>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详见本项目磋商邀请公告</w:t>
            </w:r>
          </w:p>
        </w:tc>
      </w:tr>
      <w:tr w14:paraId="48143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jc w:val="center"/>
        </w:trPr>
        <w:tc>
          <w:tcPr>
            <w:tcW w:w="1594" w:type="dxa"/>
            <w:vAlign w:val="center"/>
          </w:tcPr>
          <w:p w14:paraId="24CC98D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1ECDC8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第11.2款</w:t>
            </w:r>
          </w:p>
        </w:tc>
        <w:tc>
          <w:tcPr>
            <w:tcW w:w="1672" w:type="dxa"/>
            <w:vAlign w:val="center"/>
          </w:tcPr>
          <w:p w14:paraId="1D358AA5">
            <w:pPr>
              <w:adjustRightInd w:val="0"/>
              <w:snapToGrid w:val="0"/>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获取采购文件方式</w:t>
            </w:r>
          </w:p>
        </w:tc>
        <w:tc>
          <w:tcPr>
            <w:tcW w:w="5965" w:type="dxa"/>
            <w:vAlign w:val="center"/>
          </w:tcPr>
          <w:p w14:paraId="1AB12E6F">
            <w:pPr>
              <w:spacing w:line="380" w:lineRule="exact"/>
              <w:jc w:val="left"/>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详见本项目磋商邀请公告</w:t>
            </w:r>
          </w:p>
        </w:tc>
      </w:tr>
      <w:tr w14:paraId="0520CE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1594" w:type="dxa"/>
            <w:vAlign w:val="center"/>
          </w:tcPr>
          <w:p w14:paraId="4DC9789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7264528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第12.1款</w:t>
            </w:r>
          </w:p>
        </w:tc>
        <w:tc>
          <w:tcPr>
            <w:tcW w:w="1672" w:type="dxa"/>
            <w:vAlign w:val="center"/>
          </w:tcPr>
          <w:p w14:paraId="4333AFAE">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提交首次响应文件的截止时间</w:t>
            </w:r>
          </w:p>
        </w:tc>
        <w:tc>
          <w:tcPr>
            <w:tcW w:w="5965" w:type="dxa"/>
            <w:vAlign w:val="center"/>
          </w:tcPr>
          <w:p w14:paraId="3ECD8118">
            <w:pPr>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详见本项目磋商邀请公告</w:t>
            </w:r>
          </w:p>
        </w:tc>
      </w:tr>
      <w:tr w14:paraId="67C47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7C8B79A">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三、响应文件</w:t>
            </w:r>
          </w:p>
        </w:tc>
      </w:tr>
      <w:tr w14:paraId="676B7C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63E2906C">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第二章</w:t>
            </w:r>
          </w:p>
          <w:p w14:paraId="775E3279">
            <w:pPr>
              <w:adjustRightInd w:val="0"/>
              <w:snapToGrid w:val="0"/>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第16.</w:t>
            </w:r>
            <w:r>
              <w:rPr>
                <w:rFonts w:hint="eastAsia" w:ascii="宋体" w:hAnsi="宋体" w:eastAsia="宋体" w:cs="宋体"/>
                <w:b/>
                <w:bCs/>
                <w:color w:val="000000" w:themeColor="text1"/>
                <w:kern w:val="1"/>
                <w:sz w:val="24"/>
                <w:lang w:val="en-US" w:eastAsia="zh-CN"/>
                <w14:textFill>
                  <w14:solidFill>
                    <w14:schemeClr w14:val="tx1"/>
                  </w14:solidFill>
                </w14:textFill>
              </w:rPr>
              <w:t>5</w:t>
            </w:r>
            <w:r>
              <w:rPr>
                <w:rFonts w:hint="eastAsia" w:ascii="宋体" w:hAnsi="宋体" w:eastAsia="宋体" w:cs="宋体"/>
                <w:b/>
                <w:bCs/>
                <w:color w:val="000000" w:themeColor="text1"/>
                <w:kern w:val="1"/>
                <w:sz w:val="24"/>
                <w14:textFill>
                  <w14:solidFill>
                    <w14:schemeClr w14:val="tx1"/>
                  </w14:solidFill>
                </w14:textFill>
              </w:rPr>
              <w:t>款</w:t>
            </w:r>
          </w:p>
        </w:tc>
        <w:tc>
          <w:tcPr>
            <w:tcW w:w="1672" w:type="dxa"/>
            <w:vAlign w:val="center"/>
          </w:tcPr>
          <w:p w14:paraId="18117EC1">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采购项目预算、最高限价</w:t>
            </w:r>
          </w:p>
        </w:tc>
        <w:tc>
          <w:tcPr>
            <w:tcW w:w="5965" w:type="dxa"/>
            <w:vAlign w:val="center"/>
          </w:tcPr>
          <w:p w14:paraId="7D705A74">
            <w:pPr>
              <w:spacing w:line="380" w:lineRule="exac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kern w:val="1"/>
                <w:sz w:val="24"/>
                <w:highlight w:val="none"/>
                <w14:textFill>
                  <w14:solidFill>
                    <w14:schemeClr w14:val="tx1"/>
                  </w14:solidFill>
                </w14:textFill>
              </w:rPr>
              <w:t>采购项目预算：</w:t>
            </w:r>
            <w:r>
              <w:rPr>
                <w:rFonts w:hint="eastAsia" w:ascii="宋体" w:hAnsi="宋体" w:eastAsia="宋体" w:cs="宋体"/>
                <w:b/>
                <w:bCs/>
                <w:color w:val="000000" w:themeColor="text1"/>
                <w:kern w:val="1"/>
                <w:sz w:val="24"/>
                <w:highlight w:val="none"/>
                <w:lang w:eastAsia="zh-CN"/>
                <w14:textFill>
                  <w14:solidFill>
                    <w14:schemeClr w14:val="tx1"/>
                  </w14:solidFill>
                </w14:textFill>
              </w:rPr>
              <w:t>86万</w:t>
            </w:r>
            <w:r>
              <w:rPr>
                <w:rFonts w:hint="eastAsia" w:ascii="宋体" w:hAnsi="宋体" w:eastAsia="宋体" w:cs="宋体"/>
                <w:b/>
                <w:bCs/>
                <w:color w:val="000000" w:themeColor="text1"/>
                <w:kern w:val="1"/>
                <w:sz w:val="24"/>
                <w:highlight w:val="none"/>
                <w14:textFill>
                  <w14:solidFill>
                    <w14:schemeClr w14:val="tx1"/>
                  </w14:solidFill>
                </w14:textFill>
              </w:rPr>
              <w:t xml:space="preserve">元 </w:t>
            </w:r>
            <w:r>
              <w:rPr>
                <w:rFonts w:hint="eastAsia" w:ascii="宋体" w:hAnsi="宋体" w:eastAsia="宋体" w:cs="宋体"/>
                <w:b/>
                <w:bCs/>
                <w:color w:val="000000" w:themeColor="text1"/>
                <w:kern w:val="1"/>
                <w:sz w:val="24"/>
                <w:highlight w:val="none"/>
                <w:lang w:eastAsia="zh-CN"/>
                <w14:textFill>
                  <w14:solidFill>
                    <w14:schemeClr w14:val="tx1"/>
                  </w14:solidFill>
                </w14:textFill>
              </w:rPr>
              <w:t>（</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包一：42万；</w:t>
            </w:r>
            <w:r>
              <w:rPr>
                <w:rFonts w:hint="eastAsia" w:ascii="宋体" w:hAnsi="宋体" w:eastAsia="宋体" w:cs="宋体"/>
                <w:b/>
                <w:bCs/>
                <w:color w:val="000000" w:themeColor="text1"/>
                <w:kern w:val="1"/>
                <w:sz w:val="24"/>
                <w:highlight w:val="none"/>
                <w14:textFill>
                  <w14:solidFill>
                    <w14:schemeClr w14:val="tx1"/>
                  </w14:solidFill>
                </w14:textFill>
              </w:rPr>
              <w:t xml:space="preserve"> </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包二：44万）</w:t>
            </w:r>
            <w:r>
              <w:rPr>
                <w:rFonts w:hint="eastAsia" w:ascii="宋体" w:hAnsi="宋体" w:eastAsia="宋体" w:cs="宋体"/>
                <w:b/>
                <w:bCs/>
                <w:color w:val="000000" w:themeColor="text1"/>
                <w:kern w:val="1"/>
                <w:sz w:val="24"/>
                <w:highlight w:val="none"/>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 xml:space="preserve">  </w:t>
            </w:r>
          </w:p>
          <w:p w14:paraId="1205E525">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所投包号</w:t>
            </w:r>
            <w:r>
              <w:rPr>
                <w:rFonts w:hint="eastAsia" w:ascii="宋体" w:hAnsi="宋体" w:eastAsia="宋体" w:cs="宋体"/>
                <w:b/>
                <w:bCs/>
                <w:color w:val="000000" w:themeColor="text1"/>
                <w:sz w:val="24"/>
                <w:highlight w:val="none"/>
                <w14:textFill>
                  <w14:solidFill>
                    <w14:schemeClr w14:val="tx1"/>
                  </w14:solidFill>
                </w14:textFill>
              </w:rPr>
              <w:t>响应文件只有一个报价，无选择性报价。供应商对本项目的投标报价最高不得</w:t>
            </w:r>
            <w:r>
              <w:rPr>
                <w:rFonts w:hint="eastAsia" w:ascii="宋体" w:hAnsi="宋体" w:eastAsia="宋体" w:cs="宋体"/>
                <w:b/>
                <w:bCs/>
                <w:color w:val="000000" w:themeColor="text1"/>
                <w:kern w:val="1"/>
                <w:sz w:val="24"/>
                <w:highlight w:val="none"/>
                <w14:textFill>
                  <w14:solidFill>
                    <w14:schemeClr w14:val="tx1"/>
                  </w14:solidFill>
                </w14:textFill>
              </w:rPr>
              <w:t>超过</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同时也不得低于包一：42万；</w:t>
            </w:r>
            <w:r>
              <w:rPr>
                <w:rFonts w:hint="eastAsia" w:ascii="宋体" w:hAnsi="宋体" w:eastAsia="宋体" w:cs="宋体"/>
                <w:b/>
                <w:bCs/>
                <w:color w:val="000000" w:themeColor="text1"/>
                <w:kern w:val="1"/>
                <w:sz w:val="24"/>
                <w:highlight w:val="none"/>
                <w14:textFill>
                  <w14:solidFill>
                    <w14:schemeClr w14:val="tx1"/>
                  </w14:solidFill>
                </w14:textFill>
              </w:rPr>
              <w:t xml:space="preserve"> </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包二：44万</w:t>
            </w:r>
            <w:r>
              <w:rPr>
                <w:rFonts w:hint="eastAsia" w:ascii="宋体" w:hAnsi="宋体" w:eastAsia="宋体" w:cs="宋体"/>
                <w:b/>
                <w:bCs/>
                <w:color w:val="000000" w:themeColor="text1"/>
                <w:kern w:val="1"/>
                <w:sz w:val="24"/>
                <w:highlight w:val="none"/>
                <w14:textFill>
                  <w14:solidFill>
                    <w14:schemeClr w14:val="tx1"/>
                  </w14:solidFill>
                </w14:textFill>
              </w:rPr>
              <w:t>，</w:t>
            </w:r>
            <w:r>
              <w:rPr>
                <w:rFonts w:hint="eastAsia" w:ascii="宋体" w:hAnsi="宋体" w:eastAsia="宋体" w:cs="宋体"/>
                <w:b/>
                <w:bCs/>
                <w:color w:val="000000" w:themeColor="text1"/>
                <w:sz w:val="24"/>
                <w:highlight w:val="none"/>
                <w14:textFill>
                  <w14:solidFill>
                    <w14:schemeClr w14:val="tx1"/>
                  </w14:solidFill>
                </w14:textFill>
              </w:rPr>
              <w:t>否则其投标将被视为无效投标而被拒绝。</w:t>
            </w:r>
          </w:p>
        </w:tc>
      </w:tr>
      <w:tr w14:paraId="389D5A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043F2860">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第二章</w:t>
            </w:r>
          </w:p>
          <w:p w14:paraId="18EBC3FE">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第16.</w:t>
            </w:r>
            <w:r>
              <w:rPr>
                <w:rFonts w:hint="eastAsia" w:ascii="宋体" w:hAnsi="宋体" w:eastAsia="宋体" w:cs="宋体"/>
                <w:b/>
                <w:bCs/>
                <w:color w:val="000000" w:themeColor="text1"/>
                <w:kern w:val="1"/>
                <w:sz w:val="24"/>
                <w:lang w:val="en-US" w:eastAsia="zh-CN"/>
                <w14:textFill>
                  <w14:solidFill>
                    <w14:schemeClr w14:val="tx1"/>
                  </w14:solidFill>
                </w14:textFill>
              </w:rPr>
              <w:t>6</w:t>
            </w:r>
            <w:r>
              <w:rPr>
                <w:rFonts w:hint="eastAsia" w:ascii="宋体" w:hAnsi="宋体" w:eastAsia="宋体" w:cs="宋体"/>
                <w:b/>
                <w:bCs/>
                <w:color w:val="000000" w:themeColor="text1"/>
                <w:kern w:val="1"/>
                <w:sz w:val="24"/>
                <w14:textFill>
                  <w14:solidFill>
                    <w14:schemeClr w14:val="tx1"/>
                  </w14:solidFill>
                </w14:textFill>
              </w:rPr>
              <w:t>款</w:t>
            </w:r>
          </w:p>
        </w:tc>
        <w:tc>
          <w:tcPr>
            <w:tcW w:w="1672" w:type="dxa"/>
            <w:vAlign w:val="center"/>
          </w:tcPr>
          <w:p w14:paraId="5785BF7A">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报价的其他</w:t>
            </w:r>
          </w:p>
          <w:p w14:paraId="43FA04E5">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要求 </w:t>
            </w:r>
          </w:p>
        </w:tc>
        <w:tc>
          <w:tcPr>
            <w:tcW w:w="5965" w:type="dxa"/>
            <w:vAlign w:val="center"/>
          </w:tcPr>
          <w:p w14:paraId="4A082FCC">
            <w:pPr>
              <w:wordWrap w:val="0"/>
              <w:adjustRightInd w:val="0"/>
              <w:snapToGrid w:val="0"/>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1、供应商在评审过程中，应保持系统在线并保持手机畅通，便于磋商小组询标及提交最后报价。 </w:t>
            </w:r>
          </w:p>
          <w:p w14:paraId="04B206D9">
            <w:pPr>
              <w:wordWrap w:val="0"/>
              <w:adjustRightInd w:val="0"/>
              <w:snapToGrid w:val="0"/>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2、在磋商过程中磋商文件无实质性变动的情况下，本项目采用两轮报价（响应文件中的报价为第 1 轮报价），磋商结束后，磋商小组要求所有满足磋商文件要求的供应商在规定时间内提交第 2 轮报价,该报价为最后报价（如遇系统故障、网络故障导致不能正常提交第 2 轮报价的，磋商小组将发起第 3 轮报价，以此类推，供应商不得对此提出异议）。 </w:t>
            </w:r>
          </w:p>
          <w:p w14:paraId="024BCAA7">
            <w:pPr>
              <w:wordWrap w:val="0"/>
              <w:adjustRightInd w:val="0"/>
              <w:snapToGrid w:val="0"/>
              <w:spacing w:line="380" w:lineRule="exact"/>
              <w:jc w:val="left"/>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3、在磋商过程中磋商文件无实质性变动的情况下，参加磋商供应商的次轮报价不得高于上轮报价,否则报价无效。 </w:t>
            </w:r>
          </w:p>
        </w:tc>
      </w:tr>
      <w:tr w14:paraId="197459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594" w:type="dxa"/>
            <w:vAlign w:val="center"/>
          </w:tcPr>
          <w:p w14:paraId="6B194C2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BE66FB7">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第17.3款</w:t>
            </w:r>
          </w:p>
        </w:tc>
        <w:tc>
          <w:tcPr>
            <w:tcW w:w="1672" w:type="dxa"/>
            <w:vAlign w:val="center"/>
          </w:tcPr>
          <w:p w14:paraId="21CDC33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非制造商的证明文件</w:t>
            </w:r>
          </w:p>
        </w:tc>
        <w:tc>
          <w:tcPr>
            <w:tcW w:w="5965" w:type="dxa"/>
            <w:vAlign w:val="center"/>
          </w:tcPr>
          <w:p w14:paraId="5F1ED6FE">
            <w:pPr>
              <w:wordWrap w:val="0"/>
              <w:adjustRightInd w:val="0"/>
              <w:snapToGrid w:val="0"/>
              <w:spacing w:line="380" w:lineRule="exact"/>
              <w:jc w:val="lef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1ACFDD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4" w:hRule="atLeast"/>
          <w:jc w:val="center"/>
        </w:trPr>
        <w:tc>
          <w:tcPr>
            <w:tcW w:w="1594" w:type="dxa"/>
            <w:vAlign w:val="center"/>
          </w:tcPr>
          <w:p w14:paraId="748F92B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53A3E3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第17.5款</w:t>
            </w:r>
          </w:p>
        </w:tc>
        <w:tc>
          <w:tcPr>
            <w:tcW w:w="1672" w:type="dxa"/>
            <w:vAlign w:val="center"/>
          </w:tcPr>
          <w:p w14:paraId="7EAC605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非单一产品采购项目的核心产品</w:t>
            </w:r>
          </w:p>
        </w:tc>
        <w:tc>
          <w:tcPr>
            <w:tcW w:w="5965" w:type="dxa"/>
            <w:vAlign w:val="center"/>
          </w:tcPr>
          <w:p w14:paraId="3B1C07AE">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0EF3AB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8" w:hRule="atLeast"/>
          <w:jc w:val="center"/>
        </w:trPr>
        <w:tc>
          <w:tcPr>
            <w:tcW w:w="1594" w:type="dxa"/>
            <w:vAlign w:val="center"/>
          </w:tcPr>
          <w:p w14:paraId="6887F1C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775A8C0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第17.6款</w:t>
            </w:r>
          </w:p>
        </w:tc>
        <w:tc>
          <w:tcPr>
            <w:tcW w:w="1672" w:type="dxa"/>
            <w:vAlign w:val="center"/>
          </w:tcPr>
          <w:p w14:paraId="6339135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相同品牌产品评审得分相同的规定</w:t>
            </w:r>
          </w:p>
        </w:tc>
        <w:tc>
          <w:tcPr>
            <w:tcW w:w="5965" w:type="dxa"/>
            <w:vAlign w:val="center"/>
          </w:tcPr>
          <w:p w14:paraId="7796AC36">
            <w:pPr>
              <w:adjustRightInd w:val="0"/>
              <w:snapToGrid w:val="0"/>
              <w:spacing w:line="380" w:lineRule="exact"/>
              <w:jc w:val="lef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42F6E3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2" w:hRule="atLeast"/>
          <w:jc w:val="center"/>
        </w:trPr>
        <w:tc>
          <w:tcPr>
            <w:tcW w:w="1594" w:type="dxa"/>
            <w:vAlign w:val="center"/>
          </w:tcPr>
          <w:p w14:paraId="3809972E">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6DC7E36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第18.1款</w:t>
            </w:r>
          </w:p>
        </w:tc>
        <w:tc>
          <w:tcPr>
            <w:tcW w:w="1672" w:type="dxa"/>
            <w:vAlign w:val="center"/>
          </w:tcPr>
          <w:p w14:paraId="6DF1149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样品提供及样品提交的时间、地点</w:t>
            </w:r>
          </w:p>
        </w:tc>
        <w:tc>
          <w:tcPr>
            <w:tcW w:w="5965" w:type="dxa"/>
            <w:vAlign w:val="center"/>
          </w:tcPr>
          <w:p w14:paraId="3CE2189E">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263CB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594" w:type="dxa"/>
            <w:vAlign w:val="center"/>
          </w:tcPr>
          <w:p w14:paraId="7412B84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ABCF30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第19.1款</w:t>
            </w:r>
          </w:p>
        </w:tc>
        <w:tc>
          <w:tcPr>
            <w:tcW w:w="1672" w:type="dxa"/>
            <w:vAlign w:val="center"/>
          </w:tcPr>
          <w:p w14:paraId="3A983760">
            <w:pPr>
              <w:spacing w:line="380" w:lineRule="exact"/>
              <w:ind w:left="-533" w:firstLine="533"/>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磋商保证金</w:t>
            </w:r>
          </w:p>
        </w:tc>
        <w:tc>
          <w:tcPr>
            <w:tcW w:w="5965" w:type="dxa"/>
            <w:vAlign w:val="center"/>
          </w:tcPr>
          <w:p w14:paraId="0088ACDF">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■不要求提供</w:t>
            </w:r>
          </w:p>
          <w:p w14:paraId="7122119D">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□要求提供</w:t>
            </w:r>
          </w:p>
        </w:tc>
      </w:tr>
      <w:tr w14:paraId="417F14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146430E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37B320E">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第20.1款</w:t>
            </w:r>
          </w:p>
        </w:tc>
        <w:tc>
          <w:tcPr>
            <w:tcW w:w="1672" w:type="dxa"/>
            <w:vAlign w:val="center"/>
          </w:tcPr>
          <w:p w14:paraId="67B078F5">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响应文件有效期</w:t>
            </w:r>
          </w:p>
        </w:tc>
        <w:tc>
          <w:tcPr>
            <w:tcW w:w="5965" w:type="dxa"/>
            <w:vAlign w:val="center"/>
          </w:tcPr>
          <w:p w14:paraId="2E2E858E">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60日（日历日）</w:t>
            </w:r>
          </w:p>
        </w:tc>
      </w:tr>
      <w:tr w14:paraId="570D4A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594" w:type="dxa"/>
            <w:vMerge w:val="restart"/>
            <w:vAlign w:val="center"/>
          </w:tcPr>
          <w:p w14:paraId="1A5536F4">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3CB71D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第21.1款</w:t>
            </w:r>
          </w:p>
        </w:tc>
        <w:tc>
          <w:tcPr>
            <w:tcW w:w="1672" w:type="dxa"/>
            <w:vMerge w:val="restart"/>
            <w:vAlign w:val="center"/>
          </w:tcPr>
          <w:p w14:paraId="55DAF014">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响应文件份数</w:t>
            </w:r>
          </w:p>
        </w:tc>
        <w:tc>
          <w:tcPr>
            <w:tcW w:w="5965" w:type="dxa"/>
            <w:vAlign w:val="center"/>
          </w:tcPr>
          <w:p w14:paraId="7467080C">
            <w:pPr>
              <w:spacing w:line="360" w:lineRule="auto"/>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投标人应在投标截止时间前通过湘西州公共资源交易中心电子交易平台（http://app.ggzyjy.xxz.gov.cn/</w:t>
            </w:r>
          </w:p>
          <w:p w14:paraId="5C92675A">
            <w:pPr>
              <w:spacing w:line="360" w:lineRule="auto"/>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TPBidder/memberLogin）递交数据电文形式的响应文件一份。</w:t>
            </w:r>
          </w:p>
        </w:tc>
      </w:tr>
      <w:tr w14:paraId="7E74B0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94" w:type="dxa"/>
            <w:vMerge w:val="continue"/>
            <w:vAlign w:val="center"/>
          </w:tcPr>
          <w:p w14:paraId="6A63E38F">
            <w:pPr>
              <w:spacing w:line="380" w:lineRule="exact"/>
              <w:jc w:val="center"/>
              <w:rPr>
                <w:rFonts w:hint="eastAsia" w:ascii="宋体" w:hAnsi="宋体" w:eastAsia="宋体" w:cs="宋体"/>
                <w:color w:val="000000" w:themeColor="text1"/>
                <w:kern w:val="1"/>
                <w:sz w:val="24"/>
                <w14:textFill>
                  <w14:solidFill>
                    <w14:schemeClr w14:val="tx1"/>
                  </w14:solidFill>
                </w14:textFill>
              </w:rPr>
            </w:pPr>
          </w:p>
        </w:tc>
        <w:tc>
          <w:tcPr>
            <w:tcW w:w="1672" w:type="dxa"/>
            <w:vMerge w:val="continue"/>
            <w:vAlign w:val="center"/>
          </w:tcPr>
          <w:p w14:paraId="596EE772">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p>
        </w:tc>
        <w:tc>
          <w:tcPr>
            <w:tcW w:w="5965" w:type="dxa"/>
            <w:vAlign w:val="center"/>
          </w:tcPr>
          <w:p w14:paraId="7BCD786D">
            <w:pPr>
              <w:widowControl/>
              <w:spacing w:line="360" w:lineRule="auto"/>
              <w:jc w:val="left"/>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0"/>
                <w:sz w:val="24"/>
                <w:lang w:bidi="ar"/>
                <w14:textFill>
                  <w14:solidFill>
                    <w14:schemeClr w14:val="tx1"/>
                  </w14:solidFill>
                </w14:textFill>
              </w:rPr>
              <w:t>成交供应商在领取成交通知书时，须向代理机构递交二份胶装完好的投标文件以供存档（内容必须与电子投标文件一致）。</w:t>
            </w:r>
          </w:p>
        </w:tc>
      </w:tr>
      <w:tr w14:paraId="3A9F12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70E92DB6">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四、响应文件的递交</w:t>
            </w:r>
          </w:p>
        </w:tc>
      </w:tr>
      <w:tr w14:paraId="59A267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4" w:hRule="atLeast"/>
          <w:jc w:val="center"/>
        </w:trPr>
        <w:tc>
          <w:tcPr>
            <w:tcW w:w="1594" w:type="dxa"/>
            <w:vAlign w:val="center"/>
          </w:tcPr>
          <w:p w14:paraId="731F668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DFA03A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第22.2款</w:t>
            </w:r>
          </w:p>
        </w:tc>
        <w:tc>
          <w:tcPr>
            <w:tcW w:w="1672" w:type="dxa"/>
            <w:vAlign w:val="center"/>
          </w:tcPr>
          <w:p w14:paraId="16609327">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首次响应文件的提交时间和地点</w:t>
            </w:r>
          </w:p>
        </w:tc>
        <w:tc>
          <w:tcPr>
            <w:tcW w:w="5965" w:type="dxa"/>
            <w:vAlign w:val="center"/>
          </w:tcPr>
          <w:p w14:paraId="33A4F931">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详见磋商文件第一章第六条</w:t>
            </w:r>
          </w:p>
        </w:tc>
      </w:tr>
      <w:tr w14:paraId="1B8AB7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3F7B7426">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五、响应文件的磋商与评审</w:t>
            </w:r>
          </w:p>
        </w:tc>
      </w:tr>
      <w:tr w14:paraId="5CAF3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1594" w:type="dxa"/>
            <w:vAlign w:val="center"/>
          </w:tcPr>
          <w:p w14:paraId="50C1B37C">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62785C66">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第30.2款</w:t>
            </w:r>
          </w:p>
        </w:tc>
        <w:tc>
          <w:tcPr>
            <w:tcW w:w="1672" w:type="dxa"/>
            <w:vAlign w:val="center"/>
          </w:tcPr>
          <w:p w14:paraId="4648F317">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评审因素和标准</w:t>
            </w:r>
          </w:p>
        </w:tc>
        <w:tc>
          <w:tcPr>
            <w:tcW w:w="5965" w:type="dxa"/>
            <w:vAlign w:val="center"/>
          </w:tcPr>
          <w:p w14:paraId="397782C1">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见附页3</w:t>
            </w:r>
          </w:p>
        </w:tc>
      </w:tr>
      <w:tr w14:paraId="1C7FD0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94" w:type="dxa"/>
            <w:vAlign w:val="center"/>
          </w:tcPr>
          <w:p w14:paraId="6137062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337677C">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第30.3款</w:t>
            </w:r>
          </w:p>
        </w:tc>
        <w:tc>
          <w:tcPr>
            <w:tcW w:w="1672" w:type="dxa"/>
            <w:vAlign w:val="center"/>
          </w:tcPr>
          <w:p w14:paraId="36718ACA">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最后报价调整</w:t>
            </w:r>
          </w:p>
        </w:tc>
        <w:tc>
          <w:tcPr>
            <w:tcW w:w="5965" w:type="dxa"/>
            <w:vAlign w:val="center"/>
          </w:tcPr>
          <w:p w14:paraId="398672E5">
            <w:pPr>
              <w:spacing w:line="380" w:lineRule="exact"/>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lang w:val="en-US" w:eastAsia="zh-CN"/>
                <w14:textFill>
                  <w14:solidFill>
                    <w14:schemeClr w14:val="tx1"/>
                  </w14:solidFill>
                </w14:textFill>
              </w:rPr>
              <w:t>详见本表</w:t>
            </w:r>
            <w:r>
              <w:rPr>
                <w:rFonts w:hint="eastAsia" w:ascii="宋体" w:hAnsi="宋体" w:eastAsia="宋体" w:cs="宋体"/>
                <w:b/>
                <w:bCs/>
                <w:color w:val="000000" w:themeColor="text1"/>
                <w:sz w:val="24"/>
                <w14:textFill>
                  <w14:solidFill>
                    <w14:schemeClr w14:val="tx1"/>
                  </w14:solidFill>
                </w14:textFill>
              </w:rPr>
              <w:t>第9款</w:t>
            </w:r>
            <w:r>
              <w:rPr>
                <w:rFonts w:hint="eastAsia" w:ascii="宋体" w:hAnsi="宋体" w:eastAsia="宋体" w:cs="宋体"/>
                <w:b/>
                <w:bCs/>
                <w:color w:val="000000" w:themeColor="text1"/>
                <w:sz w:val="24"/>
                <w:lang w:val="en-US" w:eastAsia="zh-CN"/>
                <w14:textFill>
                  <w14:solidFill>
                    <w14:schemeClr w14:val="tx1"/>
                  </w14:solidFill>
                </w14:textFill>
              </w:rPr>
              <w:t>“政府采购支持中小企业发展”</w:t>
            </w:r>
          </w:p>
        </w:tc>
      </w:tr>
      <w:tr w14:paraId="546A6A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594" w:type="dxa"/>
            <w:vAlign w:val="center"/>
          </w:tcPr>
          <w:p w14:paraId="283B1E2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C09D0F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第30.5款</w:t>
            </w:r>
          </w:p>
        </w:tc>
        <w:tc>
          <w:tcPr>
            <w:tcW w:w="1672" w:type="dxa"/>
            <w:vAlign w:val="center"/>
          </w:tcPr>
          <w:p w14:paraId="0B8AFF29">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技术、商务、价格得分或总得分调整</w:t>
            </w:r>
          </w:p>
        </w:tc>
        <w:tc>
          <w:tcPr>
            <w:tcW w:w="5965" w:type="dxa"/>
            <w:vAlign w:val="center"/>
          </w:tcPr>
          <w:p w14:paraId="42BC6744">
            <w:pPr>
              <w:spacing w:line="380" w:lineRule="exact"/>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39C430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55" w:hRule="atLeast"/>
          <w:jc w:val="center"/>
        </w:trPr>
        <w:tc>
          <w:tcPr>
            <w:tcW w:w="1594" w:type="dxa"/>
            <w:vAlign w:val="center"/>
          </w:tcPr>
          <w:p w14:paraId="2AA1CD8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454203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第30.6款</w:t>
            </w:r>
          </w:p>
        </w:tc>
        <w:tc>
          <w:tcPr>
            <w:tcW w:w="1672" w:type="dxa"/>
            <w:vAlign w:val="center"/>
          </w:tcPr>
          <w:p w14:paraId="033208D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多处或部分获得政府采购政策优惠的计算方法</w:t>
            </w:r>
          </w:p>
        </w:tc>
        <w:tc>
          <w:tcPr>
            <w:tcW w:w="5965" w:type="dxa"/>
            <w:vAlign w:val="center"/>
          </w:tcPr>
          <w:p w14:paraId="321407E3">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198F24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1594" w:type="dxa"/>
            <w:vAlign w:val="center"/>
          </w:tcPr>
          <w:p w14:paraId="72C2275C">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第31.1款</w:t>
            </w:r>
          </w:p>
        </w:tc>
        <w:tc>
          <w:tcPr>
            <w:tcW w:w="1672" w:type="dxa"/>
            <w:vAlign w:val="center"/>
          </w:tcPr>
          <w:p w14:paraId="0B69B47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成交候选人并列的确定成交供应商的方式</w:t>
            </w:r>
          </w:p>
        </w:tc>
        <w:tc>
          <w:tcPr>
            <w:tcW w:w="5965" w:type="dxa"/>
            <w:vAlign w:val="center"/>
          </w:tcPr>
          <w:p w14:paraId="356E91DD">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val="0"/>
                <w:bCs w:val="0"/>
                <w:snapToGrid w:val="0"/>
                <w:color w:val="000000"/>
                <w:kern w:val="0"/>
                <w:sz w:val="24"/>
                <w:szCs w:val="24"/>
                <w:highlight w:val="none"/>
                <w:lang w:eastAsia="zh-CN"/>
              </w:rPr>
              <w:t>评审结果按评审后得分由高到低顺序排列。评审总得分相同的，按报价部分得分由高到低顺序排列。总得分且报价部分得分相同的并列，按照商务部分得分由高到低顺序排列。商务部分得分相同的，按技术部分得分由高到低顺序排列。若</w:t>
            </w:r>
            <w:r>
              <w:rPr>
                <w:rFonts w:hint="eastAsia" w:ascii="宋体" w:hAnsi="宋体" w:eastAsia="宋体" w:cs="宋体"/>
                <w:b w:val="0"/>
                <w:bCs w:val="0"/>
                <w:snapToGrid w:val="0"/>
                <w:color w:val="000000"/>
                <w:kern w:val="0"/>
                <w:sz w:val="24"/>
                <w:szCs w:val="24"/>
                <w:highlight w:val="none"/>
                <w:lang w:val="en-US" w:eastAsia="zh-CN"/>
              </w:rPr>
              <w:t>均</w:t>
            </w:r>
            <w:r>
              <w:rPr>
                <w:rFonts w:hint="eastAsia" w:ascii="宋体" w:hAnsi="宋体" w:eastAsia="宋体" w:cs="宋体"/>
                <w:b w:val="0"/>
                <w:bCs w:val="0"/>
                <w:snapToGrid w:val="0"/>
                <w:color w:val="000000"/>
                <w:kern w:val="0"/>
                <w:sz w:val="24"/>
                <w:szCs w:val="24"/>
                <w:highlight w:val="none"/>
                <w:lang w:eastAsia="zh-CN"/>
              </w:rPr>
              <w:t>相同，由评标委员会投票确定</w:t>
            </w:r>
            <w:r>
              <w:rPr>
                <w:rFonts w:hint="eastAsia" w:ascii="宋体" w:hAnsi="宋体" w:eastAsia="宋体" w:cs="宋体"/>
                <w:b w:val="0"/>
                <w:bCs w:val="0"/>
                <w:snapToGrid w:val="0"/>
                <w:color w:val="000000"/>
                <w:kern w:val="0"/>
                <w:sz w:val="24"/>
                <w:szCs w:val="24"/>
                <w:highlight w:val="none"/>
                <w:lang w:val="en-US" w:eastAsia="zh-CN"/>
              </w:rPr>
              <w:t>中标人</w:t>
            </w:r>
            <w:r>
              <w:rPr>
                <w:rFonts w:hint="eastAsia" w:ascii="宋体" w:hAnsi="宋体" w:eastAsia="宋体" w:cs="宋体"/>
                <w:b w:val="0"/>
                <w:bCs w:val="0"/>
                <w:snapToGrid w:val="0"/>
                <w:color w:val="000000"/>
                <w:kern w:val="0"/>
                <w:sz w:val="24"/>
                <w:szCs w:val="24"/>
                <w:highlight w:val="none"/>
                <w:lang w:eastAsia="zh-CN"/>
              </w:rPr>
              <w:t>。</w:t>
            </w:r>
          </w:p>
        </w:tc>
      </w:tr>
      <w:tr w14:paraId="4851CF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9231" w:type="dxa"/>
            <w:gridSpan w:val="3"/>
            <w:vAlign w:val="center"/>
          </w:tcPr>
          <w:p w14:paraId="28EB2C73">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六、成交结果信息公布与授予合同</w:t>
            </w:r>
          </w:p>
        </w:tc>
      </w:tr>
      <w:tr w14:paraId="1032B0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1594" w:type="dxa"/>
            <w:vMerge w:val="restart"/>
            <w:vAlign w:val="center"/>
          </w:tcPr>
          <w:p w14:paraId="055525D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6C16F8E7">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第36.1款</w:t>
            </w:r>
          </w:p>
        </w:tc>
        <w:tc>
          <w:tcPr>
            <w:tcW w:w="1672" w:type="dxa"/>
            <w:vAlign w:val="center"/>
          </w:tcPr>
          <w:p w14:paraId="5138348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财政部门指定的媒体</w:t>
            </w:r>
          </w:p>
        </w:tc>
        <w:tc>
          <w:tcPr>
            <w:tcW w:w="5965" w:type="dxa"/>
            <w:vAlign w:val="center"/>
          </w:tcPr>
          <w:p w14:paraId="58615E92">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《中国湖南政府采购网》</w:t>
            </w:r>
          </w:p>
          <w:p w14:paraId="2194DCFF">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http://www.ccgp-hunan.gov.cn</w:t>
            </w:r>
          </w:p>
        </w:tc>
      </w:tr>
      <w:tr w14:paraId="7C11B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594" w:type="dxa"/>
            <w:vMerge w:val="continue"/>
            <w:vAlign w:val="center"/>
          </w:tcPr>
          <w:p w14:paraId="360A1E6D">
            <w:pPr>
              <w:spacing w:line="380" w:lineRule="exact"/>
              <w:jc w:val="center"/>
              <w:rPr>
                <w:rFonts w:hint="eastAsia" w:ascii="宋体" w:hAnsi="宋体" w:eastAsia="宋体" w:cs="宋体"/>
                <w:color w:val="000000" w:themeColor="text1"/>
                <w:kern w:val="1"/>
                <w:sz w:val="24"/>
                <w14:textFill>
                  <w14:solidFill>
                    <w14:schemeClr w14:val="tx1"/>
                  </w14:solidFill>
                </w14:textFill>
              </w:rPr>
            </w:pPr>
          </w:p>
        </w:tc>
        <w:tc>
          <w:tcPr>
            <w:tcW w:w="1672" w:type="dxa"/>
            <w:vAlign w:val="center"/>
          </w:tcPr>
          <w:p w14:paraId="1E85C5A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信息发布媒体</w:t>
            </w:r>
          </w:p>
        </w:tc>
        <w:tc>
          <w:tcPr>
            <w:tcW w:w="5965" w:type="dxa"/>
            <w:vAlign w:val="center"/>
          </w:tcPr>
          <w:p w14:paraId="6A9BB6A7">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《中国湖南政府采购网》</w:t>
            </w:r>
          </w:p>
          <w:p w14:paraId="4F915647">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（http://www.ccgp-hunan.gov.cn）</w:t>
            </w:r>
          </w:p>
          <w:p w14:paraId="6AF1077C">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《湘西公共资源交易网》</w:t>
            </w:r>
          </w:p>
          <w:p w14:paraId="79A32B7B">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（http://ggzyjy.xxz.gov.cn）</w:t>
            </w:r>
          </w:p>
        </w:tc>
      </w:tr>
      <w:tr w14:paraId="72CFCC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594" w:type="dxa"/>
            <w:vAlign w:val="center"/>
          </w:tcPr>
          <w:p w14:paraId="1C00796A">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val="0"/>
                <w:bCs w:val="0"/>
                <w:color w:val="auto"/>
                <w:sz w:val="24"/>
                <w:highlight w:val="none"/>
              </w:rPr>
              <w:t>第二章第3</w:t>
            </w:r>
            <w:r>
              <w:rPr>
                <w:rFonts w:hint="eastAsia" w:ascii="宋体" w:hAnsi="宋体" w:eastAsia="宋体" w:cs="宋体"/>
                <w:b w:val="0"/>
                <w:bCs w:val="0"/>
                <w:color w:val="auto"/>
                <w:sz w:val="24"/>
                <w:highlight w:val="none"/>
                <w:lang w:val="en-US" w:eastAsia="zh-CN"/>
              </w:rPr>
              <w:t>7</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5</w:t>
            </w:r>
            <w:r>
              <w:rPr>
                <w:rFonts w:hint="eastAsia" w:ascii="宋体" w:hAnsi="宋体" w:eastAsia="宋体" w:cs="宋体"/>
                <w:b w:val="0"/>
                <w:bCs w:val="0"/>
                <w:color w:val="auto"/>
                <w:sz w:val="24"/>
                <w:highlight w:val="none"/>
              </w:rPr>
              <w:t>款</w:t>
            </w:r>
          </w:p>
        </w:tc>
        <w:tc>
          <w:tcPr>
            <w:tcW w:w="1672" w:type="dxa"/>
            <w:vAlign w:val="center"/>
          </w:tcPr>
          <w:p w14:paraId="67AD05D3">
            <w:pPr>
              <w:keepNext w:val="0"/>
              <w:keepLines w:val="0"/>
              <w:pageBreakBefore w:val="0"/>
              <w:widowControl w:val="0"/>
              <w:shd w:val="clear" w:color="auto" w:fill="auto"/>
              <w:kinsoku/>
              <w:wordWrap/>
              <w:overflowPunct/>
              <w:topLinePunct w:val="0"/>
              <w:autoSpaceDE/>
              <w:autoSpaceDN/>
              <w:bidi w:val="0"/>
              <w:spacing w:line="400" w:lineRule="exact"/>
              <w:jc w:val="center"/>
              <w:textAlignment w:val="auto"/>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val="0"/>
                <w:bCs w:val="0"/>
                <w:color w:val="auto"/>
                <w:sz w:val="24"/>
                <w:szCs w:val="24"/>
                <w:highlight w:val="none"/>
              </w:rPr>
              <w:t>接收质疑函的联系部门、联系电话和通讯地址</w:t>
            </w:r>
          </w:p>
        </w:tc>
        <w:tc>
          <w:tcPr>
            <w:tcW w:w="5965" w:type="dxa"/>
            <w:vAlign w:val="center"/>
          </w:tcPr>
          <w:p w14:paraId="7DFAA012">
            <w:pPr>
              <w:keepNext w:val="0"/>
              <w:keepLines w:val="0"/>
              <w:pageBreakBefore w:val="0"/>
              <w:widowControl w:val="0"/>
              <w:shd w:val="clear" w:color="auto" w:fill="auto"/>
              <w:kinsoku/>
              <w:overflowPunct/>
              <w:topLinePunct w:val="0"/>
              <w:autoSpaceDE/>
              <w:autoSpaceDN/>
              <w:bidi w:val="0"/>
              <w:adjustRightInd w:val="0"/>
              <w:snapToGrid w:val="0"/>
              <w:spacing w:line="4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供应商认为竞争性磋商文件、采购过程、成交结果使自己的权益受到损害的，应当在知道或者应知其权益受到损害之日起7个工作日内，以书面形式向采购人和采购代理机构一次性提出针对同一采购程序环节的质疑。</w:t>
            </w:r>
          </w:p>
          <w:p w14:paraId="36F8A760">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采购人信息</w:t>
            </w:r>
          </w:p>
          <w:p w14:paraId="0E0CA1BB">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名称：花垣县农业农村局</w:t>
            </w:r>
          </w:p>
          <w:p w14:paraId="3EE794F6">
            <w:pPr>
              <w:spacing w:line="360" w:lineRule="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pacing w:val="-11"/>
                <w:sz w:val="24"/>
                <w:szCs w:val="24"/>
                <w:highlight w:val="none"/>
                <w:u w:val="none"/>
                <w:lang w:val="en-US" w:eastAsia="zh-CN"/>
              </w:rPr>
              <w:t>地址：</w:t>
            </w:r>
            <w:r>
              <w:rPr>
                <w:rFonts w:hint="eastAsia" w:ascii="宋体" w:hAnsi="宋体" w:eastAsia="宋体" w:cs="宋体"/>
                <w:color w:val="000000" w:themeColor="text1"/>
                <w:sz w:val="24"/>
                <w:highlight w:val="none"/>
                <w:lang w:eastAsia="zh-CN"/>
                <w14:textFill>
                  <w14:solidFill>
                    <w14:schemeClr w14:val="tx1"/>
                  </w14:solidFill>
                </w14:textFill>
              </w:rPr>
              <w:t>湘西土家族苗族自治州花垣县花垣镇湘西国家农业科技园区科创中心大楼 6 楼</w:t>
            </w:r>
            <w:r>
              <w:rPr>
                <w:rFonts w:hint="eastAsia" w:ascii="宋体" w:hAnsi="宋体" w:eastAsia="宋体" w:cs="宋体"/>
                <w:color w:val="auto"/>
                <w:sz w:val="24"/>
                <w:szCs w:val="24"/>
                <w:highlight w:val="none"/>
                <w:u w:val="none"/>
                <w:lang w:val="en-US" w:eastAsia="zh-CN"/>
              </w:rPr>
              <w:t xml:space="preserve">                    </w:t>
            </w:r>
          </w:p>
          <w:p w14:paraId="66D71817">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xml:space="preserve">联系人：代志清                           </w:t>
            </w:r>
          </w:p>
          <w:p w14:paraId="33197637">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none"/>
                <w:lang w:val="en-US" w:eastAsia="zh-CN"/>
              </w:rPr>
              <w:t>电话：</w:t>
            </w:r>
            <w:r>
              <w:rPr>
                <w:rFonts w:hint="eastAsia" w:ascii="宋体" w:hAnsi="宋体" w:eastAsia="宋体" w:cs="宋体"/>
                <w:color w:val="000000" w:themeColor="text1"/>
                <w:sz w:val="24"/>
                <w:lang w:eastAsia="zh-CN"/>
                <w14:textFill>
                  <w14:solidFill>
                    <w14:schemeClr w14:val="tx1"/>
                  </w14:solidFill>
                </w14:textFill>
              </w:rPr>
              <w:t>13974359971</w:t>
            </w:r>
            <w:r>
              <w:rPr>
                <w:rFonts w:hint="eastAsia" w:ascii="宋体" w:hAnsi="宋体" w:eastAsia="宋体" w:cs="宋体"/>
                <w:color w:val="auto"/>
                <w:sz w:val="24"/>
                <w:highlight w:val="none"/>
                <w:lang w:val="en-US" w:eastAsia="zh-CN"/>
              </w:rPr>
              <w:t xml:space="preserve">  </w:t>
            </w:r>
          </w:p>
          <w:p w14:paraId="4225628D">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采购代理机构信息</w:t>
            </w:r>
          </w:p>
          <w:p w14:paraId="0BD940D8">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名称：</w:t>
            </w:r>
            <w:r>
              <w:rPr>
                <w:rFonts w:hint="eastAsia" w:ascii="宋体" w:hAnsi="宋体" w:eastAsia="宋体" w:cs="宋体"/>
                <w:color w:val="auto"/>
                <w:sz w:val="24"/>
                <w:szCs w:val="24"/>
                <w:highlight w:val="none"/>
                <w:lang w:eastAsia="zh-CN"/>
              </w:rPr>
              <w:t>湖南</w:t>
            </w:r>
            <w:r>
              <w:rPr>
                <w:rFonts w:hint="eastAsia" w:ascii="宋体" w:hAnsi="宋体" w:eastAsia="宋体" w:cs="宋体"/>
                <w:color w:val="auto"/>
                <w:sz w:val="24"/>
                <w:szCs w:val="24"/>
                <w:highlight w:val="none"/>
                <w:lang w:val="en-US" w:eastAsia="zh-CN"/>
              </w:rPr>
              <w:t>信达项目咨询管理有限公司</w:t>
            </w:r>
          </w:p>
          <w:p w14:paraId="4B8C73A1">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000000" w:themeColor="text1"/>
                <w:sz w:val="24"/>
                <w14:textFill>
                  <w14:solidFill>
                    <w14:schemeClr w14:val="tx1"/>
                  </w14:solidFill>
                </w14:textFill>
              </w:rPr>
              <w:t xml:space="preserve">湖南省吉首市人民南路100号 </w:t>
            </w:r>
          </w:p>
          <w:p w14:paraId="09A555EB">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highlight w:val="none"/>
                <w:lang w:val="en-US" w:eastAsia="zh-CN"/>
              </w:rPr>
              <w:t>艾明</w:t>
            </w:r>
          </w:p>
          <w:p w14:paraId="27F9DC73">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000000" w:themeColor="text1"/>
                <w:kern w:val="1"/>
                <w:sz w:val="24"/>
                <w:lang w:val="en-US"/>
                <w14:textFill>
                  <w14:solidFill>
                    <w14:schemeClr w14:val="tx1"/>
                  </w14:solidFill>
                </w14:textFill>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lang w:val="en-US" w:eastAsia="zh-CN"/>
              </w:rPr>
              <w:t>15107437299</w:t>
            </w:r>
          </w:p>
        </w:tc>
      </w:tr>
      <w:tr w14:paraId="076F7D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5" w:hRule="atLeast"/>
          <w:jc w:val="center"/>
        </w:trPr>
        <w:tc>
          <w:tcPr>
            <w:tcW w:w="1594" w:type="dxa"/>
            <w:vAlign w:val="center"/>
          </w:tcPr>
          <w:p w14:paraId="7D25F06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075E6F0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第38.3款</w:t>
            </w:r>
          </w:p>
        </w:tc>
        <w:tc>
          <w:tcPr>
            <w:tcW w:w="1672" w:type="dxa"/>
            <w:vAlign w:val="center"/>
          </w:tcPr>
          <w:p w14:paraId="588D19BE">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履约担保</w:t>
            </w:r>
          </w:p>
        </w:tc>
        <w:tc>
          <w:tcPr>
            <w:tcW w:w="5965" w:type="dxa"/>
            <w:vAlign w:val="center"/>
          </w:tcPr>
          <w:p w14:paraId="1BA9DDE0">
            <w:pPr>
              <w:adjustRightInd w:val="0"/>
              <w:snapToGrid w:val="0"/>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w:t>
            </w:r>
            <w:r>
              <w:rPr>
                <w:rFonts w:hint="eastAsia" w:ascii="宋体" w:hAnsi="宋体" w:eastAsia="宋体" w:cs="宋体"/>
                <w:b/>
                <w:bCs/>
                <w:color w:val="000000" w:themeColor="text1"/>
                <w:kern w:val="1"/>
                <w:sz w:val="24"/>
                <w14:textFill>
                  <w14:solidFill>
                    <w14:schemeClr w14:val="tx1"/>
                  </w14:solidFill>
                </w14:textFill>
              </w:rPr>
              <w:t>不要求提供</w:t>
            </w:r>
          </w:p>
          <w:p w14:paraId="085546E1">
            <w:pPr>
              <w:adjustRightInd w:val="0"/>
              <w:snapToGrid w:val="0"/>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w:t>
            </w:r>
            <w:r>
              <w:rPr>
                <w:rFonts w:hint="eastAsia" w:ascii="宋体" w:hAnsi="宋体" w:eastAsia="宋体" w:cs="宋体"/>
                <w:color w:val="000000" w:themeColor="text1"/>
                <w:kern w:val="1"/>
                <w:sz w:val="24"/>
                <w14:textFill>
                  <w14:solidFill>
                    <w14:schemeClr w14:val="tx1"/>
                  </w14:solidFill>
                </w14:textFill>
              </w:rPr>
              <w:t>要求提供，在合同签订前以银行保函形式提交成交金额</w:t>
            </w:r>
            <w:r>
              <w:rPr>
                <w:rFonts w:hint="eastAsia" w:ascii="宋体" w:hAnsi="宋体" w:eastAsia="宋体" w:cs="宋体"/>
                <w:color w:val="000000" w:themeColor="text1"/>
                <w:kern w:val="1"/>
                <w:sz w:val="24"/>
                <w:u w:val="single"/>
                <w14:textFill>
                  <w14:solidFill>
                    <w14:schemeClr w14:val="tx1"/>
                  </w14:solidFill>
                </w14:textFill>
              </w:rPr>
              <w:t xml:space="preserve"> / </w:t>
            </w:r>
            <w:r>
              <w:rPr>
                <w:rFonts w:hint="eastAsia" w:ascii="宋体" w:hAnsi="宋体" w:eastAsia="宋体" w:cs="宋体"/>
                <w:color w:val="000000" w:themeColor="text1"/>
                <w:kern w:val="1"/>
                <w:sz w:val="24"/>
                <w14:textFill>
                  <w14:solidFill>
                    <w14:schemeClr w14:val="tx1"/>
                  </w14:solidFill>
                </w14:textFill>
              </w:rPr>
              <w:t>%的履约担保。</w:t>
            </w:r>
          </w:p>
        </w:tc>
      </w:tr>
      <w:tr w14:paraId="3E241F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8701A4F">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七、其他规定</w:t>
            </w:r>
          </w:p>
        </w:tc>
      </w:tr>
      <w:tr w14:paraId="759056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5" w:hRule="atLeast"/>
          <w:jc w:val="center"/>
        </w:trPr>
        <w:tc>
          <w:tcPr>
            <w:tcW w:w="1594" w:type="dxa"/>
            <w:vAlign w:val="center"/>
          </w:tcPr>
          <w:p w14:paraId="00475B23">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FEE033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第40.1款</w:t>
            </w:r>
          </w:p>
        </w:tc>
        <w:tc>
          <w:tcPr>
            <w:tcW w:w="1672" w:type="dxa"/>
            <w:vAlign w:val="center"/>
          </w:tcPr>
          <w:p w14:paraId="71157DC0">
            <w:pPr>
              <w:spacing w:line="380" w:lineRule="exact"/>
              <w:jc w:val="center"/>
              <w:rPr>
                <w:rFonts w:hint="eastAsia" w:ascii="宋体" w:hAnsi="宋体" w:eastAsia="宋体" w:cs="宋体"/>
                <w:b/>
                <w:bCs/>
                <w:color w:val="000000" w:themeColor="text1"/>
                <w:kern w:val="1"/>
                <w:sz w:val="24"/>
                <w:highlight w:val="none"/>
                <w14:textFill>
                  <w14:solidFill>
                    <w14:schemeClr w14:val="tx1"/>
                  </w14:solidFill>
                </w14:textFill>
              </w:rPr>
            </w:pPr>
            <w:r>
              <w:rPr>
                <w:rFonts w:hint="eastAsia" w:ascii="宋体" w:hAnsi="宋体" w:eastAsia="宋体" w:cs="宋体"/>
                <w:b/>
                <w:bCs/>
                <w:color w:val="000000" w:themeColor="text1"/>
                <w:kern w:val="1"/>
                <w:sz w:val="24"/>
                <w:highlight w:val="none"/>
                <w14:textFill>
                  <w14:solidFill>
                    <w14:schemeClr w14:val="tx1"/>
                  </w14:solidFill>
                </w14:textFill>
              </w:rPr>
              <w:t>采购代理服</w:t>
            </w:r>
          </w:p>
          <w:p w14:paraId="2FB6EC0C">
            <w:pPr>
              <w:spacing w:line="380" w:lineRule="exact"/>
              <w:jc w:val="center"/>
              <w:rPr>
                <w:rFonts w:hint="eastAsia" w:ascii="宋体" w:hAnsi="宋体" w:eastAsia="宋体" w:cs="宋体"/>
                <w:b/>
                <w:bCs/>
                <w:color w:val="000000" w:themeColor="text1"/>
                <w:kern w:val="1"/>
                <w:sz w:val="24"/>
                <w:highlight w:val="none"/>
                <w14:textFill>
                  <w14:solidFill>
                    <w14:schemeClr w14:val="tx1"/>
                  </w14:solidFill>
                </w14:textFill>
              </w:rPr>
            </w:pPr>
            <w:r>
              <w:rPr>
                <w:rFonts w:hint="eastAsia" w:ascii="宋体" w:hAnsi="宋体" w:eastAsia="宋体" w:cs="宋体"/>
                <w:b/>
                <w:bCs/>
                <w:color w:val="000000" w:themeColor="text1"/>
                <w:kern w:val="1"/>
                <w:sz w:val="24"/>
                <w:highlight w:val="none"/>
                <w14:textFill>
                  <w14:solidFill>
                    <w14:schemeClr w14:val="tx1"/>
                  </w14:solidFill>
                </w14:textFill>
              </w:rPr>
              <w:t>务费</w:t>
            </w:r>
          </w:p>
        </w:tc>
        <w:tc>
          <w:tcPr>
            <w:tcW w:w="5965" w:type="dxa"/>
            <w:vAlign w:val="center"/>
          </w:tcPr>
          <w:p w14:paraId="4E585D5C">
            <w:pPr>
              <w:numPr>
                <w:ilvl w:val="0"/>
                <w:numId w:val="0"/>
              </w:numPr>
              <w:adjustRightInd w:val="0"/>
              <w:snapToGrid w:val="0"/>
              <w:spacing w:line="380" w:lineRule="exac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招标代理服务费按照《招标代理服务收费管理暂行办法》计价格[2002]1980号文和发改价格[2011]534号文件标准计费，代理服务费共计人民币壹万肆仟元整(¥14000.00)，由采购人支付</w:t>
            </w:r>
            <w:r>
              <w:rPr>
                <w:rFonts w:hint="eastAsia" w:ascii="宋体" w:hAnsi="宋体" w:eastAsia="宋体" w:cs="宋体"/>
                <w:b/>
                <w:bCs/>
                <w:color w:val="000000" w:themeColor="text1"/>
                <w:sz w:val="24"/>
                <w:highlight w:val="none"/>
                <w:lang w:val="en-US" w:eastAsia="zh-CN"/>
                <w14:textFill>
                  <w14:solidFill>
                    <w14:schemeClr w14:val="tx1"/>
                  </w14:solidFill>
                </w14:textFill>
              </w:rPr>
              <w:t>。</w:t>
            </w:r>
          </w:p>
        </w:tc>
      </w:tr>
      <w:tr w14:paraId="49EBF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4662F6D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41AC9A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第41.1款</w:t>
            </w:r>
          </w:p>
        </w:tc>
        <w:tc>
          <w:tcPr>
            <w:tcW w:w="1672" w:type="dxa"/>
            <w:vAlign w:val="center"/>
          </w:tcPr>
          <w:p w14:paraId="39FEA63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其他规定</w:t>
            </w:r>
          </w:p>
        </w:tc>
        <w:tc>
          <w:tcPr>
            <w:tcW w:w="5965" w:type="dxa"/>
            <w:vAlign w:val="center"/>
          </w:tcPr>
          <w:p w14:paraId="6364F213">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1、本项目实行电子交易，参与投标均须使用 CA 数字证书登陆进行操作。投标人参与本项目的投标事宜，须至少办理投标单位数字证书（含电子印章）。投标时，必须使用对应投标单位的 CA 数字证书进行投标参与及投标文件制作。具体办理流程详见《湘西公共资源交易网》（http://ggzyjy.xxz.gov.cn）“服务导航”菜单“CA 办理指南”。数字证书（含电子印章）有关业务流程或电话咨询：0743-8523032。 </w:t>
            </w:r>
          </w:p>
          <w:p w14:paraId="356A9100">
            <w:pPr>
              <w:widowControl/>
              <w:spacing w:line="360" w:lineRule="auto"/>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2、</w:t>
            </w:r>
            <w:r>
              <w:rPr>
                <w:rFonts w:hint="eastAsia" w:ascii="宋体" w:hAnsi="宋体" w:eastAsia="宋体" w:cs="宋体"/>
                <w:b/>
                <w:bCs/>
                <w:color w:val="000000" w:themeColor="text1"/>
                <w:kern w:val="0"/>
                <w:sz w:val="24"/>
                <w:lang w:bidi="ar"/>
                <w14:textFill>
                  <w14:solidFill>
                    <w14:schemeClr w14:val="tx1"/>
                  </w14:solidFill>
                </w14:textFill>
              </w:rPr>
              <w:t>投标人在编制电子响应文件时注意控制文件大小，建议将总容量控制在200M以内，单个节点容量控制在50M以内。</w:t>
            </w:r>
          </w:p>
          <w:p w14:paraId="503F0096">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3、由于对网上招投标操作不熟悉或自身电脑、个人网络等原因导致不能在投标截止时间之前完成电子响应文件上传的，相应责任由投标人自行承担。在使用系统过程中有疑问或困难请及时进行咨询。</w:t>
            </w:r>
          </w:p>
          <w:p w14:paraId="16212581">
            <w:pPr>
              <w:widowControl/>
              <w:spacing w:line="360" w:lineRule="auto"/>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kern w:val="0"/>
                <w:sz w:val="24"/>
                <w:lang w:bidi="ar"/>
                <w14:textFill>
                  <w14:solidFill>
                    <w14:schemeClr w14:val="tx1"/>
                  </w14:solidFill>
                </w14:textFill>
              </w:rPr>
              <w:t>4、如果开标时出现网络故障、技术故障等情形而影响招投标活动，采购人可采取项目延期、延长电子响应文件解密时间等相应措施，以保障采购活动的公开、公平和公正，投标人不得对此持有异议。</w:t>
            </w:r>
          </w:p>
          <w:p w14:paraId="46C80072">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5、请务必按磋商文件要求通过数字证书进行加密并签章。 </w:t>
            </w:r>
          </w:p>
          <w:p w14:paraId="139829B8">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6、开标注意事项：投标人自行完成电子响应文件解密，因投标人自身原因未在规定时间内完成解密或无法解密的响应文件视为撤销其投标文件，相应责任由投标人自行承担。 </w:t>
            </w:r>
          </w:p>
          <w:p w14:paraId="22B92ED0">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7、本项目投标过程中，电子投标系统使用操作遇到任何问题及时向软件公司咨询，咨询联系方式：0743-8523902。如因不会操作所造成的投标失败或损失由投标人自行负责。</w:t>
            </w:r>
          </w:p>
          <w:p w14:paraId="7AF44E1E">
            <w:pPr>
              <w:widowControl/>
              <w:spacing w:line="360" w:lineRule="auto"/>
              <w:jc w:val="lef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8、</w:t>
            </w:r>
            <w:r>
              <w:rPr>
                <w:rFonts w:hint="eastAsia" w:ascii="宋体" w:hAnsi="宋体" w:eastAsia="宋体" w:cs="宋体"/>
                <w:b/>
                <w:bCs/>
                <w:color w:val="000000" w:themeColor="text1"/>
                <w:kern w:val="0"/>
                <w:sz w:val="24"/>
                <w:lang w:bidi="ar"/>
                <w14:textFill>
                  <w14:solidFill>
                    <w14:schemeClr w14:val="tx1"/>
                  </w14:solidFill>
                </w14:textFill>
              </w:rPr>
              <w:t>因本项目采用电子招投标方式，网上开标结束后，请各投标人保持电话畅通并及时关注湘西州公共资源交易中心电子交易平台，并在规定时间内进行澄清说明（如有），签章后提交。</w:t>
            </w:r>
          </w:p>
        </w:tc>
      </w:tr>
      <w:tr w14:paraId="6EF13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0A312D3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2B43B1D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第41.2款</w:t>
            </w:r>
          </w:p>
        </w:tc>
        <w:tc>
          <w:tcPr>
            <w:tcW w:w="1672" w:type="dxa"/>
            <w:vAlign w:val="center"/>
          </w:tcPr>
          <w:p w14:paraId="01980797">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涉嫌围标、串标情形</w:t>
            </w:r>
          </w:p>
        </w:tc>
        <w:tc>
          <w:tcPr>
            <w:tcW w:w="5965" w:type="dxa"/>
            <w:vAlign w:val="center"/>
          </w:tcPr>
          <w:p w14:paraId="24316897">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根据湘西自治州公共资源交易中心大数据分析系统异常预警机制，凡出现电子投标文件投标文件制作机器码、文件创建标识码、IP 地址雷同的，均属涉嫌围标、串标情形，有关监管部门将根据异常预警具体情况依法进行处理。</w:t>
            </w:r>
          </w:p>
        </w:tc>
      </w:tr>
    </w:tbl>
    <w:p w14:paraId="63DF23A9">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备注：若磋商文件中有前后不一致的地方，以此前附表中内容为准。</w:t>
      </w:r>
    </w:p>
    <w:p w14:paraId="3B58097E">
      <w:pPr>
        <w:rPr>
          <w:rFonts w:hint="eastAsia" w:ascii="宋体" w:hAnsi="宋体" w:eastAsia="宋体" w:cs="宋体"/>
          <w:b/>
          <w:bCs/>
          <w:color w:val="000000" w:themeColor="text1"/>
          <w:sz w:val="30"/>
          <w:szCs w:val="30"/>
          <w14:textFill>
            <w14:solidFill>
              <w14:schemeClr w14:val="tx1"/>
            </w14:solidFill>
          </w14:textFill>
        </w:rPr>
      </w:pPr>
    </w:p>
    <w:p w14:paraId="6778A828">
      <w:pPr>
        <w:pStyle w:val="24"/>
        <w:jc w:val="right"/>
        <w:rPr>
          <w:rFonts w:hint="eastAsia" w:ascii="宋体" w:hAnsi="宋体" w:eastAsia="宋体" w:cs="宋体"/>
          <w:color w:val="000000" w:themeColor="text1"/>
          <w:highlight w:val="none"/>
          <w14:textFill>
            <w14:solidFill>
              <w14:schemeClr w14:val="tx1"/>
            </w14:solidFill>
          </w14:textFill>
        </w:rPr>
      </w:pPr>
    </w:p>
    <w:p w14:paraId="4B0AF040">
      <w:pPr>
        <w:pStyle w:val="9"/>
        <w:ind w:firstLine="400"/>
        <w:rPr>
          <w:rFonts w:hint="eastAsia" w:ascii="宋体" w:hAnsi="宋体" w:eastAsia="宋体" w:cs="宋体"/>
          <w:color w:val="000000" w:themeColor="text1"/>
          <w:highlight w:val="none"/>
          <w14:textFill>
            <w14:solidFill>
              <w14:schemeClr w14:val="tx1"/>
            </w14:solidFill>
          </w14:textFill>
        </w:rPr>
      </w:pPr>
    </w:p>
    <w:p w14:paraId="5950949A">
      <w:pPr>
        <w:spacing w:line="360" w:lineRule="auto"/>
        <w:jc w:val="center"/>
        <w:outlineLvl w:val="1"/>
        <w:rPr>
          <w:rFonts w:hint="eastAsia" w:ascii="宋体" w:hAnsi="宋体" w:eastAsia="宋体" w:cs="宋体"/>
          <w:b/>
          <w:bCs/>
          <w:color w:val="000000" w:themeColor="text1"/>
          <w:sz w:val="28"/>
          <w:szCs w:val="28"/>
          <w:highlight w:val="none"/>
          <w14:textFill>
            <w14:solidFill>
              <w14:schemeClr w14:val="tx1"/>
            </w14:solidFill>
          </w14:textFill>
        </w:rPr>
      </w:pPr>
      <w:bookmarkStart w:id="14" w:name="_Toc7193"/>
      <w:bookmarkStart w:id="15" w:name="_Toc30672"/>
      <w:bookmarkStart w:id="16" w:name="_Toc3909"/>
      <w:bookmarkStart w:id="17" w:name="_Toc28888"/>
      <w:bookmarkStart w:id="18" w:name="_Toc6647"/>
      <w:bookmarkStart w:id="19" w:name="_Toc16283"/>
      <w:bookmarkStart w:id="20" w:name="_Toc509"/>
      <w:r>
        <w:rPr>
          <w:rFonts w:hint="eastAsia" w:ascii="宋体" w:hAnsi="宋体" w:eastAsia="宋体" w:cs="宋体"/>
          <w:b/>
          <w:bCs/>
          <w:color w:val="000000" w:themeColor="text1"/>
          <w:sz w:val="28"/>
          <w:szCs w:val="28"/>
          <w:highlight w:val="none"/>
          <w14:textFill>
            <w14:solidFill>
              <w14:schemeClr w14:val="tx1"/>
            </w14:solidFill>
          </w14:textFill>
        </w:rPr>
        <w:t>第二节 磋商须知正文</w:t>
      </w:r>
      <w:bookmarkEnd w:id="14"/>
      <w:bookmarkEnd w:id="15"/>
      <w:bookmarkEnd w:id="16"/>
      <w:bookmarkEnd w:id="17"/>
      <w:bookmarkEnd w:id="18"/>
    </w:p>
    <w:p w14:paraId="4A444059">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21" w:name="_Toc22982"/>
      <w:bookmarkStart w:id="22" w:name="_Toc3986"/>
      <w:bookmarkStart w:id="23" w:name="_Toc2995"/>
      <w:r>
        <w:rPr>
          <w:rFonts w:hint="eastAsia" w:ascii="宋体" w:hAnsi="宋体" w:eastAsia="宋体" w:cs="宋体"/>
          <w:b/>
          <w:bCs/>
          <w:color w:val="000000" w:themeColor="text1"/>
          <w:sz w:val="24"/>
          <w:szCs w:val="24"/>
          <w:highlight w:val="none"/>
          <w14:textFill>
            <w14:solidFill>
              <w14:schemeClr w14:val="tx1"/>
            </w14:solidFill>
          </w14:textFill>
        </w:rPr>
        <w:t>一、说明</w:t>
      </w:r>
      <w:bookmarkEnd w:id="21"/>
      <w:bookmarkEnd w:id="22"/>
      <w:bookmarkEnd w:id="23"/>
    </w:p>
    <w:p w14:paraId="1B31E0D3">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1.适用范围</w:t>
      </w:r>
    </w:p>
    <w:p w14:paraId="0E797295">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 本磋商文件仅适用于</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(以下简称磋商须知前附表)中所叙述的采购项目。</w:t>
      </w:r>
    </w:p>
    <w:p w14:paraId="7815E962">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2.定义</w:t>
      </w:r>
    </w:p>
    <w:p w14:paraId="4C7B95C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 “采购人”是指依法进行政府采购的国家机关、事业单位、团体组织。本次政府采购的采购人名称、地址、联系人、电话见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44ECCD5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 “采购代理机构”是指</w:t>
      </w:r>
      <w:r>
        <w:rPr>
          <w:rFonts w:hint="eastAsia" w:ascii="宋体" w:hAnsi="宋体" w:eastAsia="宋体" w:cs="宋体"/>
          <w:color w:val="000000" w:themeColor="text1"/>
          <w:sz w:val="24"/>
          <w:szCs w:val="24"/>
          <w:highlight w:val="none"/>
          <w:lang w:eastAsia="zh-CN"/>
          <w14:textFill>
            <w14:solidFill>
              <w14:schemeClr w14:val="tx1"/>
            </w14:solidFill>
          </w14:textFill>
        </w:rPr>
        <w:t>湖南信达项目咨询管理有限公司</w:t>
      </w:r>
      <w:r>
        <w:rPr>
          <w:rFonts w:hint="eastAsia" w:ascii="宋体" w:hAnsi="宋体" w:eastAsia="宋体" w:cs="宋体"/>
          <w:color w:val="000000" w:themeColor="text1"/>
          <w:sz w:val="24"/>
          <w:szCs w:val="24"/>
          <w:highlight w:val="none"/>
          <w14:textFill>
            <w14:solidFill>
              <w14:schemeClr w14:val="tx1"/>
            </w14:solidFill>
          </w14:textFill>
        </w:rPr>
        <w:t>。本次政府采购的采购代理机构名称、地址、联系人、电话见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7EC0FE0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 “供应商”是指响应磋商文件要求、参加竞争性磋商采购的法人。本次政府采购项目邀请供应商的方式见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，邀请符合资格条件的供应商提交及响应文件（含资格证明资料），参与竞争性磋商采购活动。</w:t>
      </w:r>
    </w:p>
    <w:p w14:paraId="230D27C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2.4 “磋商小组”是指依据财政部《政府采购竞争性磋商采购方式管理暂行办法》有关规定组建，依法依规履行其职责和义务的机构。</w:t>
      </w:r>
    </w:p>
    <w:p w14:paraId="4DC1D13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2.5 “货物”是指各种形态和种类的物品，包括原资料、燃料、设备、产品等，详见《政府采购品目分类目录》(</w:t>
      </w:r>
      <w:r>
        <w:rPr>
          <w:rFonts w:hint="eastAsia" w:ascii="宋体" w:hAnsi="宋体" w:eastAsia="宋体" w:cs="宋体"/>
          <w:bCs/>
          <w:color w:val="000000" w:themeColor="text1"/>
          <w:sz w:val="24"/>
          <w:szCs w:val="24"/>
          <w:highlight w:val="none"/>
          <w14:textFill>
            <w14:solidFill>
              <w14:schemeClr w14:val="tx1"/>
            </w14:solidFill>
          </w14:textFill>
        </w:rPr>
        <w:t>财库[2013]189号</w:t>
      </w:r>
      <w:r>
        <w:rPr>
          <w:rFonts w:hint="eastAsia" w:ascii="宋体" w:hAnsi="宋体" w:eastAsia="宋体" w:cs="宋体"/>
          <w:color w:val="000000" w:themeColor="text1"/>
          <w:sz w:val="24"/>
          <w:szCs w:val="24"/>
          <w:highlight w:val="none"/>
          <w14:textFill>
            <w14:solidFill>
              <w14:schemeClr w14:val="tx1"/>
            </w14:solidFill>
          </w14:textFill>
        </w:rPr>
        <w:t>)。</w:t>
      </w:r>
    </w:p>
    <w:p w14:paraId="1619B8A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2.6 “工程”是指建设工程，包括建筑物和构筑物的新建、改建、扩建、装修、拆除、修缮等，详见《政府采购品目分类目录》(</w:t>
      </w:r>
      <w:r>
        <w:rPr>
          <w:rFonts w:hint="eastAsia" w:ascii="宋体" w:hAnsi="宋体" w:eastAsia="宋体" w:cs="宋体"/>
          <w:bCs/>
          <w:color w:val="000000" w:themeColor="text1"/>
          <w:sz w:val="24"/>
          <w:szCs w:val="24"/>
          <w:highlight w:val="none"/>
          <w14:textFill>
            <w14:solidFill>
              <w14:schemeClr w14:val="tx1"/>
            </w14:solidFill>
          </w14:textFill>
        </w:rPr>
        <w:t>财库[2013]189号</w:t>
      </w:r>
      <w:r>
        <w:rPr>
          <w:rFonts w:hint="eastAsia" w:ascii="宋体" w:hAnsi="宋体" w:eastAsia="宋体" w:cs="宋体"/>
          <w:color w:val="000000" w:themeColor="text1"/>
          <w:sz w:val="24"/>
          <w:szCs w:val="24"/>
          <w:highlight w:val="none"/>
          <w14:textFill>
            <w14:solidFill>
              <w14:schemeClr w14:val="tx1"/>
            </w14:solidFill>
          </w14:textFill>
        </w:rPr>
        <w:t>)。</w:t>
      </w:r>
    </w:p>
    <w:p w14:paraId="71171F0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 “服务”是指除货物和工程以外的其他政府采购对象，详见《政府采购品目分类目录》(</w:t>
      </w:r>
      <w:r>
        <w:rPr>
          <w:rFonts w:hint="eastAsia" w:ascii="宋体" w:hAnsi="宋体" w:eastAsia="宋体" w:cs="宋体"/>
          <w:bCs/>
          <w:color w:val="000000" w:themeColor="text1"/>
          <w:sz w:val="24"/>
          <w:szCs w:val="24"/>
          <w:highlight w:val="none"/>
          <w14:textFill>
            <w14:solidFill>
              <w14:schemeClr w14:val="tx1"/>
            </w14:solidFill>
          </w14:textFill>
        </w:rPr>
        <w:t>财库[2013]189号</w:t>
      </w:r>
      <w:r>
        <w:rPr>
          <w:rFonts w:hint="eastAsia" w:ascii="宋体" w:hAnsi="宋体" w:eastAsia="宋体" w:cs="宋体"/>
          <w:color w:val="000000" w:themeColor="text1"/>
          <w:sz w:val="24"/>
          <w:szCs w:val="24"/>
          <w:highlight w:val="none"/>
          <w14:textFill>
            <w14:solidFill>
              <w14:schemeClr w14:val="tx1"/>
            </w14:solidFill>
          </w14:textFill>
        </w:rPr>
        <w:t>)。</w:t>
      </w:r>
    </w:p>
    <w:p w14:paraId="2B3F141E">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2.8 “节能产品”或者“环保产品”是指财政部发布的《节能产品政府采购品目清单》或者《环境标志产品政府采购品目清单》的产品，“两型产品”是指湖南省财政厅发布的《湖南省两型产品政府采购目录》的产品。</w:t>
      </w:r>
    </w:p>
    <w:p w14:paraId="09DEC16D">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 “进口产品”是指通过中国海关报关验放进入中国境内且产自关境外的产品，详见《关于政府采购进口产品管理有关问题的通知》(财库[2007]119号)。</w:t>
      </w:r>
    </w:p>
    <w:p w14:paraId="5B447FF9">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3.供应商的资格要求</w:t>
      </w:r>
    </w:p>
    <w:p w14:paraId="501A2A7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3.1 供应商应当符合</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中规定的下列资格条件要求；</w:t>
      </w:r>
    </w:p>
    <w:p w14:paraId="7E9781F8">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（l）《政府采购法》第二十二条规定的供应商基本资格条件；</w:t>
      </w:r>
    </w:p>
    <w:p w14:paraId="264C31B0">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 xml:space="preserve">（2） 磋商文件规定的供应商特定资格条件。 </w:t>
      </w:r>
    </w:p>
    <w:p w14:paraId="055F4D3D">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3.2供应商为联合体形式的，除应满足本章第3.1款资格条件要求及第3.3款规定外，还应遵守以下规定：</w:t>
      </w:r>
    </w:p>
    <w:p w14:paraId="2B42EE5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（1）联合体各方应按磋商文件提供的格式签订联合体协议书，明确联合体牵头人和各方权利义务(含承担工作及工作量比例)；</w:t>
      </w:r>
    </w:p>
    <w:p w14:paraId="26297B8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（2）联合体中有同类资质的供应商按照联合体分工承担相同工作的，应当按照资质等级较低的供应商确定资质等级；</w:t>
      </w:r>
    </w:p>
    <w:p w14:paraId="1FFF858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（3）以联合体形式参加政府采购活动的，联合体各方不得再单独参加或者与其他供应商另外组成联合体参加同一合同项下的政府采购活动。</w:t>
      </w:r>
    </w:p>
    <w:p w14:paraId="41295D0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3.3 供应商不得存在下列情形之一：</w:t>
      </w:r>
    </w:p>
    <w:p w14:paraId="112D7A0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（l）与采购人、采购代理机构存在隶属关系或者其他利害关系。</w:t>
      </w:r>
    </w:p>
    <w:p w14:paraId="7F821C6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（2）与其他供应商的法定代表人（或者负责人）为同一人，或者与其他供应商存在控股、关联关系。</w:t>
      </w:r>
    </w:p>
    <w:p w14:paraId="6C6AF96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受到刑事处罚，或者受到200万元以上的罚款、责令停产停业、在一至三年内禁止参加政府采购活动、暂扣或者吊销许可证、暂扣或者吊销执照等情形之一的行政处罚，或者存在财政部门认定的其他重大违法记录。</w:t>
      </w:r>
    </w:p>
    <w:p w14:paraId="2FA86E3B">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4.参与磋商的费用 </w:t>
      </w:r>
    </w:p>
    <w:p w14:paraId="0A4117F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 无论磋商的结果如何，供应商应自行承担所有与竞争性磋商采购活动有关的全部费用。</w:t>
      </w:r>
    </w:p>
    <w:p w14:paraId="647691D6">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5．授权委托</w:t>
      </w:r>
    </w:p>
    <w:p w14:paraId="072C68BE">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5.1供应商代表为供应商法定代表人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的，应持有法定代表人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身份证明。供应商代表不是供应商法定代表人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的，应持有法定代表人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授权书，并附法定代表人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身份证明。</w:t>
      </w:r>
    </w:p>
    <w:p w14:paraId="23F1FA4A">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6．联合体形式</w:t>
      </w:r>
    </w:p>
    <w:p w14:paraId="20D6C65F">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6.1除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中另有规定，本次磋商采购不接受为联合体形式的供应商。</w:t>
      </w:r>
    </w:p>
    <w:p w14:paraId="763B3139">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6.2供应商为联合体形式的，除应符合本章第3条规定外，还应遵守以下规定：</w:t>
      </w:r>
    </w:p>
    <w:p w14:paraId="04E3DF55">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（l）联合体各方必须签订联合体协议书，明确联合体牵头人和各方的义务、工作、合同工作量比例；</w:t>
      </w:r>
    </w:p>
    <w:p w14:paraId="3D857F2F">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（2）联合体各方均应当符合本章第3.1</w:t>
      </w:r>
      <w:r>
        <w:rPr>
          <w:rFonts w:hint="eastAsia" w:ascii="宋体" w:hAnsi="宋体" w:eastAsia="宋体" w:cs="宋体"/>
          <w:color w:val="000000" w:themeColor="text1"/>
          <w:kern w:val="0"/>
          <w:sz w:val="24"/>
          <w:szCs w:val="24"/>
          <w:highlight w:val="none"/>
          <w:lang w:val="zh-CN"/>
          <w14:textFill>
            <w14:solidFill>
              <w14:schemeClr w14:val="tx1"/>
            </w14:solidFill>
          </w14:textFill>
        </w:rPr>
        <w:t>款</w:t>
      </w:r>
      <w:r>
        <w:rPr>
          <w:rFonts w:hint="eastAsia" w:ascii="宋体" w:hAnsi="宋体" w:eastAsia="宋体" w:cs="宋体"/>
          <w:color w:val="000000" w:themeColor="text1"/>
          <w:sz w:val="24"/>
          <w:szCs w:val="24"/>
          <w:highlight w:val="none"/>
          <w14:textFill>
            <w14:solidFill>
              <w14:schemeClr w14:val="tx1"/>
            </w14:solidFill>
          </w14:textFill>
        </w:rPr>
        <w:t>规定的供应商基本资格条件；</w:t>
      </w:r>
    </w:p>
    <w:p w14:paraId="035F45BE">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中另有规定，联合体各方中至少有一方应当符合本章第3.1</w:t>
      </w:r>
      <w:r>
        <w:rPr>
          <w:rFonts w:hint="eastAsia" w:ascii="宋体" w:hAnsi="宋体" w:eastAsia="宋体" w:cs="宋体"/>
          <w:color w:val="000000" w:themeColor="text1"/>
          <w:kern w:val="0"/>
          <w:sz w:val="24"/>
          <w:szCs w:val="24"/>
          <w:highlight w:val="none"/>
          <w:lang w:val="zh-CN"/>
          <w14:textFill>
            <w14:solidFill>
              <w14:schemeClr w14:val="tx1"/>
            </w14:solidFill>
          </w14:textFill>
        </w:rPr>
        <w:t>款</w:t>
      </w:r>
      <w:r>
        <w:rPr>
          <w:rFonts w:hint="eastAsia" w:ascii="宋体" w:hAnsi="宋体" w:eastAsia="宋体" w:cs="宋体"/>
          <w:color w:val="000000" w:themeColor="text1"/>
          <w:sz w:val="24"/>
          <w:szCs w:val="24"/>
          <w:highlight w:val="none"/>
          <w14:textFill>
            <w14:solidFill>
              <w14:schemeClr w14:val="tx1"/>
            </w14:solidFill>
          </w14:textFill>
        </w:rPr>
        <w:t>规定的供应商特定资格条件；</w:t>
      </w:r>
    </w:p>
    <w:p w14:paraId="6C945AF3">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kern w:val="0"/>
          <w:sz w:val="24"/>
          <w:szCs w:val="24"/>
          <w:highlight w:val="none"/>
          <w:lang w:val="zh-CN"/>
          <w14:textFill>
            <w14:solidFill>
              <w14:schemeClr w14:val="tx1"/>
            </w14:solidFill>
          </w14:textFill>
        </w:rPr>
        <w:t>联合体各方不得再单独或与其他供应商组成新的联合体参加同一项目的采购活动。</w:t>
      </w:r>
    </w:p>
    <w:p w14:paraId="0FC505AA">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7.现场勘察</w:t>
      </w:r>
    </w:p>
    <w:p w14:paraId="0866B4B2">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7.1供应商应按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中规定对采购项目现场和周围环境的现场考察。</w:t>
      </w:r>
    </w:p>
    <w:p w14:paraId="0D2D2C8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7.2勘察现场的费用由供应商自己承担，勘察期间所发生的人身伤害及财产损失由供应商自己负责。</w:t>
      </w:r>
    </w:p>
    <w:p w14:paraId="1D325C5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7.3采购人不对供应商据此而做出的推论、理解和结论负责。一旦成交，供应商不得以任何借口，提出额外补偿，或延长合同期限的要求。</w:t>
      </w:r>
    </w:p>
    <w:p w14:paraId="4A4CB521">
      <w:pPr>
        <w:keepNext w:val="0"/>
        <w:keepLines w:val="0"/>
        <w:pageBreakBefore w:val="0"/>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8.采购进口产品</w:t>
      </w:r>
    </w:p>
    <w:p w14:paraId="79F27BAD">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8.1除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另有规定外，本项目拒绝进口产品参加竞争性磋商采购活动。</w:t>
      </w:r>
    </w:p>
    <w:p w14:paraId="331587A5">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8.2本章第7.1款规定同意购买进口产品的，本项目采购活动不限制满足磋商文件要求的国内产品参与竞争性磋商。</w:t>
      </w:r>
    </w:p>
    <w:p w14:paraId="3F60DBE1">
      <w:pPr>
        <w:keepNext w:val="0"/>
        <w:keepLines w:val="0"/>
        <w:pageBreakBefore w:val="0"/>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9. 政府采购政策支持</w:t>
      </w:r>
    </w:p>
    <w:p w14:paraId="3F5EDF75">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9.1对列入财政部、国家发展改革委发布的《节能产品政府采购品目清单》且属于应当“强制采购的节能产品”，按照规定实行强制采购。实行政府采购强制采购的节能产品见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p>
    <w:p w14:paraId="0C5F80C4">
      <w:pPr>
        <w:pStyle w:val="15"/>
        <w:keepNext w:val="0"/>
        <w:keepLines w:val="0"/>
        <w:pageBreakBefore w:val="0"/>
        <w:kinsoku/>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9.2</w:t>
      </w:r>
      <w:r>
        <w:rPr>
          <w:rFonts w:hint="eastAsia" w:ascii="宋体" w:hAnsi="宋体" w:eastAsia="宋体" w:cs="宋体"/>
          <w:color w:val="000000" w:themeColor="text1"/>
          <w:kern w:val="0"/>
          <w:sz w:val="24"/>
          <w:szCs w:val="24"/>
          <w:highlight w:val="none"/>
          <w14:textFill>
            <w14:solidFill>
              <w14:schemeClr w14:val="tx1"/>
            </w14:solidFill>
          </w14:textFill>
        </w:rPr>
        <w:t>对列入财政部、国家发展改革委发布的《节能产品政府采购品目清单》的“非强制采购节能产品”，财政部、环境保护部发布的《环境标志产品政府采购品目清单》的“环境标志产品”，湖南省财政厅、湖南省科学技术厅、湖南省长株潭“两型社会”试验区建设管理委员会发布的《湖南省两型产品政府采购目录》的“两型产品”，实行优先采购，按照省级以上财政部门有关政策规定，实行政府采购优先采购的优惠率见</w:t>
      </w:r>
      <w:r>
        <w:rPr>
          <w:rFonts w:hint="eastAsia" w:ascii="宋体" w:hAnsi="宋体" w:eastAsia="宋体" w:cs="宋体"/>
          <w:b/>
          <w:bCs/>
          <w:color w:val="000000" w:themeColor="text1"/>
          <w:kern w:val="0"/>
          <w:sz w:val="24"/>
          <w:szCs w:val="24"/>
          <w:highlight w:val="none"/>
          <w14:textFill>
            <w14:solidFill>
              <w14:schemeClr w14:val="tx1"/>
            </w14:solidFill>
          </w14:textFill>
        </w:rPr>
        <w:t>【磋商须知前附表】</w:t>
      </w:r>
      <w:r>
        <w:rPr>
          <w:rFonts w:hint="eastAsia" w:ascii="宋体" w:hAnsi="宋体" w:eastAsia="宋体" w:cs="宋体"/>
          <w:b/>
          <w:color w:val="000000" w:themeColor="text1"/>
          <w:kern w:val="0"/>
          <w:sz w:val="24"/>
          <w:szCs w:val="24"/>
          <w:highlight w:val="none"/>
          <w14:textFill>
            <w14:solidFill>
              <w14:schemeClr w14:val="tx1"/>
            </w14:solidFill>
          </w14:textFill>
        </w:rPr>
        <w:t>。</w:t>
      </w:r>
    </w:p>
    <w:p w14:paraId="7727A035">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9.3产品同时属于“非强制采购节能产品”、“环境标志产品”及“两型产品”的，评审时只有其中一项能享受优先待遇(由供应商自行选择，在响应文件中填报相关信息及数据并提供相关证明材料)；产品</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或工程</w:t>
      </w:r>
      <w:r>
        <w:rPr>
          <w:rFonts w:hint="eastAsia" w:ascii="宋体" w:hAnsi="宋体" w:eastAsia="宋体" w:cs="宋体"/>
          <w:color w:val="000000" w:themeColor="text1"/>
          <w:sz w:val="24"/>
          <w:szCs w:val="24"/>
          <w:highlight w:val="none"/>
          <w14:textFill>
            <w14:solidFill>
              <w14:schemeClr w14:val="tx1"/>
            </w14:solidFill>
          </w14:textFill>
        </w:rPr>
        <w:t>或服务同时属于</w:t>
      </w:r>
      <w:r>
        <w:rPr>
          <w:rFonts w:hint="eastAsia" w:ascii="宋体" w:hAnsi="宋体" w:eastAsia="宋体" w:cs="宋体"/>
          <w:color w:val="000000" w:themeColor="text1"/>
          <w:sz w:val="24"/>
          <w:szCs w:val="24"/>
          <w:highlight w:val="none"/>
          <w:lang w:val="en-US" w:eastAsia="zh-CN"/>
          <w14:textFill>
            <w14:solidFill>
              <w14:schemeClr w14:val="tx1"/>
            </w14:solidFill>
          </w14:textFill>
        </w:rPr>
        <w:t>中小</w:t>
      </w:r>
      <w:r>
        <w:rPr>
          <w:rFonts w:hint="eastAsia" w:ascii="宋体" w:hAnsi="宋体" w:eastAsia="宋体" w:cs="宋体"/>
          <w:color w:val="000000" w:themeColor="text1"/>
          <w:sz w:val="24"/>
          <w:szCs w:val="24"/>
          <w:highlight w:val="none"/>
          <w14:textFill>
            <w14:solidFill>
              <w14:schemeClr w14:val="tx1"/>
            </w14:solidFill>
          </w14:textFill>
        </w:rPr>
        <w:t>企业、残疾人福利性</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及监狱企业的，评审时只有其中一项能享受价格扣除</w:t>
      </w:r>
      <w:r>
        <w:rPr>
          <w:rFonts w:hint="eastAsia" w:ascii="宋体" w:hAnsi="宋体" w:eastAsia="宋体" w:cs="宋体"/>
          <w:b/>
          <w:bCs/>
          <w:color w:val="000000" w:themeColor="text1"/>
          <w:sz w:val="24"/>
          <w:szCs w:val="24"/>
          <w:highlight w:val="none"/>
          <w14:textFill>
            <w14:solidFill>
              <w14:schemeClr w14:val="tx1"/>
            </w14:solidFill>
          </w14:textFill>
        </w:rPr>
        <w:t>(由供应商自行选择，并在响应文件中并填报相关信息及数据)</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中小</w:t>
      </w:r>
      <w:r>
        <w:rPr>
          <w:rFonts w:hint="eastAsia" w:ascii="宋体" w:hAnsi="宋体" w:eastAsia="宋体" w:cs="宋体"/>
          <w:color w:val="000000" w:themeColor="text1"/>
          <w:sz w:val="24"/>
          <w:szCs w:val="24"/>
          <w:highlight w:val="none"/>
          <w14:textFill>
            <w14:solidFill>
              <w14:schemeClr w14:val="tx1"/>
            </w14:solidFill>
          </w14:textFill>
        </w:rPr>
        <w:t>企业、残疾人福利性</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及监狱企业中的一项可以与同时属于“非强制采购节能产品”、“环境标志产品”及“两型产品”中的一项重复计算。</w:t>
      </w:r>
    </w:p>
    <w:p w14:paraId="11F4192E">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9.4同一项目中部分产品属于优先采购政策的，评审时只对该部分产品的报价实行加分；在货物采购项目中，投标人提供的货物既有中小企业制造货物，也有大型企业制造货物的，不享受本办法规定的中小企业扶持政策。</w:t>
      </w:r>
    </w:p>
    <w:p w14:paraId="14D11D2E">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9.5符合本章第9.1款、第9.2款规定的，应提供相关证明资料</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E78A67">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9.6供应商有融资、担保需求的，具体办理流程可向</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所列金融机构和担保机构询问。</w:t>
      </w:r>
    </w:p>
    <w:p w14:paraId="7B907A23">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24" w:name="_Toc26168"/>
      <w:bookmarkStart w:id="25" w:name="_Toc14789"/>
      <w:bookmarkStart w:id="26" w:name="_Toc30459"/>
      <w:bookmarkStart w:id="27" w:name="_Toc5483"/>
      <w:bookmarkStart w:id="28" w:name="_Toc9058"/>
      <w:r>
        <w:rPr>
          <w:rFonts w:hint="eastAsia" w:ascii="宋体" w:hAnsi="宋体" w:eastAsia="宋体" w:cs="宋体"/>
          <w:b/>
          <w:bCs/>
          <w:color w:val="000000" w:themeColor="text1"/>
          <w:sz w:val="24"/>
          <w:szCs w:val="24"/>
          <w:highlight w:val="none"/>
          <w14:textFill>
            <w14:solidFill>
              <w14:schemeClr w14:val="tx1"/>
            </w14:solidFill>
          </w14:textFill>
        </w:rPr>
        <w:t>二、磋商文件</w:t>
      </w:r>
      <w:bookmarkEnd w:id="24"/>
      <w:bookmarkEnd w:id="25"/>
      <w:bookmarkEnd w:id="26"/>
    </w:p>
    <w:p w14:paraId="7533F19B">
      <w:pPr>
        <w:keepNext w:val="0"/>
        <w:keepLines w:val="0"/>
        <w:pageBreakBefore w:val="0"/>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10．磋商文件的组成</w:t>
      </w:r>
    </w:p>
    <w:p w14:paraId="3835228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10.1 磋商文件由下列文件组成：</w:t>
      </w:r>
    </w:p>
    <w:p w14:paraId="2B5D5CB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第一章 磋商邀请</w:t>
      </w:r>
    </w:p>
    <w:p w14:paraId="14C20BD5">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第二章 磋商须知</w:t>
      </w:r>
    </w:p>
    <w:p w14:paraId="403F5AF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第三章 合同草案条款</w:t>
      </w:r>
    </w:p>
    <w:p w14:paraId="0ADE457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第四章 采购需求</w:t>
      </w:r>
    </w:p>
    <w:p w14:paraId="7563E5A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第五章 响应文件组成</w:t>
      </w:r>
    </w:p>
    <w:p w14:paraId="003CF5D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10.2本章第12.1款规定的提交首次响应文件截止时间前对磋商文件澄清或者修改内容，为磋商文件的组成部分。</w:t>
      </w:r>
    </w:p>
    <w:p w14:paraId="328AA60F">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10.3磋商小组根据与供应商磋商情况可能实质性变动的内容，包括采购需求中的技术、服务要求以及合同条款，在</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中明确。</w:t>
      </w:r>
    </w:p>
    <w:p w14:paraId="770DC19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10.4供应商应仔细阅读磋商文件的全部内容，按照磋商文件要求编制响应文件。任何对磋商文件的忽略或误解不能作为响应文件存在缺陷或瑕疵的理由，其风险由供应商承担。</w:t>
      </w:r>
    </w:p>
    <w:p w14:paraId="712C8BAF">
      <w:pPr>
        <w:keepNext w:val="0"/>
        <w:keepLines w:val="0"/>
        <w:pageBreakBefore w:val="0"/>
        <w:kinsoku/>
        <w:overflowPunct/>
        <w:topLinePunct w:val="0"/>
        <w:autoSpaceDE/>
        <w:autoSpaceDN/>
        <w:bidi w:val="0"/>
        <w:snapToGrid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11. 磋商文件的提供期限</w:t>
      </w:r>
    </w:p>
    <w:p w14:paraId="377838D1">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11.1磋商文件的提供期限自开始发出之日起不得少于五个工作日。具体提供期限见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6A652F4F">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11.2供应商应按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方式获取采购</w:t>
      </w:r>
      <w:r>
        <w:rPr>
          <w:rFonts w:hint="eastAsia" w:ascii="宋体" w:hAnsi="宋体" w:eastAsia="宋体" w:cs="宋体"/>
          <w:color w:val="000000" w:themeColor="text1"/>
          <w:sz w:val="24"/>
          <w:szCs w:val="24"/>
          <w:highlight w:val="none"/>
          <w14:textFill>
            <w14:solidFill>
              <w14:schemeClr w14:val="tx1"/>
            </w14:solidFill>
          </w14:textFill>
        </w:rPr>
        <w:t>文件。</w:t>
      </w:r>
    </w:p>
    <w:p w14:paraId="1CC1F89C">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上传电子响应文件的截止时间</w:t>
      </w:r>
    </w:p>
    <w:p w14:paraId="0B2C02A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12.1</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供应商上传电子响应文件的截止时间见</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【磋商须知前附表】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49C540C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12.2 采购人在【磋商须知前附表】规定的递交电子响应文件截止时间（上传电子响应文件截止时间）（开启时间）以及</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【磋商须知前附表】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规定开标地点，通过电子招标投标交易平台公开开标。 </w:t>
      </w:r>
    </w:p>
    <w:p w14:paraId="1491976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12.3 各供应商在 12.1 规定的网站下载或查阅磋商相关文件和资料等，恕不另行通知，如有遗漏招标采购单位概不负责。 </w:t>
      </w:r>
    </w:p>
    <w:p w14:paraId="0897645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12.4 磋商文件的电子版本，以在政府采购网站公告的为准。</w:t>
      </w:r>
    </w:p>
    <w:p w14:paraId="4816C09B">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13. 磋商文件的澄清或者修改</w:t>
      </w:r>
    </w:p>
    <w:p w14:paraId="36D6FD22">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13.1在本章第12.1款规定的提交首次响应文件截止之日前，采购人、采购代理机构或者磋商小组可以对已发出的磋商文件进行必要的澄清或者修改。 </w:t>
      </w:r>
    </w:p>
    <w:p w14:paraId="7F9D732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澄清或者修改的内容可能影响响应文件编制的，采购人、采购代理机构应当在提交首次响应文件截止时间至少5日前，在《中国湖南政府采购网》和《湘西公共资源交易网》发布更正公告，不足5日的采购人、采购代理机构应当顺延首次响应文件截止时间。</w:t>
      </w:r>
    </w:p>
    <w:p w14:paraId="4DF9A7F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13.3提交首次响应文件截止时间前对磋商文件澄清或者修改内容，为磋商文件的组成部分。</w:t>
      </w:r>
    </w:p>
    <w:p w14:paraId="1E08A33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sz w:val="24"/>
          <w:szCs w:val="24"/>
          <w:highlight w:val="none"/>
          <w14:textFill>
            <w14:solidFill>
              <w14:schemeClr w14:val="tx1"/>
            </w14:solidFill>
          </w14:textFill>
        </w:rPr>
        <w:t>.4 通过电子招标投标交易平台下载</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文件的，请获取</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文件的潜在投标人及时关注</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公告指定媒体发布的澄清或者修改公告，采购人、采购代理机构不再书面通知。</w:t>
      </w:r>
    </w:p>
    <w:p w14:paraId="7102F4F6">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29" w:name="_Toc838"/>
      <w:r>
        <w:rPr>
          <w:rFonts w:hint="eastAsia" w:ascii="宋体" w:hAnsi="宋体" w:eastAsia="宋体" w:cs="宋体"/>
          <w:b/>
          <w:bCs/>
          <w:color w:val="000000" w:themeColor="text1"/>
          <w:sz w:val="24"/>
          <w:szCs w:val="24"/>
          <w:highlight w:val="none"/>
          <w14:textFill>
            <w14:solidFill>
              <w14:schemeClr w14:val="tx1"/>
            </w14:solidFill>
          </w14:textFill>
        </w:rPr>
        <w:t>三、响应文件</w:t>
      </w:r>
      <w:bookmarkEnd w:id="27"/>
      <w:bookmarkEnd w:id="28"/>
      <w:bookmarkEnd w:id="29"/>
    </w:p>
    <w:p w14:paraId="5C50694C">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14.一般要求</w:t>
      </w:r>
    </w:p>
    <w:p w14:paraId="3E7CC91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供应商应仔细阅读磋商文件的所有内容，按磋商文件的要求编制响应文件，并保证所提供的全部资料的真实性，以使其响应文件对磋商文件做出实质性的响应。</w:t>
      </w:r>
    </w:p>
    <w:p w14:paraId="36079BC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14.2 供应商提交的响应文件及供应商与采购人或采购代理机构、磋商小组就有关磋商的所有来往函电均使用中文。供应商可以提交其它语言的资料，但应附中文注释，在有差异时以中文为准。</w:t>
      </w:r>
    </w:p>
    <w:p w14:paraId="400AE64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计量单位应使用我国法定计量单位，未列明时应默认为我国法定计量单位。</w:t>
      </w:r>
    </w:p>
    <w:p w14:paraId="56F9FF1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响应文件应采用书面形式，电报、传真、电子邮件形式的响应文件概不接受。</w:t>
      </w:r>
    </w:p>
    <w:p w14:paraId="668452D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供应商应按磋商文件中提供的响应文件格式填写。</w:t>
      </w:r>
    </w:p>
    <w:p w14:paraId="6F9604E3">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15. 磋商响应文件的组成</w:t>
      </w:r>
    </w:p>
    <w:p w14:paraId="5099D5FF">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响应文件包括下列内容： </w:t>
      </w:r>
    </w:p>
    <w:p w14:paraId="4DAAEB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一、磋商响应声明</w:t>
      </w:r>
    </w:p>
    <w:p w14:paraId="2FA29B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二、</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电子报价一览表</w:t>
      </w:r>
    </w:p>
    <w:p w14:paraId="32FEB1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三、供应商的资格证明材料</w:t>
      </w:r>
    </w:p>
    <w:p w14:paraId="3AA13B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项目负责人简历表</w:t>
      </w:r>
    </w:p>
    <w:p w14:paraId="379635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五、技术或商务响应偏离表</w:t>
      </w:r>
    </w:p>
    <w:p w14:paraId="6A3053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六</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享受政府采购政策优惠的证明资料</w:t>
      </w:r>
    </w:p>
    <w:p w14:paraId="30189B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七、首次报价</w:t>
      </w:r>
      <w:r>
        <w:rPr>
          <w:rFonts w:hint="eastAsia" w:ascii="宋体" w:hAnsi="宋体" w:eastAsia="宋体" w:cs="宋体"/>
          <w:b w:val="0"/>
          <w:bCs w:val="0"/>
          <w:color w:val="000000" w:themeColor="text1"/>
          <w:sz w:val="21"/>
          <w:szCs w:val="21"/>
          <w:highlight w:val="none"/>
          <w14:textFill>
            <w14:solidFill>
              <w14:schemeClr w14:val="tx1"/>
            </w14:solidFill>
          </w14:textFill>
        </w:rPr>
        <w:t>表</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及分项价格标</w:t>
      </w:r>
    </w:p>
    <w:p w14:paraId="1B070F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供应商成交包号选择书面确认函</w:t>
      </w:r>
    </w:p>
    <w:p w14:paraId="15C011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九、</w:t>
      </w:r>
      <w:r>
        <w:rPr>
          <w:rFonts w:hint="eastAsia" w:ascii="宋体" w:hAnsi="宋体" w:eastAsia="宋体" w:cs="宋体"/>
          <w:b w:val="0"/>
          <w:bCs w:val="0"/>
          <w:color w:val="000000" w:themeColor="text1"/>
          <w:sz w:val="21"/>
          <w:szCs w:val="21"/>
          <w:highlight w:val="none"/>
          <w14:textFill>
            <w14:solidFill>
              <w14:schemeClr w14:val="tx1"/>
            </w14:solidFill>
          </w14:textFill>
        </w:rPr>
        <w:t>供应商认为需要提供的其它资料</w:t>
      </w:r>
    </w:p>
    <w:p w14:paraId="6EC5BE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十</w:t>
      </w:r>
      <w:r>
        <w:rPr>
          <w:rFonts w:hint="eastAsia" w:ascii="宋体" w:hAnsi="宋体" w:eastAsia="宋体" w:cs="宋体"/>
          <w:b w:val="0"/>
          <w:bCs w:val="0"/>
          <w:color w:val="000000" w:themeColor="text1"/>
          <w:sz w:val="21"/>
          <w:szCs w:val="21"/>
          <w:highlight w:val="none"/>
          <w14:textFill>
            <w14:solidFill>
              <w14:schemeClr w14:val="tx1"/>
            </w14:solidFill>
          </w14:textFill>
        </w:rPr>
        <w:t>、最后报价</w:t>
      </w:r>
    </w:p>
    <w:p w14:paraId="1FB55E2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15.2在磋商过程中，供应商根据磋商小组书面形式要求提交的最后报价(或者重新提交的响应文件和最后报价)是响应文件的有效组成部分。</w:t>
      </w:r>
    </w:p>
    <w:p w14:paraId="2187AB5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15.3磋商文件规定可能发生实质性变动的，供应商应当在《</w:t>
      </w:r>
      <w:r>
        <w:rPr>
          <w:rFonts w:hint="eastAsia" w:ascii="宋体" w:hAnsi="宋体" w:eastAsia="宋体" w:cs="宋体"/>
          <w:color w:val="000000" w:themeColor="text1"/>
          <w:sz w:val="24"/>
          <w:szCs w:val="24"/>
          <w:highlight w:val="none"/>
          <w:lang w:val="en-US" w:eastAsia="zh-CN"/>
          <w14:textFill>
            <w14:solidFill>
              <w14:schemeClr w14:val="tx1"/>
            </w14:solidFill>
          </w14:textFill>
        </w:rPr>
        <w:t>商务、合同响应偏离表</w:t>
      </w:r>
      <w:r>
        <w:rPr>
          <w:rFonts w:hint="eastAsia" w:ascii="宋体" w:hAnsi="宋体" w:eastAsia="宋体" w:cs="宋体"/>
          <w:color w:val="000000" w:themeColor="text1"/>
          <w:sz w:val="24"/>
          <w:szCs w:val="24"/>
          <w:highlight w:val="none"/>
          <w14:textFill>
            <w14:solidFill>
              <w14:schemeClr w14:val="tx1"/>
            </w14:solidFill>
          </w14:textFill>
        </w:rPr>
        <w:t>》中对应内容注明。</w:t>
      </w:r>
    </w:p>
    <w:p w14:paraId="7516388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15.4根据《政府采购法》第四十二条的规定，供应商无论成交与否，其响应文件不予退还。</w:t>
      </w:r>
    </w:p>
    <w:p w14:paraId="3632259A">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2"/>
          <w:sz w:val="24"/>
          <w:szCs w:val="24"/>
          <w:highlight w:val="none"/>
          <w:lang w:val="en-US" w:eastAsia="zh-CN" w:bidi="ar-SA"/>
          <w14:textFill>
            <w14:solidFill>
              <w14:schemeClr w14:val="tx1"/>
            </w14:solidFill>
          </w14:textFill>
        </w:rPr>
        <w:t>16.</w:t>
      </w:r>
      <w:r>
        <w:rPr>
          <w:rFonts w:hint="eastAsia" w:ascii="宋体" w:hAnsi="宋体" w:eastAsia="宋体" w:cs="宋体"/>
          <w:b/>
          <w:color w:val="000000" w:themeColor="text1"/>
          <w:sz w:val="24"/>
          <w:szCs w:val="24"/>
          <w:highlight w:val="none"/>
          <w14:textFill>
            <w14:solidFill>
              <w14:schemeClr w14:val="tx1"/>
            </w14:solidFill>
          </w14:textFill>
        </w:rPr>
        <w:t>报价</w:t>
      </w:r>
    </w:p>
    <w:p w14:paraId="12B9F0C2">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16.1供应商应当根据磋商文件要求和范围，以人民币报价，以元为单位，保留小数点后两位。</w:t>
      </w:r>
    </w:p>
    <w:p w14:paraId="46EA4590">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16.2供应商应按第四章“采购需求”要求及第五章“响应文件组成”格式填写。</w:t>
      </w:r>
    </w:p>
    <w:p w14:paraId="1F07FE42">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16.3投标人对采购项目内容只允许有一个投标报价，否则其</w:t>
      </w:r>
      <w:r>
        <w:rPr>
          <w:rFonts w:hint="eastAsia" w:ascii="宋体" w:hAnsi="宋体" w:eastAsia="宋体" w:cs="宋体"/>
          <w:b/>
          <w:color w:val="000000" w:themeColor="text1"/>
          <w:sz w:val="24"/>
          <w:szCs w:val="24"/>
          <w:highlight w:val="none"/>
          <w14:textFill>
            <w14:solidFill>
              <w14:schemeClr w14:val="tx1"/>
            </w14:solidFill>
          </w14:textFill>
        </w:rPr>
        <w:t>投标无效</w:t>
      </w:r>
      <w:r>
        <w:rPr>
          <w:rFonts w:hint="eastAsia" w:ascii="宋体" w:hAnsi="宋体" w:eastAsia="宋体" w:cs="宋体"/>
          <w:color w:val="000000" w:themeColor="text1"/>
          <w:sz w:val="24"/>
          <w:szCs w:val="24"/>
          <w:highlight w:val="none"/>
          <w14:textFill>
            <w14:solidFill>
              <w14:schemeClr w14:val="tx1"/>
            </w14:solidFill>
          </w14:textFill>
        </w:rPr>
        <w:t>。</w:t>
      </w:r>
    </w:p>
    <w:p w14:paraId="1E7C0BAA">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16.4 </w:t>
      </w:r>
      <w:r>
        <w:rPr>
          <w:rFonts w:hint="eastAsia" w:ascii="宋体" w:hAnsi="宋体" w:eastAsia="宋体" w:cs="宋体"/>
          <w:color w:val="000000" w:themeColor="text1"/>
          <w:sz w:val="24"/>
          <w:szCs w:val="24"/>
          <w:highlight w:val="none"/>
          <w14:textFill>
            <w14:solidFill>
              <w14:schemeClr w14:val="tx1"/>
            </w14:solidFill>
          </w14:textFill>
        </w:rPr>
        <w:t>响应文件中标明的价格在合同执行过程中是固定不变的，不得以任何理由予以变更。以可变动价格提交的报价将被认为是非实质响应而被拒绝。</w:t>
      </w:r>
    </w:p>
    <w:p w14:paraId="4424AAF0">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16.</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u w:val="wave"/>
          <w14:textFill>
            <w14:solidFill>
              <w14:schemeClr w14:val="tx1"/>
            </w14:solidFill>
          </w14:textFill>
        </w:rPr>
        <w:t>供应商的报价不得超过采购项目</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最高限价</w:t>
      </w:r>
      <w:r>
        <w:rPr>
          <w:rFonts w:hint="eastAsia" w:ascii="宋体" w:hAnsi="宋体" w:eastAsia="宋体" w:cs="宋体"/>
          <w:b/>
          <w:bCs/>
          <w:color w:val="000000" w:themeColor="text1"/>
          <w:sz w:val="24"/>
          <w:szCs w:val="24"/>
          <w:highlight w:val="none"/>
          <w:u w:val="wave"/>
          <w14:textFill>
            <w14:solidFill>
              <w14:schemeClr w14:val="tx1"/>
            </w14:solidFill>
          </w14:textFill>
        </w:rPr>
        <w:t>，采购项目</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限价</w:t>
      </w:r>
      <w:r>
        <w:rPr>
          <w:rFonts w:hint="eastAsia" w:ascii="宋体" w:hAnsi="宋体" w:eastAsia="宋体" w:cs="宋体"/>
          <w:b/>
          <w:bCs/>
          <w:color w:val="000000" w:themeColor="text1"/>
          <w:sz w:val="24"/>
          <w:szCs w:val="24"/>
          <w:highlight w:val="none"/>
          <w:u w:val="wave"/>
          <w14:textFill>
            <w14:solidFill>
              <w14:schemeClr w14:val="tx1"/>
            </w14:solidFill>
          </w14:textFill>
        </w:rPr>
        <w:t>或其计算方法见【磋商须知前附表】。</w:t>
      </w:r>
    </w:p>
    <w:p w14:paraId="58A7A376">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16.</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6报价的其他要求见【磋商须知前附表】。</w:t>
      </w:r>
    </w:p>
    <w:p w14:paraId="1F3B8175">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16.7磋商小组认为供应商的报价明显低于其他通过符合性审查供应商的报价，有可能影响产品质量或者不能诚信履约的，应当要求其在评标现场合理的时间（60分钟）内提供书面说明，必要时提交相关证明材料(如提供材料清单、发票、购销合同复印件等)；供应商不能证明其报价合理性的，磋商小组应当将其作为无效投标处理</w:t>
      </w:r>
      <w:r>
        <w:rPr>
          <w:rFonts w:hint="eastAsia" w:ascii="宋体" w:hAnsi="宋体" w:eastAsia="宋体" w:cs="宋体"/>
          <w:b/>
          <w:bCs/>
          <w:color w:val="000000" w:themeColor="text1"/>
          <w:sz w:val="24"/>
          <w:szCs w:val="24"/>
          <w:highlight w:val="none"/>
          <w:u w:val="wave"/>
          <w14:textFill>
            <w14:solidFill>
              <w14:schemeClr w14:val="tx1"/>
            </w14:solidFill>
          </w14:textFill>
        </w:rPr>
        <w:t>。</w:t>
      </w:r>
    </w:p>
    <w:p w14:paraId="5E969507">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17.供应商符合磋商文件规定的证明文件</w:t>
      </w:r>
    </w:p>
    <w:p w14:paraId="465CCBB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17.1供应商提供本章第 3.1 款规定的供应商资格条件要求的证明材料。</w:t>
      </w:r>
    </w:p>
    <w:p w14:paraId="37AF089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17.2供应商为联合体形式的，则应提交联合体各方资格文件、联合体协议，否则将视为非实质响应而被拒绝。</w:t>
      </w:r>
    </w:p>
    <w:p w14:paraId="03D4029B">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17.3除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另有规定外，供应商提供的货物不是供应商制造或拥有的，则必须提供经销、或代理采购货物、或采购货物提供售后服务的证明文件。</w:t>
      </w:r>
    </w:p>
    <w:p w14:paraId="05625AEB">
      <w:pPr>
        <w:keepNext w:val="0"/>
        <w:keepLines w:val="0"/>
        <w:pageBreakBefore w:val="0"/>
        <w:kinsoku/>
        <w:wordWrap w:val="0"/>
        <w:overflowPunct/>
        <w:topLinePunct w:val="0"/>
        <w:autoSpaceDE/>
        <w:autoSpaceDN/>
        <w:bidi w:val="0"/>
        <w:adjustRightInd w:val="0"/>
        <w:snapToGrid w:val="0"/>
        <w:spacing w:line="420" w:lineRule="exact"/>
        <w:ind w:firstLine="42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17.4</w:t>
      </w:r>
      <w:r>
        <w:rPr>
          <w:rFonts w:hint="eastAsia" w:ascii="宋体" w:hAnsi="宋体" w:eastAsia="宋体" w:cs="宋体"/>
          <w:color w:val="000000" w:themeColor="text1"/>
          <w:kern w:val="0"/>
          <w:sz w:val="24"/>
          <w:szCs w:val="24"/>
          <w:highlight w:val="none"/>
          <w14:textFill>
            <w14:solidFill>
              <w14:schemeClr w14:val="tx1"/>
            </w14:solidFill>
          </w14:textFill>
        </w:rPr>
        <w:t>单一产品采购项目：提供相同品牌产品的不同供应商参加同一合同项下采购活动的，按一家供应商计算。提供不同品牌产品的供应商不足三家的，应予废标。</w:t>
      </w:r>
    </w:p>
    <w:p w14:paraId="1FA554EC">
      <w:pPr>
        <w:pStyle w:val="45"/>
        <w:keepNext w:val="0"/>
        <w:keepLines w:val="0"/>
        <w:pageBreakBefore w:val="0"/>
        <w:widowControl w:val="0"/>
        <w:kinsoku/>
        <w:overflowPunct/>
        <w:topLinePunct w:val="0"/>
        <w:autoSpaceDE/>
        <w:autoSpaceDN/>
        <w:bidi w:val="0"/>
        <w:adjustRightInd w:val="0"/>
        <w:snapToGrid w:val="0"/>
        <w:spacing w:before="0" w:after="0"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17.5非单一产品采购项目：采购人或者采购代理机构将在【</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】中载明核心产品。多家供应商提供的核心产品品牌相同的，视为相同品牌，按本章第17.4款规定处理。</w:t>
      </w:r>
    </w:p>
    <w:p w14:paraId="1C186F09">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17.6单一产品采购项目：</w:t>
      </w:r>
      <w:r>
        <w:rPr>
          <w:rFonts w:hint="eastAsia" w:ascii="宋体" w:hAnsi="宋体" w:eastAsia="宋体" w:cs="宋体"/>
          <w:color w:val="000000" w:themeColor="text1"/>
          <w:sz w:val="24"/>
          <w:szCs w:val="24"/>
          <w:highlight w:val="none"/>
          <w14:textFill>
            <w14:solidFill>
              <w14:schemeClr w14:val="tx1"/>
            </w14:solidFill>
          </w14:textFill>
        </w:rPr>
        <w:t>提供相同品牌产品且通过资格性审查、符合性审查的不同供应商参加同一合同项下采购活动的，评审后得分最高的同品牌</w:t>
      </w:r>
      <w:r>
        <w:rPr>
          <w:rFonts w:hint="eastAsia" w:ascii="宋体" w:hAnsi="宋体" w:eastAsia="宋体" w:cs="宋体"/>
          <w:color w:val="000000" w:themeColor="text1"/>
          <w:kern w:val="0"/>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获得成交</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推荐资格；评审得分相同的，按照</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kern w:val="0"/>
          <w:sz w:val="24"/>
          <w:szCs w:val="24"/>
          <w:highlight w:val="none"/>
          <w14:textFill>
            <w14:solidFill>
              <w14:schemeClr w14:val="tx1"/>
            </w14:solidFill>
          </w14:textFill>
        </w:rPr>
        <w:t>磋商须知前附表</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规定的方式确定一个供应商获得成交</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推荐资格，磋商文件未规定的采取随机抽取方式确定，其他同品牌</w:t>
      </w:r>
      <w:r>
        <w:rPr>
          <w:rFonts w:hint="eastAsia" w:ascii="宋体" w:hAnsi="宋体" w:eastAsia="宋体" w:cs="宋体"/>
          <w:color w:val="000000" w:themeColor="text1"/>
          <w:kern w:val="0"/>
          <w:sz w:val="24"/>
          <w:szCs w:val="24"/>
          <w:highlight w:val="none"/>
          <w14:textFill>
            <w14:solidFill>
              <w14:schemeClr w14:val="tx1"/>
            </w14:solidFill>
          </w14:textFill>
        </w:rPr>
        <w:t>供应商</w:t>
      </w:r>
      <w:r>
        <w:rPr>
          <w:rFonts w:hint="eastAsia" w:ascii="宋体" w:hAnsi="宋体" w:eastAsia="宋体" w:cs="宋体"/>
          <w:b/>
          <w:color w:val="000000" w:themeColor="text1"/>
          <w:sz w:val="24"/>
          <w:szCs w:val="24"/>
          <w:highlight w:val="none"/>
          <w14:textFill>
            <w14:solidFill>
              <w14:schemeClr w14:val="tx1"/>
            </w14:solidFill>
          </w14:textFill>
        </w:rPr>
        <w:t>不作为成交候选人</w:t>
      </w:r>
      <w:r>
        <w:rPr>
          <w:rFonts w:hint="eastAsia" w:ascii="宋体" w:hAnsi="宋体" w:eastAsia="宋体" w:cs="宋体"/>
          <w:color w:val="000000" w:themeColor="text1"/>
          <w:sz w:val="24"/>
          <w:szCs w:val="24"/>
          <w:highlight w:val="none"/>
          <w14:textFill>
            <w14:solidFill>
              <w14:schemeClr w14:val="tx1"/>
            </w14:solidFill>
          </w14:textFill>
        </w:rPr>
        <w:t>。</w:t>
      </w:r>
    </w:p>
    <w:p w14:paraId="13CD8483">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17.7非单一产品采购项目：多家</w:t>
      </w:r>
      <w:r>
        <w:rPr>
          <w:rFonts w:hint="eastAsia" w:ascii="宋体" w:hAnsi="宋体" w:eastAsia="宋体" w:cs="宋体"/>
          <w:color w:val="000000" w:themeColor="text1"/>
          <w:kern w:val="0"/>
          <w:sz w:val="24"/>
          <w:szCs w:val="24"/>
          <w:highlight w:val="none"/>
          <w14:textFill>
            <w14:solidFill>
              <w14:schemeClr w14:val="tx1"/>
            </w14:solidFill>
          </w14:textFill>
        </w:rPr>
        <w:t>供应商</w:t>
      </w:r>
      <w:r>
        <w:rPr>
          <w:rFonts w:hint="eastAsia" w:ascii="宋体" w:hAnsi="宋体" w:eastAsia="宋体" w:cs="宋体"/>
          <w:bCs/>
          <w:color w:val="000000" w:themeColor="text1"/>
          <w:sz w:val="24"/>
          <w:szCs w:val="24"/>
          <w:highlight w:val="none"/>
          <w14:textFill>
            <w14:solidFill>
              <w14:schemeClr w14:val="tx1"/>
            </w14:solidFill>
          </w14:textFill>
        </w:rPr>
        <w:t>提供的核心产品品牌相同的，视为相同品牌，按本章第17.6款规定处理。</w:t>
      </w:r>
    </w:p>
    <w:p w14:paraId="59CEC27F">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18．样品提供</w:t>
      </w:r>
      <w:r>
        <w:rPr>
          <w:rFonts w:hint="eastAsia" w:ascii="宋体" w:hAnsi="宋体" w:eastAsia="宋体" w:cs="宋体"/>
          <w:b/>
          <w:color w:val="000000" w:themeColor="text1"/>
          <w:sz w:val="24"/>
          <w:szCs w:val="24"/>
          <w:highlight w:val="none"/>
          <w:lang w:eastAsia="zh-CN"/>
          <w14:textFill>
            <w14:solidFill>
              <w14:schemeClr w14:val="tx1"/>
            </w14:solidFill>
          </w14:textFill>
        </w:rPr>
        <w:t>（本项目不适用）</w:t>
      </w:r>
    </w:p>
    <w:p w14:paraId="09228DBB">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18.1</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w:t>
      </w:r>
      <w:r>
        <w:rPr>
          <w:rFonts w:hint="eastAsia" w:ascii="宋体" w:hAnsi="宋体" w:eastAsia="宋体" w:cs="宋体"/>
          <w:bCs/>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在磋商时提供样品的，</w:t>
      </w:r>
      <w:r>
        <w:rPr>
          <w:rFonts w:hint="eastAsia" w:ascii="宋体" w:hAnsi="宋体" w:eastAsia="宋体" w:cs="宋体"/>
          <w:bCs/>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有以下情形之一的，在评审时将其视为无效响应。</w:t>
      </w:r>
    </w:p>
    <w:p w14:paraId="4CE433F4">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（1）未在磋商须知前附表规定的提交时间、地点提交的；</w:t>
      </w:r>
    </w:p>
    <w:p w14:paraId="71DC11AC">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bCs/>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提供的样品与响应文件中提供样品的型号、规格不一致的。</w:t>
      </w:r>
    </w:p>
    <w:p w14:paraId="41E051FE">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19.保证金</w:t>
      </w:r>
      <w:r>
        <w:rPr>
          <w:rFonts w:hint="eastAsia" w:ascii="宋体" w:hAnsi="宋体" w:eastAsia="宋体" w:cs="宋体"/>
          <w:b/>
          <w:color w:val="000000" w:themeColor="text1"/>
          <w:sz w:val="24"/>
          <w:szCs w:val="24"/>
          <w:highlight w:val="none"/>
          <w:lang w:eastAsia="zh-CN"/>
          <w14:textFill>
            <w14:solidFill>
              <w14:schemeClr w14:val="tx1"/>
            </w14:solidFill>
          </w14:textFill>
        </w:rPr>
        <w:t>（本项目不适用）</w:t>
      </w:r>
    </w:p>
    <w:p w14:paraId="44AFD7D2">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19.1</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交纳保证金的，应按磋商须知前附表规定的保证金形式交纳，在本章第12.1款规定的提交首次响应文件截止时间前，向采购代理机构交纳的磋商保证金。保证金有效期应当与本章第20.1款规定的响应文件有效期一致。</w:t>
      </w:r>
    </w:p>
    <w:p w14:paraId="3C0101C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19.2供应商为联合体的，可以由联合体中的一方或者共同交纳保证金，其交纳的保证金，对联合体各方均具有约束力。</w:t>
      </w:r>
    </w:p>
    <w:p w14:paraId="092C1D3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19.3 未按磋商文件规定提交保证金的，采购人或采购代理机构应当拒绝接收供应商的响应文件。</w:t>
      </w:r>
    </w:p>
    <w:p w14:paraId="3C04BED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19.4采购代理机构在成交通知书发出后5个工作日内退还未成交供应商的保证金；在采购合同签定后5个工作日内退还成交供应商的保证金，但因供应商自身原因导致无法及时退还的除外。</w:t>
      </w:r>
    </w:p>
    <w:p w14:paraId="139ED90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19.5 有下列情形之一的，保证金不予退还，并上缴本级财政国库：</w:t>
      </w:r>
    </w:p>
    <w:p w14:paraId="569710F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（1）供应商在本章第12.1款规定的提交首次响应文件截止时间后撤回响应文件的；</w:t>
      </w:r>
    </w:p>
    <w:p w14:paraId="0AC1B24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（2）供应商在响应文件中提供虚假材料的；</w:t>
      </w:r>
    </w:p>
    <w:p w14:paraId="6412C93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（3）除因不可抗力或磋商文件认可的情形以外，成交供应商不与采购人签订合同的；</w:t>
      </w:r>
    </w:p>
    <w:p w14:paraId="7F53001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（4）供应商与采购人、其他供应商或者采购代理机构恶意串通的；</w:t>
      </w:r>
    </w:p>
    <w:p w14:paraId="56E1AF7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（5）磋商文件规定的其他情形。</w:t>
      </w:r>
    </w:p>
    <w:p w14:paraId="739060A7">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20. 响应文件有效期</w:t>
      </w:r>
    </w:p>
    <w:p w14:paraId="7DC2845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20.1响应文件有效期见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，在此期间响应文件对供应商具有法律约束力，从提交首次响应文件截止时间之日起计算。响应文件有效期不足的将被视为无效响应。</w:t>
      </w:r>
    </w:p>
    <w:p w14:paraId="7DC945C9">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21.</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文件的编制和签署、盖章</w:t>
      </w:r>
    </w:p>
    <w:p w14:paraId="06442AC4">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.1投标人确认投标并成功报名后，应从交易平台上下载“电子招标文件制作工具”，并使用此工具编制电子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文件，否则将影响电子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文件的上传而导致投标无效。</w:t>
      </w:r>
    </w:p>
    <w:p w14:paraId="1C46C509">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color w:val="000000" w:themeColor="text1"/>
          <w:sz w:val="24"/>
          <w:szCs w:val="24"/>
          <w:highlight w:val="none"/>
          <w14:textFill>
            <w14:solidFill>
              <w14:schemeClr w14:val="tx1"/>
            </w14:solidFill>
          </w14:textFill>
        </w:rPr>
        <w:t>投标人应按照电子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招标</w:t>
      </w:r>
      <w:r>
        <w:rPr>
          <w:rFonts w:hint="eastAsia" w:ascii="宋体" w:hAnsi="宋体" w:eastAsia="宋体" w:cs="宋体"/>
          <w:b/>
          <w:color w:val="000000" w:themeColor="text1"/>
          <w:sz w:val="24"/>
          <w:szCs w:val="24"/>
          <w:highlight w:val="none"/>
          <w14:textFill>
            <w14:solidFill>
              <w14:schemeClr w14:val="tx1"/>
            </w14:solidFill>
          </w14:textFill>
        </w:rPr>
        <w:t>文件要求制作</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文件，并进行签署、盖章。</w:t>
      </w:r>
    </w:p>
    <w:p w14:paraId="0D6BF21F">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color w:val="000000" w:themeColor="text1"/>
          <w:sz w:val="24"/>
          <w:szCs w:val="24"/>
          <w:highlight w:val="none"/>
          <w14:textFill>
            <w14:solidFill>
              <w14:schemeClr w14:val="tx1"/>
            </w14:solidFill>
          </w14:textFill>
        </w:rPr>
        <w:t>投标人因自身原因导致电子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文件无法导入电子评标系统的，该</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文件视为无效</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w:t>
      </w:r>
    </w:p>
    <w:p w14:paraId="4F46DA6F">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color w:val="000000" w:themeColor="text1"/>
          <w:sz w:val="24"/>
          <w:szCs w:val="24"/>
          <w:highlight w:val="none"/>
          <w14:textFill>
            <w14:solidFill>
              <w14:schemeClr w14:val="tx1"/>
            </w14:solidFill>
          </w14:textFill>
        </w:rPr>
        <w:t>电子招投标文件具有法律效力，若</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文件与</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14:textFill>
            <w14:solidFill>
              <w14:schemeClr w14:val="tx1"/>
            </w14:solidFill>
          </w14:textFill>
        </w:rPr>
        <w:t>文件要求不一致，其内容影响</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成交</w:t>
      </w:r>
      <w:r>
        <w:rPr>
          <w:rFonts w:hint="eastAsia" w:ascii="宋体" w:hAnsi="宋体" w:eastAsia="宋体" w:cs="宋体"/>
          <w:b/>
          <w:color w:val="000000" w:themeColor="text1"/>
          <w:sz w:val="24"/>
          <w:szCs w:val="24"/>
          <w:highlight w:val="none"/>
          <w14:textFill>
            <w14:solidFill>
              <w14:schemeClr w14:val="tx1"/>
            </w14:solidFill>
          </w14:textFill>
        </w:rPr>
        <w:t>结果时，责任由投标人自行承担。</w:t>
      </w:r>
    </w:p>
    <w:p w14:paraId="7E131BA5">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color w:val="000000" w:themeColor="text1"/>
          <w:sz w:val="24"/>
          <w:szCs w:val="24"/>
          <w:highlight w:val="none"/>
          <w14:textFill>
            <w14:solidFill>
              <w14:schemeClr w14:val="tx1"/>
            </w14:solidFill>
          </w14:textFill>
        </w:rPr>
        <w:t>电子投标项目的</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文件均以上传至交易系统的电子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文件为准。</w:t>
      </w:r>
    </w:p>
    <w:p w14:paraId="6A34BD2F">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0" w:name="_Toc25483"/>
      <w:bookmarkStart w:id="31" w:name="_Toc3237"/>
      <w:bookmarkStart w:id="32" w:name="_Toc8642"/>
      <w:r>
        <w:rPr>
          <w:rFonts w:hint="eastAsia" w:ascii="宋体" w:hAnsi="宋体" w:eastAsia="宋体" w:cs="宋体"/>
          <w:b/>
          <w:bCs/>
          <w:color w:val="000000" w:themeColor="text1"/>
          <w:sz w:val="24"/>
          <w:szCs w:val="24"/>
          <w:highlight w:val="none"/>
          <w14:textFill>
            <w14:solidFill>
              <w14:schemeClr w14:val="tx1"/>
            </w14:solidFill>
          </w14:textFill>
        </w:rPr>
        <w:t>四、响应文件的递交</w:t>
      </w:r>
      <w:bookmarkEnd w:id="30"/>
      <w:bookmarkEnd w:id="31"/>
      <w:bookmarkEnd w:id="32"/>
    </w:p>
    <w:p w14:paraId="7073C1D0">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22.</w:t>
      </w:r>
      <w:r>
        <w:rPr>
          <w:rFonts w:hint="eastAsia" w:ascii="宋体" w:hAnsi="宋体" w:eastAsia="宋体" w:cs="宋体"/>
          <w:b/>
          <w:bCs/>
          <w:color w:val="000000" w:themeColor="text1"/>
          <w:sz w:val="24"/>
          <w:szCs w:val="24"/>
          <w:highlight w:val="none"/>
          <w14:textFill>
            <w14:solidFill>
              <w14:schemeClr w14:val="tx1"/>
            </w14:solidFill>
          </w14:textFill>
        </w:rPr>
        <w:t>响应文件的递交</w:t>
      </w:r>
    </w:p>
    <w:p w14:paraId="168A6BF5">
      <w:pPr>
        <w:keepNext w:val="0"/>
        <w:keepLines w:val="0"/>
        <w:pageBreakBefore w:val="0"/>
        <w:kinsoku/>
        <w:overflowPunct/>
        <w:topLinePunct w:val="0"/>
        <w:autoSpaceDE/>
        <w:autoSpaceDN/>
        <w:bidi w:val="0"/>
        <w:adjustRightInd w:val="0"/>
        <w:snapToGrid w:val="0"/>
        <w:spacing w:line="420" w:lineRule="exact"/>
        <w:ind w:firstLine="482"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.1 电子</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文件通过数字证书进行签署、盖章并加密。未按要求签署、盖章和加密的</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文件，系统将无法接受，采购人、采购代理机构不予受理。</w:t>
      </w:r>
    </w:p>
    <w:p w14:paraId="37C73EE0">
      <w:pPr>
        <w:keepNext w:val="0"/>
        <w:keepLines w:val="0"/>
        <w:pageBreakBefore w:val="0"/>
        <w:kinsoku/>
        <w:overflowPunct/>
        <w:topLinePunct w:val="0"/>
        <w:autoSpaceDE/>
        <w:autoSpaceDN/>
        <w:bidi w:val="0"/>
        <w:adjustRightInd w:val="0"/>
        <w:snapToGrid w:val="0"/>
        <w:spacing w:line="420" w:lineRule="exact"/>
        <w:ind w:firstLine="482"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.2 投标人应</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于</w:t>
      </w:r>
      <w:r>
        <w:rPr>
          <w:rFonts w:hint="eastAsia" w:ascii="宋体" w:hAnsi="宋体" w:eastAsia="宋体" w:cs="宋体"/>
          <w:b/>
          <w:bCs/>
          <w:color w:val="000000" w:themeColor="text1"/>
          <w:sz w:val="24"/>
          <w:szCs w:val="24"/>
          <w:highlight w:val="none"/>
          <w14:textFill>
            <w14:solidFill>
              <w14:schemeClr w14:val="tx1"/>
            </w14:solidFill>
          </w14:textFill>
        </w:rPr>
        <w:t>【磋商须知前附表】规定的投标截止时间</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地点按时</w:t>
      </w:r>
      <w:r>
        <w:rPr>
          <w:rFonts w:hint="eastAsia" w:ascii="宋体" w:hAnsi="宋体" w:eastAsia="宋体" w:cs="宋体"/>
          <w:b/>
          <w:bCs/>
          <w:color w:val="000000" w:themeColor="text1"/>
          <w:sz w:val="24"/>
          <w:szCs w:val="24"/>
          <w:highlight w:val="none"/>
          <w14:textFill>
            <w14:solidFill>
              <w14:schemeClr w14:val="tx1"/>
            </w14:solidFill>
          </w14:textFill>
        </w:rPr>
        <w:t>将电子</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文件上传到指定网站的指定栏目，逾期不予受理。如遇系统提示“上传未成功”，投标人应及时重新修改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文件或与电子交易平台服务机构联系，查明原因，确保上传无误，因自身原因导致不能上传，投标人自行承担责任。</w:t>
      </w:r>
    </w:p>
    <w:p w14:paraId="62C9CB34">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2</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u w:val="wave"/>
          <w14:textFill>
            <w14:solidFill>
              <w14:schemeClr w14:val="tx1"/>
            </w14:solidFill>
          </w14:textFill>
        </w:rPr>
        <w:t xml:space="preserve">.3 </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磋商</w:t>
      </w:r>
      <w:r>
        <w:rPr>
          <w:rFonts w:hint="eastAsia" w:ascii="宋体" w:hAnsi="宋体" w:eastAsia="宋体" w:cs="宋体"/>
          <w:b/>
          <w:bCs/>
          <w:color w:val="000000" w:themeColor="text1"/>
          <w:sz w:val="24"/>
          <w:szCs w:val="24"/>
          <w:highlight w:val="none"/>
          <w:u w:val="wave"/>
          <w14:textFill>
            <w14:solidFill>
              <w14:schemeClr w14:val="tx1"/>
            </w14:solidFill>
          </w14:textFill>
        </w:rPr>
        <w:t>文件中要求投标人提供相关证明文件原件的，请投标人按磋商</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文件</w:t>
      </w:r>
      <w:r>
        <w:rPr>
          <w:rFonts w:hint="eastAsia" w:ascii="宋体" w:hAnsi="宋体" w:eastAsia="宋体" w:cs="宋体"/>
          <w:b/>
          <w:bCs/>
          <w:color w:val="000000" w:themeColor="text1"/>
          <w:sz w:val="24"/>
          <w:szCs w:val="24"/>
          <w:highlight w:val="none"/>
          <w:u w:val="wave"/>
          <w14:textFill>
            <w14:solidFill>
              <w14:schemeClr w14:val="tx1"/>
            </w14:solidFill>
          </w14:textFill>
        </w:rPr>
        <w:t>规定的时间、地点按时递交，如因投标人自身原因未能按时递交，其产生的后果由投标人自行承担。</w:t>
      </w:r>
    </w:p>
    <w:p w14:paraId="391157F6">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23.响应文件的补充、修改或者撤回</w:t>
      </w:r>
    </w:p>
    <w:p w14:paraId="43582DF8">
      <w:pPr>
        <w:keepNext w:val="0"/>
        <w:keepLines w:val="0"/>
        <w:pageBreakBefore w:val="0"/>
        <w:kinsoku/>
        <w:overflowPunct/>
        <w:topLinePunct w:val="0"/>
        <w:autoSpaceDE/>
        <w:autoSpaceDN/>
        <w:bidi w:val="0"/>
        <w:adjustRightInd w:val="0"/>
        <w:snapToGrid w:val="0"/>
        <w:spacing w:line="420" w:lineRule="exact"/>
        <w:ind w:firstLine="458" w:firstLineChars="200"/>
        <w:jc w:val="left"/>
        <w:textAlignment w:val="auto"/>
        <w:rPr>
          <w:rFonts w:hint="eastAsia" w:ascii="宋体" w:hAnsi="宋体" w:eastAsia="宋体" w:cs="宋体"/>
          <w:b/>
          <w:bCs/>
          <w:color w:val="000000" w:themeColor="text1"/>
          <w:spacing w:val="-6"/>
          <w:sz w:val="24"/>
          <w:szCs w:val="24"/>
          <w:highlight w:val="none"/>
          <w14:textFill>
            <w14:solidFill>
              <w14:schemeClr w14:val="tx1"/>
            </w14:solidFill>
          </w14:textFill>
        </w:rPr>
      </w:pPr>
      <w:r>
        <w:rPr>
          <w:rFonts w:hint="eastAsia" w:ascii="宋体" w:hAnsi="宋体" w:eastAsia="宋体" w:cs="宋体"/>
          <w:b/>
          <w:bCs/>
          <w:color w:val="000000" w:themeColor="text1"/>
          <w:spacing w:val="-6"/>
          <w:sz w:val="24"/>
          <w:szCs w:val="24"/>
          <w:highlight w:val="none"/>
          <w14:textFill>
            <w14:solidFill>
              <w14:schemeClr w14:val="tx1"/>
            </w14:solidFill>
          </w14:textFill>
        </w:rPr>
        <w:t>2</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pacing w:val="-6"/>
          <w:sz w:val="24"/>
          <w:szCs w:val="24"/>
          <w:highlight w:val="none"/>
          <w14:textFill>
            <w14:solidFill>
              <w14:schemeClr w14:val="tx1"/>
            </w14:solidFill>
          </w14:textFill>
        </w:rPr>
        <w:t>.1 投标人在</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文件规定的截止时间前可以撤回已上传的</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文件，也可以撤回并修改后再重新上传，此操作带来的后果由投标人自行承担。在投标截止时间之后，投标人撤回其</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文件的，其</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保证金将不予退还。</w:t>
      </w:r>
    </w:p>
    <w:p w14:paraId="65CE52A2">
      <w:pPr>
        <w:keepNext w:val="0"/>
        <w:keepLines w:val="0"/>
        <w:pageBreakBefore w:val="0"/>
        <w:kinsoku/>
        <w:overflowPunct/>
        <w:topLinePunct w:val="0"/>
        <w:autoSpaceDE/>
        <w:autoSpaceDN/>
        <w:bidi w:val="0"/>
        <w:spacing w:line="420" w:lineRule="exact"/>
        <w:ind w:firstLine="458"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6"/>
          <w:sz w:val="24"/>
          <w:szCs w:val="24"/>
          <w:highlight w:val="none"/>
          <w14:textFill>
            <w14:solidFill>
              <w14:schemeClr w14:val="tx1"/>
            </w14:solidFill>
          </w14:textFill>
        </w:rPr>
        <w:t>2</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pacing w:val="-6"/>
          <w:sz w:val="24"/>
          <w:szCs w:val="24"/>
          <w:highlight w:val="none"/>
          <w14:textFill>
            <w14:solidFill>
              <w14:schemeClr w14:val="tx1"/>
            </w14:solidFill>
          </w14:textFill>
        </w:rPr>
        <w:t>.2 采购人、采购代理机构发布了修改、澄清文件的，投标人应按修改后的</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文件重新编制</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文件并上传至交易平台。遗漏关于</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文件的修改、澄清文件信息或未修改</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文件的由投标人自行承担后果。</w:t>
      </w:r>
    </w:p>
    <w:p w14:paraId="1BDDF370">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3" w:name="_Toc17490"/>
      <w:bookmarkStart w:id="34" w:name="_Toc7844"/>
      <w:bookmarkStart w:id="35" w:name="_Toc27739"/>
      <w:r>
        <w:rPr>
          <w:rFonts w:hint="eastAsia" w:ascii="宋体" w:hAnsi="宋体" w:eastAsia="宋体" w:cs="宋体"/>
          <w:b/>
          <w:bCs/>
          <w:color w:val="000000" w:themeColor="text1"/>
          <w:sz w:val="24"/>
          <w:szCs w:val="24"/>
          <w:highlight w:val="none"/>
          <w14:textFill>
            <w14:solidFill>
              <w14:schemeClr w14:val="tx1"/>
            </w14:solidFill>
          </w14:textFill>
        </w:rPr>
        <w:t>五、响应文件的评审与磋商</w:t>
      </w:r>
      <w:bookmarkEnd w:id="33"/>
      <w:bookmarkEnd w:id="34"/>
      <w:bookmarkEnd w:id="35"/>
    </w:p>
    <w:p w14:paraId="54F133FB">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color w:val="000000" w:themeColor="text1"/>
          <w:sz w:val="24"/>
          <w:szCs w:val="24"/>
          <w:highlight w:val="none"/>
          <w14:textFill>
            <w14:solidFill>
              <w14:schemeClr w14:val="tx1"/>
            </w14:solidFill>
          </w14:textFill>
        </w:rPr>
        <w:t>.磋商程序</w:t>
      </w:r>
    </w:p>
    <w:p w14:paraId="4EFA94D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.1磋商程序：响应文件审查、磋商（包括澄清）、响应文件评审、提出成交供应商。其中，磋商按本章第</w:t>
      </w: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zh-CN"/>
          <w14:textFill>
            <w14:solidFill>
              <w14:schemeClr w14:val="tx1"/>
            </w14:solidFill>
          </w14:textFill>
        </w:rPr>
        <w:t>款或者</w:t>
      </w: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zh-CN"/>
          <w14:textFill>
            <w14:solidFill>
              <w14:schemeClr w14:val="tx1"/>
            </w14:solidFill>
          </w14:textFill>
        </w:rPr>
        <w:t>款</w:t>
      </w:r>
      <w:r>
        <w:rPr>
          <w:rFonts w:hint="eastAsia" w:ascii="宋体" w:hAnsi="宋体" w:eastAsia="宋体" w:cs="宋体"/>
          <w:color w:val="000000" w:themeColor="text1"/>
          <w:sz w:val="24"/>
          <w:szCs w:val="24"/>
          <w:highlight w:val="none"/>
          <w14:textFill>
            <w14:solidFill>
              <w14:schemeClr w14:val="tx1"/>
            </w14:solidFill>
          </w14:textFill>
        </w:rPr>
        <w:t>情形进行。</w:t>
      </w:r>
    </w:p>
    <w:p w14:paraId="6BC04D75">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color w:val="000000" w:themeColor="text1"/>
          <w:sz w:val="24"/>
          <w:szCs w:val="24"/>
          <w:highlight w:val="none"/>
          <w14:textFill>
            <w14:solidFill>
              <w14:schemeClr w14:val="tx1"/>
            </w14:solidFill>
          </w14:textFill>
        </w:rPr>
        <w:t>.响应文件审查</w:t>
      </w:r>
    </w:p>
    <w:p w14:paraId="20198E7D">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Cs/>
          <w:color w:val="000000" w:themeColor="text1"/>
          <w:sz w:val="24"/>
          <w:szCs w:val="24"/>
          <w:highlight w:val="none"/>
          <w14:textFill>
            <w14:solidFill>
              <w14:schemeClr w14:val="tx1"/>
            </w14:solidFill>
          </w14:textFill>
        </w:rPr>
        <w:t>.1 资格性审查：根据本章第3.1项规定的供应商资格条件要求，对响应文件的资格证明等进行审查，以确定供应商是否具备磋商资格条件。</w:t>
      </w:r>
    </w:p>
    <w:p w14:paraId="2A2EAFC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Cs/>
          <w:color w:val="000000" w:themeColor="text1"/>
          <w:sz w:val="24"/>
          <w:szCs w:val="24"/>
          <w:highlight w:val="none"/>
          <w14:textFill>
            <w14:solidFill>
              <w14:schemeClr w14:val="tx1"/>
            </w14:solidFill>
          </w14:textFill>
        </w:rPr>
        <w:t>.2符合性审查：对响应文件(包括首次提交的响应文件、重新提交的响应文件)的有效性、完整性和响应程度进行审查，以确定是否对磋商文件的实质性要求作出响应。</w:t>
      </w:r>
    </w:p>
    <w:p w14:paraId="437C050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bCs/>
          <w:color w:val="000000" w:themeColor="text1"/>
          <w:sz w:val="24"/>
          <w:szCs w:val="24"/>
          <w:highlight w:val="none"/>
          <w14:textFill>
            <w14:solidFill>
              <w14:schemeClr w14:val="tx1"/>
            </w14:solidFill>
          </w14:textFill>
        </w:rPr>
        <w:t>.3响应文件审查结束后，磋商小组所有成员集中与单一供应商分别进行磋商，并给予所有参加磋商的供应商平等的磋商机会。供应商应派其法定代表人</w:t>
      </w:r>
      <w:r>
        <w:rPr>
          <w:rFonts w:hint="eastAsia" w:ascii="宋体" w:hAnsi="宋体" w:eastAsia="宋体" w:cs="宋体"/>
          <w:bCs/>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bCs/>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szCs w:val="24"/>
          <w:highlight w:val="none"/>
          <w14:textFill>
            <w14:solidFill>
              <w14:schemeClr w14:val="tx1"/>
            </w14:solidFill>
          </w14:textFill>
        </w:rPr>
        <w:t>或委托代理人参加磋商。</w:t>
      </w:r>
    </w:p>
    <w:p w14:paraId="05705AB4">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color w:val="000000" w:themeColor="text1"/>
          <w:sz w:val="24"/>
          <w:szCs w:val="24"/>
          <w:highlight w:val="none"/>
          <w14:textFill>
            <w14:solidFill>
              <w14:schemeClr w14:val="tx1"/>
            </w14:solidFill>
          </w14:textFill>
        </w:rPr>
        <w:t>.实质性响应</w:t>
      </w:r>
    </w:p>
    <w:p w14:paraId="1761A41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.1实质性响应是指响应文件(包括首次响应文件、重新提交的响应文件)与磋商文件要求</w:t>
      </w:r>
      <w:r>
        <w:rPr>
          <w:rFonts w:hint="eastAsia" w:ascii="宋体" w:hAnsi="宋体" w:eastAsia="宋体" w:cs="宋体"/>
          <w:color w:val="000000" w:themeColor="text1"/>
          <w:sz w:val="24"/>
          <w:szCs w:val="24"/>
          <w:highlight w:val="none"/>
          <w:lang w:val="en-US" w:eastAsia="zh-CN"/>
          <w14:textFill>
            <w14:solidFill>
              <w14:schemeClr w14:val="tx1"/>
            </w14:solidFill>
          </w14:textFill>
        </w:rPr>
        <w:t>表明的“★”</w:t>
      </w:r>
      <w:r>
        <w:rPr>
          <w:rFonts w:hint="eastAsia" w:ascii="宋体" w:hAnsi="宋体" w:eastAsia="宋体" w:cs="宋体"/>
          <w:color w:val="000000" w:themeColor="text1"/>
          <w:sz w:val="24"/>
          <w:szCs w:val="24"/>
          <w:highlight w:val="none"/>
          <w14:textFill>
            <w14:solidFill>
              <w14:schemeClr w14:val="tx1"/>
            </w14:solidFill>
          </w14:textFill>
        </w:rPr>
        <w:t>条款、条件和规格相符，没有偏离。偏离指不满足、或不响应磋商文件的要求。</w:t>
      </w:r>
    </w:p>
    <w:p w14:paraId="1AEB803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.2响应文件是否实质性响应磋商文件要求由磋商小组依据磋商文件规定认定。磋商小组决定响应文件的响应性只根据响应文件本身的真实无误的内容，而不依据外部的证据。</w:t>
      </w:r>
    </w:p>
    <w:p w14:paraId="68B6B044">
      <w:pPr>
        <w:pStyle w:val="15"/>
        <w:keepNext w:val="0"/>
        <w:keepLines w:val="0"/>
        <w:pageBreakBefore w:val="0"/>
        <w:kinsoku/>
        <w:overflowPunct/>
        <w:topLinePunct w:val="0"/>
        <w:autoSpaceDE/>
        <w:autoSpaceDN/>
        <w:bidi w:val="0"/>
        <w:adjustRightInd w:val="0"/>
        <w:snapToGrid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7</w:t>
      </w:r>
      <w:r>
        <w:rPr>
          <w:rFonts w:hint="eastAsia" w:ascii="宋体" w:hAnsi="宋体" w:eastAsia="宋体" w:cs="宋体"/>
          <w:b/>
          <w:color w:val="000000" w:themeColor="text1"/>
          <w:sz w:val="24"/>
          <w:szCs w:val="24"/>
          <w:highlight w:val="none"/>
          <w14:textFill>
            <w14:solidFill>
              <w14:schemeClr w14:val="tx1"/>
            </w14:solidFill>
          </w14:textFill>
        </w:rPr>
        <w:t>.无效响应</w:t>
      </w:r>
    </w:p>
    <w:p w14:paraId="5672711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27</w:t>
      </w:r>
      <w:r>
        <w:rPr>
          <w:rFonts w:hint="eastAsia" w:ascii="宋体" w:hAnsi="宋体" w:eastAsia="宋体" w:cs="宋体"/>
          <w:color w:val="000000" w:themeColor="text1"/>
          <w:sz w:val="24"/>
          <w:szCs w:val="24"/>
          <w:highlight w:val="none"/>
          <w14:textFill>
            <w14:solidFill>
              <w14:schemeClr w14:val="tx1"/>
            </w14:solidFill>
          </w14:textFill>
        </w:rPr>
        <w:t>.1磋商小组在对资格性和符合性进行审查时，有下列情况之一的，属无效响应，磋商小组应当告知有关供应商：</w:t>
      </w:r>
    </w:p>
    <w:p w14:paraId="74FB58EA">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（1）供应商不具备本章第3.1款规定的供应商资格条件要求，或存在本章第3.3款情形的；</w:t>
      </w:r>
    </w:p>
    <w:p w14:paraId="32FBE16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（2）联合体不符合本章第3.2款规定的；</w:t>
      </w:r>
    </w:p>
    <w:p w14:paraId="1327DF6D">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（3）应交未交磋商保证金或金额不足、磋商保证金缴纳形式不符合磋商文件要求的；</w:t>
      </w:r>
    </w:p>
    <w:p w14:paraId="718FA53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（4）响应文件未按照磋商文件要求签署、盖章的；</w:t>
      </w:r>
    </w:p>
    <w:p w14:paraId="4BD8103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（4）响应文件不满足本章第2</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.1款规定的实质性要求的；</w:t>
      </w:r>
    </w:p>
    <w:p w14:paraId="3B8DEBF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（5）报价超过采购项目预算的；</w:t>
      </w:r>
    </w:p>
    <w:p w14:paraId="522F7125">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（6）响应文件有效期不足的；</w:t>
      </w:r>
    </w:p>
    <w:p w14:paraId="6712A5D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（7）响应文件不符合法律、规章、规范性文件和磋商文件规定及要求的。</w:t>
      </w:r>
    </w:p>
    <w:p w14:paraId="54F369E7">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
          <w:color w:val="000000" w:themeColor="text1"/>
          <w:sz w:val="24"/>
          <w:szCs w:val="24"/>
          <w:highlight w:val="none"/>
          <w14:textFill>
            <w14:solidFill>
              <w14:schemeClr w14:val="tx1"/>
            </w14:solidFill>
          </w14:textFill>
        </w:rPr>
        <w:t>.澄清</w:t>
      </w:r>
    </w:p>
    <w:p w14:paraId="09B11C6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.1 磋商小组在对响应文件(包括首次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或其委托代理人签字，供应商的澄清、说明或者更正不得超出磋商文件的范围或者改变响应文件的实质性内容。</w:t>
      </w:r>
    </w:p>
    <w:p w14:paraId="21C41FF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A2179B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磋商的供应商平等的磋商机会。供应商应派其法定代表人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或委托代理人参加磋商。</w:t>
      </w:r>
    </w:p>
    <w:p w14:paraId="31100C61">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b/>
          <w:color w:val="000000" w:themeColor="text1"/>
          <w:sz w:val="24"/>
          <w:szCs w:val="24"/>
          <w:highlight w:val="none"/>
          <w14:textFill>
            <w14:solidFill>
              <w14:schemeClr w14:val="tx1"/>
            </w14:solidFill>
          </w14:textFill>
        </w:rPr>
        <w:t>.磋商</w:t>
      </w:r>
    </w:p>
    <w:p w14:paraId="1D76386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对于本章第10.3项未明确磋商文件实质性变动内容，或者磋商文件明确了可能发生实质性变动内容，但在磋商过程中，磋商小组根据磋商情况认为磋商文件无需发生实质性变动的，磋商小组应当直接与实质性响应磋商文件要求的供应商就价格组织多轮磋商。</w:t>
      </w:r>
    </w:p>
    <w:p w14:paraId="39CA03E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（1）磋商结束后，磋商小组应当要求所有继续参加磋商的供应商在磋商小组规定时间内提交最后报价。</w:t>
      </w:r>
    </w:p>
    <w:p w14:paraId="7D204BC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（2）磋商文件明确可能发生实质性变动，但在磋商过程中磋商小组根据磋商情况认为磋商文件无需发生实质性变动的，磋商小组不另行通知。</w:t>
      </w:r>
    </w:p>
    <w:p w14:paraId="164AFD8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2对于本章第10.3款明确磋商文件实质性变动内容，且在磋商过程中磋商文件实质性内容发生变动的，磋商小组可以组织多轮磋商。在每一轮磋商中，磋商小组可以根据磋商文件规定和磋商情况，对磋商文件的采购需求中的技术、服务要求以及合同草案条款作实质性变动(磋商文件的实质性变动内容为磋商文件的组成部分)，并以书面形式要求符合性审查合格的供应商，在规定的截止时间前重新提交响应文件。磋商小组应当根据本章第2</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.2款规定对供应商重新提交的响应文件进行符合性审查。供应商重新提交的响应文件未通过符合性审查的，不得进入下一轮磋商，也不得要求提交最后报价。</w:t>
      </w:r>
    </w:p>
    <w:p w14:paraId="388DA1D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（1）磋商文件能够详细列明采购需求的技术、服务要求的，磋商结束后，磋商小组应当要求所有继续参加磋商的供应商在规定时间内提交最后报价。</w:t>
      </w:r>
    </w:p>
    <w:p w14:paraId="0D759B2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A4503A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.3 重新提交的响应文件或者最后报价应按本章第21.3款规定，由</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供应商线上</w:t>
      </w:r>
      <w:r>
        <w:rPr>
          <w:rFonts w:hint="eastAsia" w:ascii="宋体" w:hAnsi="宋体" w:eastAsia="宋体" w:cs="宋体"/>
          <w:color w:val="000000" w:themeColor="text1"/>
          <w:sz w:val="24"/>
          <w:szCs w:val="24"/>
          <w:highlight w:val="none"/>
          <w14:textFill>
            <w14:solidFill>
              <w14:schemeClr w14:val="tx1"/>
            </w14:solidFill>
          </w14:textFill>
        </w:rPr>
        <w:t>递交给磋商小组。</w:t>
      </w:r>
    </w:p>
    <w:p w14:paraId="4FA737B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.4提交首次响应文件的供应商，在提交最后报价之前，可以根据磋商情况退出磋商，并书面通知采购代理机构或者磋商小组。该通知由供应商法定代表人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或其委托代理人签字。采购代理机构按本章第19.4款规定退还退出磋商的供应商的保证金。</w:t>
      </w:r>
    </w:p>
    <w:p w14:paraId="2EF5C76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提交首次响应文件的供应商，未按磋商文件规定及磋商小组要求提交最后报价(或者重新提交的响应文件和最后报价)，且又未按本章第</w:t>
      </w: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款规定退出磋商的，供应商的保证金不予退还。</w:t>
      </w:r>
    </w:p>
    <w:p w14:paraId="198C9F96">
      <w:pPr>
        <w:keepNext w:val="0"/>
        <w:keepLines w:val="0"/>
        <w:pageBreakBefore w:val="0"/>
        <w:widowControl/>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0</w:t>
      </w:r>
      <w:r>
        <w:rPr>
          <w:rFonts w:hint="eastAsia" w:ascii="宋体" w:hAnsi="宋体" w:eastAsia="宋体" w:cs="宋体"/>
          <w:b/>
          <w:color w:val="000000" w:themeColor="text1"/>
          <w:sz w:val="24"/>
          <w:szCs w:val="24"/>
          <w:highlight w:val="none"/>
          <w14:textFill>
            <w14:solidFill>
              <w14:schemeClr w14:val="tx1"/>
            </w14:solidFill>
          </w14:textFill>
        </w:rPr>
        <w:t>.响应文件评审</w:t>
      </w:r>
    </w:p>
    <w:p w14:paraId="18F906B8">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.1经磋商确定最终采购需求和提交最后报价的供应商后，由磋商小组采用综合评分法对提交最后报价的供应商的响应文件和最后报价进行综合评价。</w:t>
      </w:r>
    </w:p>
    <w:p w14:paraId="7EB9113B">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p>
    <w:p w14:paraId="26002678">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.3最后报价调整。磋商小组以各供应商最后报价为基础，按照符合政府采购支持</w:t>
      </w:r>
      <w:r>
        <w:rPr>
          <w:rFonts w:hint="eastAsia" w:ascii="宋体" w:hAnsi="宋体" w:eastAsia="宋体" w:cs="宋体"/>
          <w:color w:val="000000" w:themeColor="text1"/>
          <w:sz w:val="24"/>
          <w:szCs w:val="24"/>
          <w:highlight w:val="none"/>
          <w:lang w:val="en-US" w:eastAsia="zh-CN"/>
          <w14:textFill>
            <w14:solidFill>
              <w14:schemeClr w14:val="tx1"/>
            </w14:solidFill>
          </w14:textFill>
        </w:rPr>
        <w:t>中</w:t>
      </w:r>
      <w:r>
        <w:rPr>
          <w:rFonts w:hint="eastAsia" w:ascii="宋体" w:hAnsi="宋体" w:eastAsia="宋体" w:cs="宋体"/>
          <w:color w:val="000000" w:themeColor="text1"/>
          <w:sz w:val="24"/>
          <w:szCs w:val="24"/>
          <w:highlight w:val="none"/>
          <w14:textFill>
            <w14:solidFill>
              <w14:schemeClr w14:val="tx1"/>
            </w14:solidFill>
          </w14:textFill>
        </w:rPr>
        <w:t>小企业发展的相应条件，对供应商的最后报价进行价格扣除，用扣除后的最后报价计算价格得分，具体价格扣除比例见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7D4BF9F4">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.4综合评分法中的价格分采用低价优先法计算，即满足磋商文件要求且经调整后的最后报价最低的供应商的价格为磋商基准价，其价格分为满分。其他供应商的价格分按照下列公式计算：</w:t>
      </w:r>
    </w:p>
    <w:p w14:paraId="65A2E92B">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磋商报价得分＝(磋商基准价／最后磋商报价)×价格</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分值</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155664C7">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项目评审过程中，不得去掉最后报价中的最高报价和最低报价。</w:t>
      </w:r>
    </w:p>
    <w:p w14:paraId="58D82F9E">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.5涉及政府采购政策优惠对供应商分值进行调整的，按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规定调整供应商的技术、商务、价格得分或总得分。</w:t>
      </w:r>
    </w:p>
    <w:p w14:paraId="53BF3616">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.6涉及多处或部分获得政府采购政策优惠的，其多处或部分享受政府采购优惠政策的计算方法见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相关规定。</w:t>
      </w:r>
    </w:p>
    <w:p w14:paraId="1F7845D3">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.7评审时，磋商小组各成员应当独立对每个供应商的响应文件进行评价、评分，并按照政府采购优惠政策对最后报价进行价格扣除和技术、商务、价格加分后，汇总各供应商的总得分。</w:t>
      </w:r>
    </w:p>
    <w:p w14:paraId="3840EB51">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sz w:val="24"/>
          <w:szCs w:val="24"/>
          <w:highlight w:val="none"/>
          <w14:textFill>
            <w14:solidFill>
              <w14:schemeClr w14:val="tx1"/>
            </w14:solidFill>
          </w14:textFill>
        </w:rPr>
        <w:t>.提出成交供应商</w:t>
      </w:r>
    </w:p>
    <w:p w14:paraId="2592D023">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.1磋商小组应当根据综合评分情况，按照评审得分由高到低顺序推荐3名以上成交候选供应商，并编写评审报告。评审得分相同的，按照最后报价由低到高的顺序推荐。评审得分且最后报价相同的，按照</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的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486AF217">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color w:val="000000" w:themeColor="text1"/>
          <w:sz w:val="24"/>
          <w:szCs w:val="24"/>
          <w:highlight w:val="none"/>
          <w14:textFill>
            <w14:solidFill>
              <w14:schemeClr w14:val="tx1"/>
            </w14:solidFill>
          </w14:textFill>
        </w:rPr>
        <w:t>.确定成交供应商</w:t>
      </w:r>
    </w:p>
    <w:p w14:paraId="49128A7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.1采购代理机构应当在评审结束后2个工作日内将评审报告送采购人确认。</w:t>
      </w:r>
    </w:p>
    <w:p w14:paraId="2754E32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.2采购人应当在收到评审报告后5个工作日内，从评审报告提出的成交候选人中，根据</w:t>
      </w:r>
      <w:r>
        <w:rPr>
          <w:rFonts w:hint="eastAsia" w:ascii="宋体" w:hAnsi="宋体" w:eastAsia="宋体" w:cs="宋体"/>
          <w:snapToGrid w:val="0"/>
          <w:color w:val="000000" w:themeColor="text1"/>
          <w:kern w:val="0"/>
          <w:sz w:val="24"/>
          <w:szCs w:val="24"/>
          <w:highlight w:val="none"/>
          <w14:textFill>
            <w14:solidFill>
              <w14:schemeClr w14:val="tx1"/>
            </w14:solidFill>
          </w14:textFill>
        </w:rPr>
        <w:t>评审得分最高的供应商为成交候选供应商</w:t>
      </w:r>
      <w:r>
        <w:rPr>
          <w:rFonts w:hint="eastAsia" w:ascii="宋体" w:hAnsi="宋体" w:eastAsia="宋体" w:cs="宋体"/>
          <w:color w:val="000000" w:themeColor="text1"/>
          <w:sz w:val="24"/>
          <w:szCs w:val="24"/>
          <w:highlight w:val="none"/>
          <w14:textFill>
            <w14:solidFill>
              <w14:schemeClr w14:val="tx1"/>
            </w14:solidFill>
          </w14:textFill>
        </w:rPr>
        <w:t>的原则确定成交供应商。</w:t>
      </w:r>
    </w:p>
    <w:p w14:paraId="70E56113">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color w:val="000000" w:themeColor="text1"/>
          <w:sz w:val="24"/>
          <w:szCs w:val="24"/>
          <w:highlight w:val="none"/>
          <w14:textFill>
            <w14:solidFill>
              <w14:schemeClr w14:val="tx1"/>
            </w14:solidFill>
          </w14:textFill>
        </w:rPr>
        <w:t>.磋商终止</w:t>
      </w:r>
    </w:p>
    <w:p w14:paraId="056314B9">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.1出现下列情形之一的，采购人或者采购代理机构应当终止竞争性磋商采购活动，在省级以上财政部门指定的媒体上发布项目终止公告并说明原因，重新开展采购活动： </w:t>
      </w:r>
    </w:p>
    <w:p w14:paraId="0427A4D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因情况变化，不再符合规定的竞争性磋商采购方式适用情形的</w:t>
      </w:r>
      <w:r>
        <w:rPr>
          <w:rFonts w:hint="eastAsia" w:ascii="宋体" w:hAnsi="宋体" w:eastAsia="宋体" w:cs="宋体"/>
          <w:color w:val="000000" w:themeColor="text1"/>
          <w:sz w:val="24"/>
          <w:szCs w:val="24"/>
          <w:highlight w:val="none"/>
          <w14:textFill>
            <w14:solidFill>
              <w14:schemeClr w14:val="tx1"/>
            </w14:solidFill>
          </w14:textFill>
        </w:rPr>
        <w:t>；</w:t>
      </w:r>
    </w:p>
    <w:p w14:paraId="4DFA19C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（2）出现影响采购公正的违法、违规行为的；</w:t>
      </w:r>
    </w:p>
    <w:p w14:paraId="6EFDC80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在采购过程中符合要求的供应商或者报价未超过采购预算的供应商不足3家的</w:t>
      </w:r>
      <w:r>
        <w:rPr>
          <w:rFonts w:hint="eastAsia" w:ascii="宋体" w:hAnsi="宋体" w:eastAsia="宋体" w:cs="宋体"/>
          <w:color w:val="000000" w:themeColor="text1"/>
          <w:sz w:val="24"/>
          <w:szCs w:val="24"/>
          <w:highlight w:val="none"/>
          <w14:textFill>
            <w14:solidFill>
              <w14:schemeClr w14:val="tx1"/>
            </w14:solidFill>
          </w14:textFill>
        </w:rPr>
        <w:t>；</w:t>
      </w:r>
    </w:p>
    <w:p w14:paraId="104F8B4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（4）因重大变故，采购任务取消的。</w:t>
      </w:r>
    </w:p>
    <w:p w14:paraId="54DA7470">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color w:val="000000" w:themeColor="text1"/>
          <w:sz w:val="24"/>
          <w:szCs w:val="24"/>
          <w:highlight w:val="none"/>
          <w14:textFill>
            <w14:solidFill>
              <w14:schemeClr w14:val="tx1"/>
            </w14:solidFill>
          </w14:textFill>
        </w:rPr>
        <w:t>．重新评审</w:t>
      </w:r>
    </w:p>
    <w:p w14:paraId="754FB1D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r>
        <w:rPr>
          <w:rFonts w:hint="eastAsia" w:ascii="宋体" w:hAnsi="宋体" w:eastAsia="宋体" w:cs="宋体"/>
          <w:color w:val="000000" w:themeColor="text1"/>
          <w:sz w:val="24"/>
          <w:szCs w:val="24"/>
          <w:highlight w:val="none"/>
          <w14:textFill>
            <w14:solidFill>
              <w14:schemeClr w14:val="tx1"/>
            </w14:solidFill>
          </w14:textFill>
        </w:rPr>
        <w:t>。</w:t>
      </w:r>
    </w:p>
    <w:p w14:paraId="52D83AE4">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color w:val="000000" w:themeColor="text1"/>
          <w:sz w:val="24"/>
          <w:szCs w:val="24"/>
          <w:highlight w:val="none"/>
          <w14:textFill>
            <w14:solidFill>
              <w14:schemeClr w14:val="tx1"/>
            </w14:solidFill>
          </w14:textFill>
        </w:rPr>
        <w:t>.保密及串通行为</w:t>
      </w:r>
    </w:p>
    <w:p w14:paraId="6163EA5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小组成员以及与评审工作有关的人员不得泄露评审情况以及评审过程中获悉的国家秘密、商业秘密。</w:t>
      </w:r>
    </w:p>
    <w:p w14:paraId="387D4B7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.2供应商不得与采购人、采购代理机构、其他供应商恶意串通；不得向采购人、采购代理机构或者</w:t>
      </w:r>
      <w:r>
        <w:rPr>
          <w:rFonts w:hint="eastAsia" w:ascii="宋体" w:hAnsi="宋体" w:eastAsia="宋体" w:cs="宋体"/>
          <w:snapToGrid w:val="0"/>
          <w:color w:val="000000" w:themeColor="text1"/>
          <w:kern w:val="0"/>
          <w:sz w:val="24"/>
          <w:szCs w:val="24"/>
          <w:highlight w:val="none"/>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小组成员行贿或者提供其他不正当利益；不得提供虚假材料谋取成交；不得以任何方式干扰、影响采购工作。</w:t>
      </w:r>
    </w:p>
    <w:p w14:paraId="51945E6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.3有下列情形之一的，属于恶意串通，成交无效，并依照《政府采购法》第七十七条的规定追究法律责任：</w:t>
      </w:r>
    </w:p>
    <w:p w14:paraId="049853C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（1）供应商直接或者间接从采购人、采购代理机构获得其他供应商的响应情况，并修改其响应文件的；</w:t>
      </w:r>
    </w:p>
    <w:p w14:paraId="2E09C26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（2）采购人、采购代理机构授意供应商撤换、修改响应文件的；</w:t>
      </w:r>
    </w:p>
    <w:p w14:paraId="04150EA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（3）供应商之间协商技术方案、合同条款以及报价等响应文件实质性内容的；</w:t>
      </w:r>
    </w:p>
    <w:p w14:paraId="3F8C8D04">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（4）属于同一集团、协会、商会等组织成员的供应商按照该组织要求协同参加竞争性磋商政府采购活动的；</w:t>
      </w:r>
    </w:p>
    <w:p w14:paraId="57A40E7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（5）供应商之间事先约定由某一特定供应商成交的；</w:t>
      </w:r>
    </w:p>
    <w:p w14:paraId="566984B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（6）供应商之间商定部分供应商放弃提交响应文件或者退出磋商或者放弃成交的；</w:t>
      </w:r>
    </w:p>
    <w:p w14:paraId="2B813B7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（7）供应商与采购人、采购代理机构以及磋商小组成员之间、供应商相互之间，为谋求特定供应商成交或者排斥其他供应商的其他串通行为的。</w:t>
      </w:r>
    </w:p>
    <w:p w14:paraId="5CB3FE6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（8）法律、行政法规或规章规定的其他串通行为。</w:t>
      </w:r>
    </w:p>
    <w:p w14:paraId="0BF5B98D">
      <w:pPr>
        <w:keepNext w:val="0"/>
        <w:keepLines w:val="0"/>
        <w:pageBreakBefore w:val="0"/>
        <w:widowControl w:val="0"/>
        <w:kinsoku/>
        <w:wordWrap/>
        <w:overflowPunct/>
        <w:topLinePunct w:val="0"/>
        <w:autoSpaceDE/>
        <w:autoSpaceDN/>
        <w:bidi w:val="0"/>
        <w:adjustRightInd/>
        <w:snapToGrid/>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6" w:name="_Toc17766"/>
      <w:bookmarkStart w:id="37" w:name="_Toc22417"/>
      <w:bookmarkStart w:id="38" w:name="_Toc20896"/>
      <w:r>
        <w:rPr>
          <w:rFonts w:hint="eastAsia" w:ascii="宋体" w:hAnsi="宋体" w:eastAsia="宋体" w:cs="宋体"/>
          <w:b/>
          <w:bCs/>
          <w:color w:val="000000" w:themeColor="text1"/>
          <w:sz w:val="24"/>
          <w:szCs w:val="24"/>
          <w:highlight w:val="none"/>
          <w14:textFill>
            <w14:solidFill>
              <w14:schemeClr w14:val="tx1"/>
            </w14:solidFill>
          </w14:textFill>
        </w:rPr>
        <w:t>六、成交结果信息公布与授予合同</w:t>
      </w:r>
      <w:bookmarkEnd w:id="36"/>
      <w:bookmarkEnd w:id="37"/>
      <w:bookmarkEnd w:id="38"/>
    </w:p>
    <w:p w14:paraId="5705DD62">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color w:val="000000" w:themeColor="text1"/>
          <w:sz w:val="24"/>
          <w:szCs w:val="24"/>
          <w:highlight w:val="none"/>
          <w14:textFill>
            <w14:solidFill>
              <w14:schemeClr w14:val="tx1"/>
            </w14:solidFill>
          </w14:textFill>
        </w:rPr>
        <w:t>.成交信息的公布</w:t>
      </w:r>
    </w:p>
    <w:p w14:paraId="57E2E9F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.1成交供应商确定后2个工作日内，采购人或者采购代理机构应将成交结果信息在</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指定的媒体上公布。</w:t>
      </w:r>
    </w:p>
    <w:p w14:paraId="2C4027E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7</w:t>
      </w:r>
      <w:r>
        <w:rPr>
          <w:rFonts w:hint="eastAsia" w:ascii="宋体" w:hAnsi="宋体" w:eastAsia="宋体" w:cs="宋体"/>
          <w:b/>
          <w:color w:val="000000" w:themeColor="text1"/>
          <w:sz w:val="24"/>
          <w:szCs w:val="24"/>
          <w:highlight w:val="none"/>
          <w14:textFill>
            <w14:solidFill>
              <w14:schemeClr w14:val="tx1"/>
            </w14:solidFill>
          </w14:textFill>
        </w:rPr>
        <w:t>.询问及质疑</w:t>
      </w:r>
    </w:p>
    <w:p w14:paraId="6013BD0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对政府采购活动事项有疑问的，可以向采购人或者采购代理机构提出询问。采购人或者采购代理机构应在3个工作日内作出答复。</w:t>
      </w:r>
    </w:p>
    <w:p w14:paraId="066E9EA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认为竞争性磋商文件、采购过程和</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结果使自己的权益受到损害的，可以在知道或者应知其权益受到损害之日起7个工作日内，按照</w:t>
      </w:r>
      <w:r>
        <w:rPr>
          <w:rFonts w:hint="eastAsia" w:ascii="宋体" w:hAnsi="宋体" w:eastAsia="宋体" w:cs="宋体"/>
          <w:b w:val="0"/>
          <w:bCs w:val="0"/>
          <w:color w:val="auto"/>
          <w:kern w:val="2"/>
          <w:sz w:val="24"/>
          <w:szCs w:val="24"/>
          <w:highlight w:val="none"/>
          <w:lang w:val="en-US" w:eastAsia="zh-CN" w:bidi="ar-SA"/>
        </w:rPr>
        <w:t>《湖南省财政厅关于印发＜政府采购质疑答复和投诉处理操作规程＞的通知》(湘财购〔2024〕67 号)规定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以纸质书面形式向采购人</w:t>
      </w:r>
      <w:r>
        <w:rPr>
          <w:rFonts w:hint="eastAsia" w:ascii="宋体" w:hAnsi="宋体" w:eastAsia="宋体" w:cs="宋体"/>
          <w:color w:val="auto"/>
          <w:sz w:val="24"/>
          <w:szCs w:val="24"/>
          <w:highlight w:val="none"/>
          <w:lang w:val="en-US" w:eastAsia="zh-CN"/>
        </w:rPr>
        <w:t>和采购代理机构</w:t>
      </w:r>
      <w:r>
        <w:rPr>
          <w:rFonts w:hint="eastAsia" w:ascii="宋体" w:hAnsi="宋体" w:eastAsia="宋体" w:cs="宋体"/>
          <w:color w:val="auto"/>
          <w:sz w:val="24"/>
          <w:szCs w:val="24"/>
          <w:highlight w:val="none"/>
        </w:rPr>
        <w:t>提出质疑。</w:t>
      </w:r>
      <w:r>
        <w:rPr>
          <w:rFonts w:hint="eastAsia" w:ascii="宋体" w:hAnsi="宋体" w:eastAsia="宋体" w:cs="宋体"/>
          <w:color w:val="auto"/>
          <w:sz w:val="24"/>
          <w:szCs w:val="24"/>
          <w:highlight w:val="none"/>
          <w:lang w:eastAsia="zh-CN"/>
        </w:rPr>
        <w:t>投标供应商应当在法定质疑期内一次性提出针对同一采购程序环节的质疑。</w:t>
      </w:r>
    </w:p>
    <w:p w14:paraId="55A0BC5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.3本章第30.2款所称</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应知其权益受到损害之日，是指：</w:t>
      </w:r>
    </w:p>
    <w:p w14:paraId="1A7A323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（1）对可以质疑的竞争性磋商文件提出质疑的，为收到竞争性磋商文件之日或者竞争性磋商公告期限届满之日；</w:t>
      </w:r>
    </w:p>
    <w:p w14:paraId="17E3E97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（2）对采购过程提出质疑的，为各采购程序环节结束之日；</w:t>
      </w:r>
    </w:p>
    <w:p w14:paraId="7C96D9E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结果提出质疑的，为</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结果公告期限届满之日。</w:t>
      </w:r>
    </w:p>
    <w:p w14:paraId="3C78F32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.4本章第30.3款所称“收到竞争性磋商文件之日”，是指：通过电子招标投标交易平台下载</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的，质疑时效期间的起算日期为竞争性磋商公告期限届满之日。</w:t>
      </w:r>
    </w:p>
    <w:p w14:paraId="0683569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提出质疑的，应按照</w:t>
      </w:r>
      <w:r>
        <w:rPr>
          <w:rFonts w:hint="eastAsia" w:ascii="宋体" w:hAnsi="宋体" w:eastAsia="宋体" w:cs="宋体"/>
          <w:b w:val="0"/>
          <w:bCs w:val="0"/>
          <w:color w:val="auto"/>
          <w:kern w:val="2"/>
          <w:sz w:val="24"/>
          <w:szCs w:val="24"/>
          <w:highlight w:val="none"/>
          <w:lang w:val="en-US" w:eastAsia="zh-CN" w:bidi="ar-SA"/>
        </w:rPr>
        <w:t>《湖南省财政厅关于印发＜政府采购质疑答复和投诉处理操作规程＞的通知》(湘财购〔2024〕67 号)</w:t>
      </w:r>
      <w:r>
        <w:rPr>
          <w:rFonts w:hint="eastAsia" w:ascii="宋体" w:hAnsi="宋体" w:eastAsia="宋体" w:cs="宋体"/>
          <w:color w:val="auto"/>
          <w:sz w:val="24"/>
          <w:szCs w:val="24"/>
          <w:highlight w:val="none"/>
        </w:rPr>
        <w:t>规定制作、签署、送达。采购人</w:t>
      </w:r>
      <w:r>
        <w:rPr>
          <w:rFonts w:hint="eastAsia" w:ascii="宋体" w:hAnsi="宋体" w:eastAsia="宋体" w:cs="宋体"/>
          <w:color w:val="auto"/>
          <w:sz w:val="24"/>
          <w:szCs w:val="24"/>
          <w:highlight w:val="none"/>
          <w:lang w:eastAsia="zh-CN"/>
        </w:rPr>
        <w:t>和</w:t>
      </w:r>
      <w:r>
        <w:rPr>
          <w:rFonts w:hint="eastAsia" w:ascii="宋体" w:hAnsi="宋体" w:eastAsia="宋体" w:cs="宋体"/>
          <w:color w:val="auto"/>
          <w:sz w:val="24"/>
          <w:szCs w:val="24"/>
          <w:highlight w:val="none"/>
        </w:rPr>
        <w:t>采购代理机构接收质疑函的联系部门、联系电话和通讯地址见</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磋商须知前附表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。采购人或者采购代理机构不接受电子送达（传真、电子邮件、微信等）。采购人或者采购代理机构应当向质疑供应商签收回执。</w:t>
      </w:r>
    </w:p>
    <w:p w14:paraId="029DE66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.6以联合体形式参加政府采购活动的，联合体组成后提出的质疑事项应当由组成联合体的所有供应商共同提出。</w:t>
      </w:r>
    </w:p>
    <w:p w14:paraId="1C07413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.9采购人或者采购代理机构将在签收回执之日起7个工作日内作出书面答复，并以书面形式通知质疑</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和其他有关的</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w:t>
      </w:r>
    </w:p>
    <w:p w14:paraId="17F6C19C">
      <w:pPr>
        <w:keepNext w:val="0"/>
        <w:keepLines w:val="0"/>
        <w:pageBreakBefore w:val="0"/>
        <w:widowControl w:val="0"/>
        <w:shd w:val="clear" w:color="auto" w:fill="auto"/>
        <w:kinsoku/>
        <w:wordWrap/>
        <w:overflowPunct/>
        <w:topLinePunct w:val="0"/>
        <w:autoSpaceDE/>
        <w:autoSpaceDN/>
        <w:bidi w:val="0"/>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10质疑人对采购人或者采购代理机构的答复不满意，或采购人或者采购代理机构未在规定的期限作出答复的，可在答复期满后15个工作日内，按照《湖南省财政厅关于印发＜政府采购质疑答复和投诉处理操作规程＞的通知》规定向</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同级财政部门提出投诉。</w:t>
      </w:r>
    </w:p>
    <w:p w14:paraId="14D8326F">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
          <w:color w:val="000000" w:themeColor="text1"/>
          <w:sz w:val="24"/>
          <w:szCs w:val="24"/>
          <w:highlight w:val="none"/>
          <w14:textFill>
            <w14:solidFill>
              <w14:schemeClr w14:val="tx1"/>
            </w14:solidFill>
          </w14:textFill>
        </w:rPr>
        <w:t>.成交通知</w:t>
      </w:r>
    </w:p>
    <w:p w14:paraId="22C00BA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.1成交供应商确定后，采购人或采购代理机构将以书面形式向成交供应商发出成交通知书。成交通知书对采购人和成交供应商具有同等法律效力。</w:t>
      </w:r>
    </w:p>
    <w:p w14:paraId="680A0BD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.2 成交通知书是合同文件的组成部分。</w:t>
      </w:r>
    </w:p>
    <w:p w14:paraId="3531051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.3 磋商文件要求成交供应商向采购人提交履约担保的，成交供应商应按照</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的规定提交。联合体成交的，履约担保由联合体各方或联合体中牵头人的名义提交。</w:t>
      </w:r>
    </w:p>
    <w:p w14:paraId="6E7C5191">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.4 成交供应商没有按照本章第3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.3款规定提交履约担保的，视为放弃成交资格，其保证金不予退还。</w:t>
      </w:r>
    </w:p>
    <w:p w14:paraId="04DB43C3">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b/>
          <w:color w:val="000000" w:themeColor="text1"/>
          <w:sz w:val="24"/>
          <w:szCs w:val="24"/>
          <w:highlight w:val="none"/>
          <w14:textFill>
            <w14:solidFill>
              <w14:schemeClr w14:val="tx1"/>
            </w14:solidFill>
          </w14:textFill>
        </w:rPr>
        <w:t>.签订合同</w:t>
      </w:r>
    </w:p>
    <w:p w14:paraId="7E28CEE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color w:val="000000" w:themeColor="text1"/>
          <w:sz w:val="24"/>
          <w:szCs w:val="24"/>
          <w:highlight w:val="none"/>
          <w14:textFill>
            <w14:solidFill>
              <w14:schemeClr w14:val="tx1"/>
            </w14:solidFill>
          </w14:textFill>
        </w:rPr>
        <w:t>.1 磋商文件、成交供应商的响应文件及其补充的响应文件等均为签订政府采购合同的依据。</w:t>
      </w:r>
    </w:p>
    <w:p w14:paraId="12354B7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color w:val="000000" w:themeColor="text1"/>
          <w:sz w:val="24"/>
          <w:szCs w:val="24"/>
          <w:highlight w:val="none"/>
          <w14:textFill>
            <w14:solidFill>
              <w14:schemeClr w14:val="tx1"/>
            </w14:solidFill>
          </w14:textFill>
        </w:rPr>
        <w:t>.2 成交供应商应当在成交通知书发出之日起30日内与采购人签订政府采购合同。</w:t>
      </w:r>
    </w:p>
    <w:p w14:paraId="2243333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b/>
          <w:bCs/>
          <w:color w:val="000000" w:themeColor="text1"/>
          <w:sz w:val="24"/>
          <w:szCs w:val="24"/>
          <w:highlight w:val="none"/>
          <w14:textFill>
            <w14:solidFill>
              <w14:schemeClr w14:val="tx1"/>
            </w14:solidFill>
          </w14:textFill>
        </w:rPr>
        <w:t>.3 成交供应商应当按照合同约定履行义务。成交供应商不得向他人转让成交项目，也不得将成交项目分包后分别向他人转让。</w:t>
      </w:r>
    </w:p>
    <w:p w14:paraId="0170E91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color w:val="000000" w:themeColor="text1"/>
          <w:sz w:val="24"/>
          <w:szCs w:val="24"/>
          <w:highlight w:val="none"/>
          <w14:textFill>
            <w14:solidFill>
              <w14:schemeClr w14:val="tx1"/>
            </w14:solidFill>
          </w14:textFill>
        </w:rPr>
        <w:t>.4 成交供应商有下列情形之一的，责令限期改正，情节严重的，列入不良行为记录名单，在1至3年内禁止参加政府采购活动，并予以通报：</w:t>
      </w:r>
    </w:p>
    <w:p w14:paraId="7B8D461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（一）成交后无正当理由不与采购人签订合同的；</w:t>
      </w:r>
    </w:p>
    <w:p w14:paraId="6DA6125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（二）未按照磋商文件确定的事项签订政府采购合同，或者与采购人另行订立背离合同实质性内容的协议的；</w:t>
      </w:r>
    </w:p>
    <w:p w14:paraId="4E5B8B5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（三）拒绝履行合同义务的；</w:t>
      </w:r>
    </w:p>
    <w:p w14:paraId="41F8CA0C">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（四）违反法律、规章、规范性文件规定的。</w:t>
      </w:r>
    </w:p>
    <w:p w14:paraId="44651AA1">
      <w:pPr>
        <w:keepNext w:val="0"/>
        <w:keepLines w:val="0"/>
        <w:pageBreakBefore w:val="0"/>
        <w:widowControl w:val="0"/>
        <w:kinsoku/>
        <w:wordWrap/>
        <w:overflowPunct/>
        <w:topLinePunct w:val="0"/>
        <w:autoSpaceDE/>
        <w:autoSpaceDN/>
        <w:bidi w:val="0"/>
        <w:adjustRightInd/>
        <w:snapToGrid/>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9" w:name="_Toc5969"/>
      <w:bookmarkStart w:id="40" w:name="_Toc14517"/>
      <w:bookmarkStart w:id="41" w:name="_Toc15776"/>
      <w:r>
        <w:rPr>
          <w:rFonts w:hint="eastAsia" w:ascii="宋体" w:hAnsi="宋体" w:eastAsia="宋体" w:cs="宋体"/>
          <w:b/>
          <w:bCs/>
          <w:color w:val="000000" w:themeColor="text1"/>
          <w:sz w:val="24"/>
          <w:szCs w:val="24"/>
          <w:highlight w:val="none"/>
          <w14:textFill>
            <w14:solidFill>
              <w14:schemeClr w14:val="tx1"/>
            </w14:solidFill>
          </w14:textFill>
        </w:rPr>
        <w:t>七、其他规定</w:t>
      </w:r>
      <w:bookmarkEnd w:id="39"/>
      <w:bookmarkEnd w:id="40"/>
      <w:bookmarkEnd w:id="41"/>
    </w:p>
    <w:p w14:paraId="49CFE4BF">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4</w:t>
      </w:r>
      <w:r>
        <w:rPr>
          <w:rFonts w:hint="eastAsia" w:ascii="宋体" w:hAnsi="宋体" w:eastAsia="宋体" w:cs="宋体"/>
          <w:b/>
          <w:color w:val="000000" w:themeColor="text1"/>
          <w:sz w:val="24"/>
          <w:szCs w:val="24"/>
          <w:highlight w:val="none"/>
          <w:lang w:val="en-US" w:eastAsia="zh-CN"/>
          <w14:textFill>
            <w14:solidFill>
              <w14:schemeClr w14:val="tx1"/>
            </w14:solidFill>
          </w14:textFill>
        </w:rPr>
        <w:t>0</w:t>
      </w:r>
      <w:r>
        <w:rPr>
          <w:rFonts w:hint="eastAsia" w:ascii="宋体" w:hAnsi="宋体" w:eastAsia="宋体" w:cs="宋体"/>
          <w:b/>
          <w:color w:val="000000" w:themeColor="text1"/>
          <w:sz w:val="24"/>
          <w:szCs w:val="24"/>
          <w:highlight w:val="none"/>
          <w14:textFill>
            <w14:solidFill>
              <w14:schemeClr w14:val="tx1"/>
            </w14:solidFill>
          </w14:textFill>
        </w:rPr>
        <w:t>.采购代理服务费</w:t>
      </w:r>
    </w:p>
    <w:p w14:paraId="6CD6196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.1采购代理服务费由成交供应商支付的，供应商应按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规定向采购代理机构交纳代理服务费。</w:t>
      </w:r>
    </w:p>
    <w:p w14:paraId="346FD12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4</w:t>
      </w:r>
      <w:r>
        <w:rPr>
          <w:rFonts w:hint="eastAsia" w:ascii="宋体" w:hAnsi="宋体" w:eastAsia="宋体" w:cs="宋体"/>
          <w:b/>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sz w:val="24"/>
          <w:szCs w:val="24"/>
          <w:highlight w:val="none"/>
          <w14:textFill>
            <w14:solidFill>
              <w14:schemeClr w14:val="tx1"/>
            </w14:solidFill>
          </w14:textFill>
        </w:rPr>
        <w:t>.其他规定</w:t>
      </w:r>
    </w:p>
    <w:p w14:paraId="6D674AA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.1磋商文件的其他规定见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6BBB5BB1">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 涉嫌围标、串标情形</w:t>
      </w:r>
      <w:r>
        <w:rPr>
          <w:rFonts w:hint="eastAsia" w:ascii="宋体" w:hAnsi="宋体" w:eastAsia="宋体" w:cs="宋体"/>
          <w:color w:val="000000" w:themeColor="text1"/>
          <w:sz w:val="24"/>
          <w:szCs w:val="24"/>
          <w:highlight w:val="none"/>
          <w14:textFill>
            <w14:solidFill>
              <w14:schemeClr w14:val="tx1"/>
            </w14:solidFill>
          </w14:textFill>
        </w:rPr>
        <w:t>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p>
    <w:p w14:paraId="278A1141">
      <w:pP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p>
    <w:bookmarkEnd w:id="19"/>
    <w:bookmarkEnd w:id="20"/>
    <w:p w14:paraId="53DF56C8">
      <w:pPr>
        <w:pStyle w:val="4"/>
        <w:rPr>
          <w:rFonts w:hint="eastAsia" w:ascii="宋体" w:hAnsi="宋体" w:eastAsia="宋体" w:cs="宋体"/>
          <w:color w:val="000000" w:themeColor="text1"/>
          <w:sz w:val="28"/>
          <w:szCs w:val="28"/>
          <w:highlight w:val="none"/>
          <w14:textFill>
            <w14:solidFill>
              <w14:schemeClr w14:val="tx1"/>
            </w14:solidFill>
          </w14:textFill>
        </w:rPr>
      </w:pPr>
      <w:bookmarkStart w:id="42" w:name="_Toc27412"/>
      <w:bookmarkStart w:id="43" w:name="_Toc28719"/>
      <w:bookmarkStart w:id="44" w:name="_Toc23885"/>
      <w:bookmarkStart w:id="45" w:name="_Toc15067"/>
      <w:bookmarkStart w:id="46" w:name="_Toc26203"/>
      <w:bookmarkStart w:id="47" w:name="_Toc29479"/>
      <w:bookmarkStart w:id="48" w:name="_Toc2600"/>
      <w:bookmarkStart w:id="49" w:name="_Toc6520"/>
      <w:bookmarkStart w:id="50" w:name="_Toc10409"/>
      <w:bookmarkStart w:id="51" w:name="_Toc16816"/>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附页1 </w:t>
      </w:r>
      <w:r>
        <w:rPr>
          <w:rFonts w:hint="eastAsia" w:ascii="宋体" w:hAnsi="宋体" w:eastAsia="宋体" w:cs="宋体"/>
          <w:color w:val="000000" w:themeColor="text1"/>
          <w:sz w:val="28"/>
          <w:szCs w:val="28"/>
          <w:highlight w:val="none"/>
          <w14:textFill>
            <w14:solidFill>
              <w14:schemeClr w14:val="tx1"/>
            </w14:solidFill>
          </w14:textFill>
        </w:rPr>
        <w:t>资格性审查表</w:t>
      </w:r>
      <w:bookmarkEnd w:id="42"/>
      <w:bookmarkEnd w:id="43"/>
      <w:bookmarkEnd w:id="44"/>
    </w:p>
    <w:p w14:paraId="73C3A091">
      <w:pPr>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资格性审查表</w:t>
      </w:r>
    </w:p>
    <w:p w14:paraId="5CADD880">
      <w:pPr>
        <w:adjustRightInd w:val="0"/>
        <w:snapToGrid w:val="0"/>
        <w:spacing w:before="156" w:beforeLines="50"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采购</w:t>
      </w:r>
      <w:r>
        <w:rPr>
          <w:rFonts w:hint="eastAsia" w:ascii="宋体" w:hAnsi="宋体" w:eastAsia="宋体" w:cs="宋体"/>
          <w:color w:val="000000" w:themeColor="text1"/>
          <w:szCs w:val="21"/>
          <w:highlight w:val="none"/>
          <w14:textFill>
            <w14:solidFill>
              <w14:schemeClr w14:val="tx1"/>
            </w14:solidFill>
          </w14:textFill>
        </w:rPr>
        <w:t xml:space="preserve">项目名称：                                           采购代理编号：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863"/>
        <w:gridCol w:w="5713"/>
      </w:tblGrid>
      <w:tr w14:paraId="2C50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1F18E774">
            <w:pPr>
              <w:keepNext w:val="0"/>
              <w:keepLines w:val="0"/>
              <w:pageBreakBefore w:val="0"/>
              <w:widowControl/>
              <w:kinsoku/>
              <w:wordWrap/>
              <w:overflowPunct/>
              <w:topLinePunct w:val="0"/>
              <w:autoSpaceDE/>
              <w:autoSpaceDN/>
              <w:bidi w:val="0"/>
              <w:adjustRightInd/>
              <w:snapToGrid/>
              <w:spacing w:line="400" w:lineRule="exact"/>
              <w:ind w:left="0" w:right="0" w:firstLine="0"/>
              <w:jc w:val="center"/>
              <w:textAlignment w:val="auto"/>
              <w:rPr>
                <w:rFonts w:hint="eastAsia" w:ascii="宋体" w:hAnsi="宋体" w:eastAsia="宋体" w:cs="宋体"/>
                <w:color w:val="auto"/>
                <w:spacing w:val="0"/>
                <w:sz w:val="24"/>
                <w:szCs w:val="24"/>
                <w:highlight w:val="none"/>
                <w:vertAlign w:val="baseline"/>
              </w:rPr>
            </w:pPr>
            <w:bookmarkStart w:id="52" w:name="_Toc29200"/>
            <w:bookmarkStart w:id="53" w:name="_Toc15415"/>
            <w:r>
              <w:rPr>
                <w:rFonts w:hint="eastAsia" w:ascii="宋体" w:hAnsi="宋体" w:eastAsia="宋体" w:cs="宋体"/>
                <w:color w:val="auto"/>
                <w:spacing w:val="0"/>
                <w:sz w:val="24"/>
                <w:szCs w:val="24"/>
                <w:highlight w:val="none"/>
              </w:rPr>
              <w:t>序号</w:t>
            </w:r>
          </w:p>
        </w:tc>
        <w:tc>
          <w:tcPr>
            <w:tcW w:w="2863" w:type="dxa"/>
            <w:noWrap w:val="0"/>
            <w:vAlign w:val="center"/>
          </w:tcPr>
          <w:p w14:paraId="43173008">
            <w:pPr>
              <w:keepNext w:val="0"/>
              <w:keepLines w:val="0"/>
              <w:pageBreakBefore w:val="0"/>
              <w:widowControl/>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审查项目</w:t>
            </w:r>
          </w:p>
        </w:tc>
        <w:tc>
          <w:tcPr>
            <w:tcW w:w="5713" w:type="dxa"/>
            <w:noWrap w:val="0"/>
            <w:vAlign w:val="center"/>
          </w:tcPr>
          <w:p w14:paraId="2E0865FB">
            <w:pPr>
              <w:keepNext w:val="0"/>
              <w:keepLines w:val="0"/>
              <w:pageBreakBefore w:val="0"/>
              <w:widowControl/>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审查标准</w:t>
            </w:r>
          </w:p>
        </w:tc>
      </w:tr>
      <w:tr w14:paraId="0531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1DC9E88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1</w:t>
            </w:r>
          </w:p>
        </w:tc>
        <w:tc>
          <w:tcPr>
            <w:tcW w:w="2863" w:type="dxa"/>
            <w:noWrap w:val="0"/>
            <w:vAlign w:val="center"/>
          </w:tcPr>
          <w:p w14:paraId="04BFC93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法定代表人（单位负责人）身份证明/法定代表人（单位负责人）授权委托书</w:t>
            </w:r>
          </w:p>
        </w:tc>
        <w:tc>
          <w:tcPr>
            <w:tcW w:w="5713" w:type="dxa"/>
            <w:noWrap w:val="0"/>
            <w:vAlign w:val="center"/>
          </w:tcPr>
          <w:p w14:paraId="5BCAD7A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法人参加的，提供法定代表人（单位负责人）的身份证明：授权人参加的，提供法定代表人（单位负责人）授权委托书并附法定代表人（单位负责人）身份证明</w:t>
            </w:r>
          </w:p>
        </w:tc>
      </w:tr>
      <w:tr w14:paraId="32EC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65742D7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2</w:t>
            </w:r>
          </w:p>
        </w:tc>
        <w:tc>
          <w:tcPr>
            <w:tcW w:w="2863" w:type="dxa"/>
            <w:noWrap w:val="0"/>
            <w:vAlign w:val="center"/>
          </w:tcPr>
          <w:p w14:paraId="09F28B3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首次响应报价</w:t>
            </w:r>
          </w:p>
        </w:tc>
        <w:tc>
          <w:tcPr>
            <w:tcW w:w="5713" w:type="dxa"/>
            <w:noWrap w:val="0"/>
            <w:vAlign w:val="center"/>
          </w:tcPr>
          <w:p w14:paraId="3EB7A1D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首次响应报价未超出和未低于采购预算金额或最高限价</w:t>
            </w:r>
          </w:p>
        </w:tc>
      </w:tr>
      <w:tr w14:paraId="1F98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bottom"/>
          </w:tcPr>
          <w:p w14:paraId="6C064A2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3</w:t>
            </w:r>
          </w:p>
        </w:tc>
        <w:tc>
          <w:tcPr>
            <w:tcW w:w="2863" w:type="dxa"/>
            <w:noWrap w:val="0"/>
            <w:vAlign w:val="center"/>
          </w:tcPr>
          <w:p w14:paraId="31287E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法人或者其他组织的营业执照等主体资格证明文件，自然人的身份证明</w:t>
            </w:r>
          </w:p>
        </w:tc>
        <w:tc>
          <w:tcPr>
            <w:tcW w:w="5713" w:type="dxa"/>
            <w:noWrap w:val="0"/>
            <w:vAlign w:val="center"/>
          </w:tcPr>
          <w:p w14:paraId="613ABC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提供法人或者其他组织的营业执照等主体资格证明文件，自然人的身份证明</w:t>
            </w:r>
          </w:p>
        </w:tc>
      </w:tr>
      <w:tr w14:paraId="3D28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bottom"/>
          </w:tcPr>
          <w:p w14:paraId="4A19926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4</w:t>
            </w:r>
          </w:p>
        </w:tc>
        <w:tc>
          <w:tcPr>
            <w:tcW w:w="2863" w:type="dxa"/>
            <w:noWrap w:val="0"/>
            <w:vAlign w:val="center"/>
          </w:tcPr>
          <w:p w14:paraId="62CC2C3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color w:val="auto"/>
                <w:kern w:val="0"/>
                <w:sz w:val="24"/>
                <w:szCs w:val="24"/>
                <w:highlight w:val="none"/>
                <w:lang w:val="en-US" w:eastAsia="zh-CN" w:bidi="ar-SA"/>
              </w:rPr>
              <w:t>《湖南省政府采购供应商资格承诺函》</w:t>
            </w:r>
            <w:bookmarkStart w:id="180" w:name="_GoBack"/>
            <w:bookmarkEnd w:id="180"/>
          </w:p>
        </w:tc>
        <w:tc>
          <w:tcPr>
            <w:tcW w:w="5713" w:type="dxa"/>
            <w:noWrap w:val="0"/>
            <w:vAlign w:val="center"/>
          </w:tcPr>
          <w:p w14:paraId="6032CC2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color w:val="auto"/>
                <w:kern w:val="0"/>
                <w:sz w:val="24"/>
                <w:szCs w:val="24"/>
                <w:highlight w:val="none"/>
                <w:lang w:val="en-US" w:eastAsia="zh-CN" w:bidi="ar-SA"/>
              </w:rPr>
              <w:t>提供《湖南省政府采购供应商资格承诺函》</w:t>
            </w:r>
          </w:p>
        </w:tc>
      </w:tr>
      <w:tr w14:paraId="78E3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5CC0042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5</w:t>
            </w:r>
          </w:p>
        </w:tc>
        <w:tc>
          <w:tcPr>
            <w:tcW w:w="2863" w:type="dxa"/>
            <w:noWrap w:val="0"/>
            <w:vAlign w:val="center"/>
          </w:tcPr>
          <w:p w14:paraId="0BE4B1D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特定资格条件</w:t>
            </w:r>
          </w:p>
        </w:tc>
        <w:tc>
          <w:tcPr>
            <w:tcW w:w="5713" w:type="dxa"/>
            <w:noWrap w:val="0"/>
            <w:vAlign w:val="center"/>
          </w:tcPr>
          <w:p w14:paraId="19847D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both"/>
              <w:textAlignment w:val="auto"/>
              <w:rPr>
                <w:rFonts w:hint="default"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符合磋商文件要求（如有要求）</w:t>
            </w:r>
          </w:p>
        </w:tc>
      </w:tr>
      <w:tr w14:paraId="20F3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63028E6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6</w:t>
            </w:r>
          </w:p>
        </w:tc>
        <w:tc>
          <w:tcPr>
            <w:tcW w:w="2863" w:type="dxa"/>
            <w:noWrap w:val="0"/>
            <w:vAlign w:val="center"/>
          </w:tcPr>
          <w:p w14:paraId="38C5A7A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信用记录</w:t>
            </w:r>
          </w:p>
        </w:tc>
        <w:tc>
          <w:tcPr>
            <w:tcW w:w="5713" w:type="dxa"/>
            <w:noWrap w:val="0"/>
            <w:vAlign w:val="center"/>
          </w:tcPr>
          <w:p w14:paraId="292B657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Cs/>
                <w:color w:val="auto"/>
                <w:kern w:val="0"/>
                <w:sz w:val="24"/>
                <w:szCs w:val="24"/>
                <w:highlight w:val="none"/>
                <w:lang w:val="en-US" w:eastAsia="zh-CN" w:bidi="ar-SA"/>
              </w:rPr>
              <w:t>提供未被“信用中国”网站列入失信被执行人和重大税收违法案件当事人名单的、未被“中国政府采购网”网站列入政府采购严重违法失信行为记录名单截图证明</w:t>
            </w:r>
          </w:p>
        </w:tc>
      </w:tr>
      <w:tr w14:paraId="0195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707" w:type="dxa"/>
            <w:gridSpan w:val="2"/>
            <w:noWrap w:val="0"/>
            <w:vAlign w:val="top"/>
          </w:tcPr>
          <w:p w14:paraId="1FB92BFD">
            <w:pPr>
              <w:keepNext w:val="0"/>
              <w:keepLines w:val="0"/>
              <w:pageBreakBefore w:val="0"/>
              <w:widowControl/>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pacing w:val="-13"/>
                <w:sz w:val="24"/>
                <w:szCs w:val="24"/>
                <w:highlight w:val="none"/>
                <w:lang w:val="en-US" w:eastAsia="zh-CN"/>
              </w:rPr>
            </w:pPr>
            <w:r>
              <w:rPr>
                <w:rFonts w:hint="eastAsia" w:ascii="宋体" w:hAnsi="宋体" w:eastAsia="宋体" w:cs="宋体"/>
                <w:color w:val="auto"/>
                <w:spacing w:val="-13"/>
                <w:sz w:val="24"/>
                <w:szCs w:val="24"/>
                <w:highlight w:val="none"/>
                <w:lang w:val="en-US" w:eastAsia="zh-CN"/>
              </w:rPr>
              <w:t>结论</w:t>
            </w:r>
          </w:p>
        </w:tc>
        <w:tc>
          <w:tcPr>
            <w:tcW w:w="5713" w:type="dxa"/>
            <w:noWrap w:val="0"/>
            <w:vAlign w:val="top"/>
          </w:tcPr>
          <w:p w14:paraId="5624F216">
            <w:pPr>
              <w:keepNext w:val="0"/>
              <w:keepLines w:val="0"/>
              <w:pageBreakBefore w:val="0"/>
              <w:widowControl/>
              <w:kinsoku/>
              <w:wordWrap/>
              <w:overflowPunct/>
              <w:topLinePunct w:val="0"/>
              <w:autoSpaceDE/>
              <w:autoSpaceDN/>
              <w:bidi w:val="0"/>
              <w:adjustRightInd/>
              <w:snapToGrid/>
              <w:spacing w:line="400" w:lineRule="exact"/>
              <w:ind w:left="0" w:right="0"/>
              <w:jc w:val="left"/>
              <w:textAlignment w:val="auto"/>
              <w:rPr>
                <w:rFonts w:hint="eastAsia" w:ascii="宋体" w:hAnsi="宋体" w:eastAsia="宋体" w:cs="宋体"/>
                <w:color w:val="auto"/>
                <w:spacing w:val="0"/>
                <w:sz w:val="24"/>
                <w:szCs w:val="24"/>
                <w:highlight w:val="none"/>
                <w:vertAlign w:val="baseline"/>
              </w:rPr>
            </w:pPr>
          </w:p>
        </w:tc>
      </w:tr>
    </w:tbl>
    <w:p w14:paraId="25B9460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1.以上内容有一项不合格的，则初步评审的综合评定结果为不合格。</w:t>
      </w:r>
    </w:p>
    <w:p w14:paraId="3A10003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2.结论为“不合格”的供应商不得进入符合性审查程序。</w:t>
      </w:r>
    </w:p>
    <w:p w14:paraId="4CFFBD11">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3C3C9721">
      <w:pPr>
        <w:pStyle w:val="4"/>
        <w:rPr>
          <w:rFonts w:hint="eastAsia" w:ascii="宋体" w:hAnsi="宋体" w:eastAsia="宋体" w:cs="宋体"/>
          <w:color w:val="000000" w:themeColor="text1"/>
          <w:sz w:val="28"/>
          <w:szCs w:val="28"/>
          <w:highlight w:val="none"/>
          <w14:textFill>
            <w14:solidFill>
              <w14:schemeClr w14:val="tx1"/>
            </w14:solidFill>
          </w14:textFill>
        </w:rPr>
      </w:pPr>
      <w:bookmarkStart w:id="54" w:name="_Toc18125"/>
      <w:r>
        <w:rPr>
          <w:rFonts w:hint="eastAsia" w:ascii="宋体" w:hAnsi="宋体" w:eastAsia="宋体" w:cs="宋体"/>
          <w:color w:val="000000" w:themeColor="text1"/>
          <w:sz w:val="28"/>
          <w:szCs w:val="28"/>
          <w:highlight w:val="none"/>
          <w14:textFill>
            <w14:solidFill>
              <w14:schemeClr w14:val="tx1"/>
            </w14:solidFill>
          </w14:textFill>
        </w:rPr>
        <w:t>附页</w:t>
      </w:r>
      <w:r>
        <w:rPr>
          <w:rFonts w:hint="eastAsia" w:ascii="宋体" w:hAnsi="宋体" w:eastAsia="宋体" w:cs="宋体"/>
          <w:color w:val="000000" w:themeColor="text1"/>
          <w:sz w:val="28"/>
          <w:szCs w:val="28"/>
          <w:highlight w:val="none"/>
          <w:lang w:val="en-US"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t xml:space="preserve"> 符合性审查表</w:t>
      </w:r>
      <w:bookmarkEnd w:id="52"/>
      <w:bookmarkEnd w:id="53"/>
      <w:bookmarkEnd w:id="54"/>
    </w:p>
    <w:p w14:paraId="715FB7E7">
      <w:pPr>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符合性审查表</w:t>
      </w:r>
    </w:p>
    <w:p w14:paraId="3D1A915E">
      <w:pPr>
        <w:adjustRightInd w:val="0"/>
        <w:snapToGrid w:val="0"/>
        <w:spacing w:before="156" w:beforeLines="50"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采购</w:t>
      </w:r>
      <w:r>
        <w:rPr>
          <w:rFonts w:hint="eastAsia" w:ascii="宋体" w:hAnsi="宋体" w:eastAsia="宋体" w:cs="宋体"/>
          <w:color w:val="000000" w:themeColor="text1"/>
          <w:szCs w:val="21"/>
          <w:highlight w:val="none"/>
          <w14:textFill>
            <w14:solidFill>
              <w14:schemeClr w14:val="tx1"/>
            </w14:solidFill>
          </w14:textFill>
        </w:rPr>
        <w:t xml:space="preserve">项目名称：                                            </w:t>
      </w:r>
    </w:p>
    <w:p w14:paraId="05DB45BA">
      <w:pPr>
        <w:adjustRightInd w:val="0"/>
        <w:snapToGrid w:val="0"/>
        <w:spacing w:before="156" w:beforeLines="50"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采购代理编号：</w:t>
      </w:r>
    </w:p>
    <w:tbl>
      <w:tblPr>
        <w:tblStyle w:val="26"/>
        <w:tblW w:w="8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900"/>
        <w:gridCol w:w="6186"/>
      </w:tblGrid>
      <w:tr w14:paraId="5DC4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73E226B0">
            <w:pPr>
              <w:keepNext w:val="0"/>
              <w:keepLines w:val="0"/>
              <w:pageBreakBefore w:val="0"/>
              <w:widowControl/>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序号</w:t>
            </w:r>
          </w:p>
        </w:tc>
        <w:tc>
          <w:tcPr>
            <w:tcW w:w="1900" w:type="dxa"/>
            <w:noWrap w:val="0"/>
            <w:vAlign w:val="center"/>
          </w:tcPr>
          <w:p w14:paraId="07539D23">
            <w:pPr>
              <w:keepNext w:val="0"/>
              <w:keepLines w:val="0"/>
              <w:pageBreakBefore w:val="0"/>
              <w:widowControl/>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审查项目</w:t>
            </w:r>
          </w:p>
        </w:tc>
        <w:tc>
          <w:tcPr>
            <w:tcW w:w="6186" w:type="dxa"/>
            <w:noWrap w:val="0"/>
            <w:vAlign w:val="center"/>
          </w:tcPr>
          <w:p w14:paraId="567BF7CA">
            <w:pPr>
              <w:keepNext w:val="0"/>
              <w:keepLines w:val="0"/>
              <w:pageBreakBefore w:val="0"/>
              <w:widowControl/>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审查标准</w:t>
            </w:r>
          </w:p>
        </w:tc>
      </w:tr>
      <w:tr w14:paraId="5675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205CF94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1</w:t>
            </w:r>
          </w:p>
        </w:tc>
        <w:tc>
          <w:tcPr>
            <w:tcW w:w="1900" w:type="dxa"/>
            <w:noWrap w:val="0"/>
            <w:vAlign w:val="center"/>
          </w:tcPr>
          <w:p w14:paraId="3DBFE99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响应文件的签署、盖章</w:t>
            </w:r>
          </w:p>
        </w:tc>
        <w:tc>
          <w:tcPr>
            <w:tcW w:w="6186" w:type="dxa"/>
            <w:noWrap w:val="0"/>
            <w:vAlign w:val="center"/>
          </w:tcPr>
          <w:p w14:paraId="29B608A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响应文件按磋商文件要求进行签署、盖章</w:t>
            </w:r>
          </w:p>
        </w:tc>
      </w:tr>
      <w:tr w14:paraId="76F3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DDCB2D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2</w:t>
            </w:r>
          </w:p>
        </w:tc>
        <w:tc>
          <w:tcPr>
            <w:tcW w:w="1900" w:type="dxa"/>
            <w:noWrap w:val="0"/>
            <w:vAlign w:val="center"/>
          </w:tcPr>
          <w:p w14:paraId="7F4BA96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响应文件有效期</w:t>
            </w:r>
          </w:p>
        </w:tc>
        <w:tc>
          <w:tcPr>
            <w:tcW w:w="6186" w:type="dxa"/>
            <w:noWrap w:val="0"/>
            <w:vAlign w:val="center"/>
          </w:tcPr>
          <w:p w14:paraId="1FC3EE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响应文件有效期满足磋商文件要求</w:t>
            </w:r>
          </w:p>
        </w:tc>
      </w:tr>
      <w:tr w14:paraId="2164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4AE0D4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3</w:t>
            </w:r>
          </w:p>
        </w:tc>
        <w:tc>
          <w:tcPr>
            <w:tcW w:w="1900" w:type="dxa"/>
            <w:noWrap w:val="0"/>
            <w:vAlign w:val="center"/>
          </w:tcPr>
          <w:p w14:paraId="0B2221C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实质性响应</w:t>
            </w:r>
          </w:p>
        </w:tc>
        <w:tc>
          <w:tcPr>
            <w:tcW w:w="6186" w:type="dxa"/>
            <w:noWrap w:val="0"/>
            <w:vAlign w:val="center"/>
          </w:tcPr>
          <w:p w14:paraId="39C8CE3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满足磋商文件的实质性要求和条件</w:t>
            </w:r>
          </w:p>
        </w:tc>
      </w:tr>
      <w:tr w14:paraId="589E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7F449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4</w:t>
            </w:r>
          </w:p>
        </w:tc>
        <w:tc>
          <w:tcPr>
            <w:tcW w:w="1900" w:type="dxa"/>
            <w:noWrap w:val="0"/>
            <w:vAlign w:val="center"/>
          </w:tcPr>
          <w:p w14:paraId="763E383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最后报价</w:t>
            </w:r>
          </w:p>
        </w:tc>
        <w:tc>
          <w:tcPr>
            <w:tcW w:w="6186" w:type="dxa"/>
            <w:noWrap w:val="0"/>
            <w:vAlign w:val="center"/>
          </w:tcPr>
          <w:p w14:paraId="389643F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最后报价未超过和未低于首次/前次报价</w:t>
            </w:r>
          </w:p>
        </w:tc>
      </w:tr>
      <w:tr w14:paraId="27F7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902911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5</w:t>
            </w:r>
          </w:p>
        </w:tc>
        <w:tc>
          <w:tcPr>
            <w:tcW w:w="1900" w:type="dxa"/>
            <w:noWrap w:val="0"/>
            <w:vAlign w:val="center"/>
          </w:tcPr>
          <w:p w14:paraId="6BB0607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附加条件</w:t>
            </w:r>
          </w:p>
        </w:tc>
        <w:tc>
          <w:tcPr>
            <w:tcW w:w="6186" w:type="dxa"/>
            <w:noWrap w:val="0"/>
            <w:vAlign w:val="center"/>
          </w:tcPr>
          <w:p w14:paraId="4D17BF1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响应文件未含有采购人不能接收的附加条件</w:t>
            </w:r>
          </w:p>
        </w:tc>
      </w:tr>
      <w:tr w14:paraId="275F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7D9C702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6</w:t>
            </w:r>
          </w:p>
        </w:tc>
        <w:tc>
          <w:tcPr>
            <w:tcW w:w="1900" w:type="dxa"/>
            <w:noWrap w:val="0"/>
            <w:vAlign w:val="center"/>
          </w:tcPr>
          <w:p w14:paraId="25F05A4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法律法规和磋商文件规定的其他响应无效情形</w:t>
            </w:r>
          </w:p>
        </w:tc>
        <w:tc>
          <w:tcPr>
            <w:tcW w:w="6186" w:type="dxa"/>
            <w:noWrap w:val="0"/>
            <w:vAlign w:val="center"/>
          </w:tcPr>
          <w:p w14:paraId="7CD200A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无法律法规和磋商文件规定的其他响应无效情形</w:t>
            </w:r>
          </w:p>
        </w:tc>
      </w:tr>
      <w:tr w14:paraId="09FE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627" w:type="dxa"/>
            <w:gridSpan w:val="2"/>
            <w:noWrap w:val="0"/>
            <w:vAlign w:val="center"/>
          </w:tcPr>
          <w:p w14:paraId="79F3A5D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结论</w:t>
            </w:r>
          </w:p>
        </w:tc>
        <w:tc>
          <w:tcPr>
            <w:tcW w:w="6186" w:type="dxa"/>
            <w:noWrap w:val="0"/>
            <w:vAlign w:val="top"/>
          </w:tcPr>
          <w:p w14:paraId="05D65E6A">
            <w:pPr>
              <w:keepNext w:val="0"/>
              <w:keepLines w:val="0"/>
              <w:pageBreakBefore w:val="0"/>
              <w:widowControl/>
              <w:kinsoku/>
              <w:wordWrap/>
              <w:overflowPunct/>
              <w:topLinePunct w:val="0"/>
              <w:autoSpaceDE/>
              <w:autoSpaceDN/>
              <w:bidi w:val="0"/>
              <w:adjustRightInd/>
              <w:snapToGrid/>
              <w:spacing w:before="0" w:after="0" w:line="360" w:lineRule="auto"/>
              <w:ind w:left="0" w:right="0" w:firstLine="0"/>
              <w:jc w:val="left"/>
              <w:textAlignment w:val="auto"/>
              <w:rPr>
                <w:rFonts w:hint="eastAsia" w:ascii="宋体" w:hAnsi="宋体" w:eastAsia="宋体" w:cs="宋体"/>
                <w:color w:val="auto"/>
                <w:spacing w:val="3"/>
                <w:sz w:val="24"/>
                <w:szCs w:val="24"/>
                <w:highlight w:val="none"/>
              </w:rPr>
            </w:pPr>
          </w:p>
        </w:tc>
      </w:tr>
    </w:tbl>
    <w:p w14:paraId="5111B55A">
      <w:pPr>
        <w:widowControl/>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.以上内容有一项不合格的，则初步评审的综合评定结果为不合格。</w:t>
      </w:r>
    </w:p>
    <w:p w14:paraId="352B409C">
      <w:pPr>
        <w:widowControl/>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.结论为“不合格”的</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 xml:space="preserve">不得进入实质性评价打分程序。 </w:t>
      </w:r>
    </w:p>
    <w:p w14:paraId="14C57DC7">
      <w:pPr>
        <w:widowControl/>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p>
    <w:p w14:paraId="03239435">
      <w:pPr>
        <w:pStyle w:val="4"/>
        <w:rPr>
          <w:rFonts w:hint="eastAsia" w:ascii="宋体" w:hAnsi="宋体" w:eastAsia="宋体" w:cs="宋体"/>
          <w:color w:val="000000" w:themeColor="text1"/>
          <w:sz w:val="28"/>
          <w:szCs w:val="28"/>
          <w:highlight w:val="none"/>
          <w14:textFill>
            <w14:solidFill>
              <w14:schemeClr w14:val="tx1"/>
            </w14:solidFill>
          </w14:textFill>
        </w:rPr>
      </w:pPr>
      <w:bookmarkStart w:id="55" w:name="_Toc23790"/>
      <w:bookmarkStart w:id="56" w:name="_Toc16604"/>
      <w:bookmarkStart w:id="57" w:name="_Toc7697"/>
      <w:r>
        <w:rPr>
          <w:rFonts w:hint="eastAsia" w:ascii="宋体" w:hAnsi="宋体" w:eastAsia="宋体" w:cs="宋体"/>
          <w:color w:val="000000" w:themeColor="text1"/>
          <w:sz w:val="28"/>
          <w:szCs w:val="28"/>
          <w:highlight w:val="none"/>
          <w14:textFill>
            <w14:solidFill>
              <w14:schemeClr w14:val="tx1"/>
            </w14:solidFill>
          </w14:textFill>
        </w:rPr>
        <w:t>附页</w:t>
      </w:r>
      <w:r>
        <w:rPr>
          <w:rFonts w:hint="eastAsia" w:ascii="宋体" w:hAnsi="宋体" w:eastAsia="宋体" w:cs="宋体"/>
          <w:color w:val="000000" w:themeColor="text1"/>
          <w:sz w:val="28"/>
          <w:szCs w:val="28"/>
          <w:highlight w:val="none"/>
          <w:lang w:val="en-US" w:eastAsia="zh-CN"/>
          <w14:textFill>
            <w14:solidFill>
              <w14:schemeClr w14:val="tx1"/>
            </w14:solidFill>
          </w14:textFill>
        </w:rPr>
        <w:t>3</w:t>
      </w:r>
      <w:r>
        <w:rPr>
          <w:rFonts w:hint="eastAsia" w:ascii="宋体" w:hAnsi="宋体" w:eastAsia="宋体" w:cs="宋体"/>
          <w:color w:val="000000" w:themeColor="text1"/>
          <w:sz w:val="28"/>
          <w:szCs w:val="28"/>
          <w:highlight w:val="none"/>
          <w14:textFill>
            <w14:solidFill>
              <w14:schemeClr w14:val="tx1"/>
            </w14:solidFill>
          </w14:textFill>
        </w:rPr>
        <w:t xml:space="preserve"> 评审因素和标准</w:t>
      </w:r>
      <w:bookmarkEnd w:id="55"/>
      <w:bookmarkEnd w:id="56"/>
      <w:bookmarkEnd w:id="57"/>
    </w:p>
    <w:p w14:paraId="529B306F">
      <w:pPr>
        <w:keepNext w:val="0"/>
        <w:keepLines w:val="0"/>
        <w:pageBreakBefore w:val="0"/>
        <w:kinsoku/>
        <w:wordWrap/>
        <w:overflowPunct/>
        <w:topLinePunct w:val="0"/>
        <w:autoSpaceDE/>
        <w:autoSpaceDN/>
        <w:bidi w:val="0"/>
        <w:adjustRightInd w:val="0"/>
        <w:snapToGrid w:val="0"/>
        <w:spacing w:line="400" w:lineRule="exact"/>
        <w:jc w:val="center"/>
        <w:rPr>
          <w:rFonts w:hint="default" w:ascii="宋体" w:hAnsi="宋体" w:eastAsia="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t>评审因素和标准</w:t>
      </w:r>
      <w:r>
        <w:rPr>
          <w:rFonts w:hint="eastAsia" w:ascii="宋体" w:hAnsi="宋体" w:eastAsia="宋体" w:cs="宋体"/>
          <w:b/>
          <w:bCs/>
          <w:color w:val="000000" w:themeColor="text1"/>
          <w:kern w:val="0"/>
          <w:sz w:val="28"/>
          <w:szCs w:val="28"/>
          <w:highlight w:val="none"/>
          <w:lang w:eastAsia="zh-CN"/>
          <w14:textFill>
            <w14:solidFill>
              <w14:schemeClr w14:val="tx1"/>
            </w14:solidFill>
          </w14:textFill>
        </w:rPr>
        <w:t>（</w:t>
      </w: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t>包1、包2）</w:t>
      </w:r>
    </w:p>
    <w:p w14:paraId="6F7AEB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注：</w:t>
      </w:r>
      <w:r>
        <w:rPr>
          <w:rFonts w:hint="eastAsia" w:ascii="宋体" w:hAnsi="宋体" w:eastAsia="宋体" w:cs="宋体"/>
          <w:color w:val="000000" w:themeColor="text1"/>
          <w:szCs w:val="21"/>
          <w:highlight w:val="none"/>
          <w14:textFill>
            <w14:solidFill>
              <w14:schemeClr w14:val="tx1"/>
            </w14:solidFill>
          </w14:textFill>
        </w:rPr>
        <w:t>满分为100分，由评委根据以下标准对每个有效投标人进行评价、打分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其中技术部分由</w:t>
      </w:r>
      <w:r>
        <w:rPr>
          <w:rFonts w:hint="eastAsia" w:ascii="宋体" w:hAnsi="宋体" w:eastAsia="宋体" w:cs="宋体"/>
          <w:color w:val="000000" w:themeColor="text1"/>
          <w:szCs w:val="21"/>
          <w:highlight w:val="none"/>
          <w14:textFill>
            <w14:solidFill>
              <w14:schemeClr w14:val="tx1"/>
            </w14:solidFill>
          </w14:textFill>
        </w:rPr>
        <w:t>评委根据以下标准对每个有效投标人进行</w:t>
      </w:r>
      <w:r>
        <w:rPr>
          <w:rFonts w:hint="eastAsia" w:ascii="宋体" w:hAnsi="宋体" w:eastAsia="宋体" w:cs="宋体"/>
          <w:color w:val="000000" w:themeColor="text1"/>
          <w:szCs w:val="21"/>
          <w:highlight w:val="none"/>
          <w:lang w:val="en-US" w:eastAsia="zh-CN"/>
          <w14:textFill>
            <w14:solidFill>
              <w14:schemeClr w14:val="tx1"/>
            </w14:solidFill>
          </w14:textFill>
        </w:rPr>
        <w:t>独立</w:t>
      </w:r>
      <w:r>
        <w:rPr>
          <w:rFonts w:hint="eastAsia" w:ascii="宋体" w:hAnsi="宋体" w:eastAsia="宋体" w:cs="宋体"/>
          <w:color w:val="000000" w:themeColor="text1"/>
          <w:szCs w:val="21"/>
          <w:highlight w:val="none"/>
          <w14:textFill>
            <w14:solidFill>
              <w14:schemeClr w14:val="tx1"/>
            </w14:solidFill>
          </w14:textFill>
        </w:rPr>
        <w:t>评价、打分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tbl>
      <w:tblPr>
        <w:tblStyle w:val="26"/>
        <w:tblW w:w="9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078"/>
        <w:gridCol w:w="1150"/>
        <w:gridCol w:w="800"/>
        <w:gridCol w:w="5689"/>
      </w:tblGrid>
      <w:tr w14:paraId="470B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13" w:type="dxa"/>
            <w:vAlign w:val="center"/>
          </w:tcPr>
          <w:p w14:paraId="5050C04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1078" w:type="dxa"/>
            <w:vAlign w:val="center"/>
          </w:tcPr>
          <w:p w14:paraId="36499EA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分类</w:t>
            </w:r>
          </w:p>
        </w:tc>
        <w:tc>
          <w:tcPr>
            <w:tcW w:w="1150" w:type="dxa"/>
            <w:vAlign w:val="center"/>
          </w:tcPr>
          <w:p w14:paraId="541EA90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评审</w:t>
            </w:r>
            <w:r>
              <w:rPr>
                <w:rFonts w:hint="eastAsia" w:ascii="宋体" w:hAnsi="宋体" w:eastAsia="宋体" w:cs="宋体"/>
                <w:b/>
                <w:bCs/>
                <w:color w:val="000000" w:themeColor="text1"/>
                <w:sz w:val="21"/>
                <w:szCs w:val="21"/>
                <w:highlight w:val="none"/>
                <w14:textFill>
                  <w14:solidFill>
                    <w14:schemeClr w14:val="tx1"/>
                  </w14:solidFill>
                </w14:textFill>
              </w:rPr>
              <w:t>因素</w:t>
            </w:r>
          </w:p>
        </w:tc>
        <w:tc>
          <w:tcPr>
            <w:tcW w:w="800" w:type="dxa"/>
            <w:vAlign w:val="center"/>
          </w:tcPr>
          <w:p w14:paraId="3861E7F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分值</w:t>
            </w:r>
          </w:p>
        </w:tc>
        <w:tc>
          <w:tcPr>
            <w:tcW w:w="5689" w:type="dxa"/>
            <w:vAlign w:val="center"/>
          </w:tcPr>
          <w:p w14:paraId="77CCDEE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评分标准</w:t>
            </w:r>
          </w:p>
        </w:tc>
      </w:tr>
      <w:tr w14:paraId="0A01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13" w:type="dxa"/>
            <w:vAlign w:val="center"/>
          </w:tcPr>
          <w:p w14:paraId="112059A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1078" w:type="dxa"/>
            <w:vAlign w:val="center"/>
          </w:tcPr>
          <w:p w14:paraId="378AC9E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报价部分</w:t>
            </w:r>
          </w:p>
          <w:p w14:paraId="078BFBC0">
            <w:pPr>
              <w:pStyle w:val="11"/>
              <w:keepNext w:val="0"/>
              <w:keepLines w:val="0"/>
              <w:pageBreakBefore w:val="0"/>
              <w:kinsoku/>
              <w:wordWrap/>
              <w:overflowPunct/>
              <w:topLinePunct w:val="0"/>
              <w:autoSpaceDE/>
              <w:autoSpaceDN/>
              <w:bidi w:val="0"/>
              <w:adjustRightInd/>
              <w:snapToGrid/>
              <w:spacing w:after="0" w:line="360" w:lineRule="auto"/>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（10分）</w:t>
            </w:r>
          </w:p>
        </w:tc>
        <w:tc>
          <w:tcPr>
            <w:tcW w:w="1150" w:type="dxa"/>
            <w:vAlign w:val="center"/>
          </w:tcPr>
          <w:p w14:paraId="70B812C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投标报价</w:t>
            </w:r>
          </w:p>
        </w:tc>
        <w:tc>
          <w:tcPr>
            <w:tcW w:w="800" w:type="dxa"/>
            <w:vAlign w:val="center"/>
          </w:tcPr>
          <w:p w14:paraId="33CA123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10分</w:t>
            </w:r>
          </w:p>
        </w:tc>
        <w:tc>
          <w:tcPr>
            <w:tcW w:w="5689" w:type="dxa"/>
            <w:vAlign w:val="center"/>
          </w:tcPr>
          <w:p w14:paraId="22BA1AFC">
            <w:pPr>
              <w:pStyle w:val="2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0"/>
              <w:jc w:val="left"/>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本项目为固定总价（最高限价包一：42万元；包二44万元）采购项目，投标人投标报价不得超过也不得低于所投包号的最高限价。为落实政府采购政策，对符合政策规定的投标人报价进行优惠调整，以调整后的报价作为计算评标基准价及价格得分的依据。价格分采用低价优先法计算：即满足磋商文件要求且最后报价最低的供应商的价格为磋商基准价，其价格分为满分 10 分.其他供应商的报价得分统一按照下列公式计算：磋商报价得分=（磋商基准价/最后磋商报价） ×价格分分值。</w:t>
            </w:r>
          </w:p>
        </w:tc>
      </w:tr>
      <w:tr w14:paraId="5688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13" w:type="dxa"/>
            <w:vMerge w:val="restart"/>
            <w:vAlign w:val="center"/>
          </w:tcPr>
          <w:p w14:paraId="17FC480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1078" w:type="dxa"/>
            <w:vMerge w:val="restart"/>
            <w:vAlign w:val="center"/>
          </w:tcPr>
          <w:p w14:paraId="461C076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技术部分</w:t>
            </w:r>
          </w:p>
          <w:p w14:paraId="0E9A58C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（55分）</w:t>
            </w:r>
          </w:p>
        </w:tc>
        <w:tc>
          <w:tcPr>
            <w:tcW w:w="1150" w:type="dxa"/>
            <w:vAlign w:val="center"/>
          </w:tcPr>
          <w:p w14:paraId="3E60121F">
            <w:pPr>
              <w:spacing w:line="360" w:lineRule="auto"/>
              <w:ind w:left="0" w:leftChars="0" w:right="0" w:rightChars="0" w:firstLine="0" w:firstLineChars="0"/>
              <w:jc w:val="center"/>
              <w:rPr>
                <w:rFonts w:hint="eastAsia" w:ascii="宋体" w:hAnsi="宋体" w:eastAsia="宋体" w:cs="宋体"/>
                <w:color w:val="000000" w:themeColor="text1"/>
                <w:spacing w:val="2"/>
                <w:kern w:val="2"/>
                <w:sz w:val="21"/>
                <w:szCs w:val="21"/>
                <w:highlight w:val="none"/>
                <w:lang w:val="en-US" w:eastAsia="en-US" w:bidi="ar-SA"/>
                <w14:textFill>
                  <w14:solidFill>
                    <w14:schemeClr w14:val="tx1"/>
                  </w14:solidFill>
                </w14:textFill>
              </w:rPr>
            </w:pPr>
          </w:p>
          <w:p w14:paraId="253480D8">
            <w:pPr>
              <w:pStyle w:val="53"/>
              <w:spacing w:before="65" w:line="360" w:lineRule="auto"/>
              <w:ind w:left="0" w:leftChars="0" w:right="0" w:rightChars="0" w:firstLine="0" w:firstLineChars="0"/>
              <w:jc w:val="center"/>
              <w:rPr>
                <w:rFonts w:hint="eastAsia" w:ascii="宋体" w:hAnsi="宋体" w:eastAsia="宋体" w:cs="宋体"/>
                <w:color w:val="000000" w:themeColor="text1"/>
                <w:spacing w:val="2"/>
                <w:kern w:val="2"/>
                <w:sz w:val="21"/>
                <w:szCs w:val="21"/>
                <w:highlight w:val="none"/>
                <w:lang w:val="en-US" w:eastAsia="zh-CN" w:bidi="ar-SA"/>
                <w14:textFill>
                  <w14:solidFill>
                    <w14:schemeClr w14:val="tx1"/>
                  </w14:solidFill>
                </w14:textFill>
              </w:rPr>
            </w:pPr>
            <w:r>
              <w:rPr>
                <w:rFonts w:hint="eastAsia" w:ascii="宋体" w:hAnsi="宋体" w:eastAsia="宋体" w:cs="宋体"/>
                <w:color w:val="auto"/>
                <w:sz w:val="22"/>
                <w:szCs w:val="22"/>
                <w:lang w:val="en-US" w:eastAsia="zh-CN"/>
              </w:rPr>
              <w:t>培训方案</w:t>
            </w:r>
          </w:p>
        </w:tc>
        <w:tc>
          <w:tcPr>
            <w:tcW w:w="800" w:type="dxa"/>
            <w:vAlign w:val="center"/>
          </w:tcPr>
          <w:p w14:paraId="55FF67D1">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p w14:paraId="3B2B86E1">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p w14:paraId="5FFD0911">
            <w:pPr>
              <w:pStyle w:val="53"/>
              <w:spacing w:before="65" w:line="360" w:lineRule="auto"/>
              <w:jc w:val="both"/>
              <w:rPr>
                <w:rFonts w:hint="default"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18分</w:t>
            </w:r>
          </w:p>
        </w:tc>
        <w:tc>
          <w:tcPr>
            <w:tcW w:w="5689" w:type="dxa"/>
            <w:vAlign w:val="top"/>
          </w:tcPr>
          <w:p w14:paraId="1B300D78">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left"/>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根据项目情况设置科学、具体的培训管理方案，能够结合项目特点制</w:t>
            </w:r>
            <w:r>
              <w:rPr>
                <w:rFonts w:hint="eastAsia" w:ascii="宋体" w:hAnsi="宋体" w:eastAsia="宋体" w:cs="宋体"/>
                <w:b w:val="0"/>
                <w:bCs w:val="0"/>
                <w:color w:val="auto"/>
                <w:sz w:val="24"/>
                <w:szCs w:val="24"/>
                <w:lang w:val="en-US" w:eastAsia="zh-CN"/>
              </w:rPr>
              <w:t>定，从</w:t>
            </w:r>
            <w:r>
              <w:rPr>
                <w:rFonts w:hint="eastAsia" w:ascii="宋体" w:hAnsi="宋体" w:eastAsia="宋体" w:cs="宋体"/>
                <w:b w:val="0"/>
                <w:bCs w:val="0"/>
                <w:color w:val="auto"/>
                <w:w w:val="100"/>
                <w:kern w:val="0"/>
                <w:sz w:val="24"/>
                <w:szCs w:val="24"/>
                <w:highlight w:val="none"/>
                <w:lang w:eastAsia="en-US"/>
              </w:rPr>
              <w:t>①</w:t>
            </w:r>
            <w:r>
              <w:rPr>
                <w:rFonts w:hint="eastAsia" w:ascii="宋体" w:hAnsi="宋体" w:eastAsia="宋体" w:cs="宋体"/>
                <w:b w:val="0"/>
                <w:bCs w:val="0"/>
                <w:color w:val="auto"/>
                <w:w w:val="100"/>
                <w:kern w:val="0"/>
                <w:sz w:val="24"/>
                <w:szCs w:val="24"/>
                <w:highlight w:val="none"/>
                <w:lang w:eastAsia="zh-CN"/>
              </w:rPr>
              <w:t>培训组织方案（含预期效果）；</w:t>
            </w:r>
            <w:r>
              <w:rPr>
                <w:rFonts w:hint="eastAsia" w:ascii="宋体" w:hAnsi="宋体" w:eastAsia="宋体" w:cs="宋体"/>
                <w:b/>
                <w:bCs/>
                <w:color w:val="auto"/>
                <w:w w:val="100"/>
                <w:kern w:val="0"/>
                <w:sz w:val="24"/>
                <w:szCs w:val="24"/>
                <w:highlight w:val="none"/>
                <w:lang w:eastAsia="en-US"/>
              </w:rPr>
              <w:t>②</w:t>
            </w:r>
            <w:r>
              <w:rPr>
                <w:rFonts w:hint="eastAsia" w:ascii="宋体" w:hAnsi="宋体" w:eastAsia="宋体" w:cs="宋体"/>
                <w:b w:val="0"/>
                <w:bCs w:val="0"/>
                <w:color w:val="auto"/>
                <w:w w:val="100"/>
                <w:kern w:val="0"/>
                <w:sz w:val="24"/>
                <w:szCs w:val="24"/>
                <w:highlight w:val="none"/>
                <w:lang w:eastAsia="zh-CN"/>
              </w:rPr>
              <w:t>课堂教学（包含线上线下）方案；</w:t>
            </w:r>
            <w:r>
              <w:rPr>
                <w:rFonts w:hint="eastAsia" w:ascii="宋体" w:hAnsi="宋体" w:eastAsia="宋体" w:cs="宋体"/>
                <w:b w:val="0"/>
                <w:bCs w:val="0"/>
                <w:color w:val="auto"/>
                <w:w w:val="100"/>
                <w:kern w:val="0"/>
                <w:sz w:val="24"/>
                <w:szCs w:val="24"/>
                <w:highlight w:val="none"/>
                <w:lang w:eastAsia="en-US"/>
              </w:rPr>
              <w:t>③</w:t>
            </w:r>
            <w:r>
              <w:rPr>
                <w:rFonts w:hint="eastAsia" w:ascii="宋体" w:hAnsi="宋体" w:eastAsia="宋体" w:cs="宋体"/>
                <w:b w:val="0"/>
                <w:bCs w:val="0"/>
                <w:color w:val="auto"/>
                <w:w w:val="100"/>
                <w:kern w:val="0"/>
                <w:sz w:val="24"/>
                <w:szCs w:val="24"/>
                <w:highlight w:val="none"/>
                <w:lang w:eastAsia="zh-CN"/>
              </w:rPr>
              <w:t>实践</w:t>
            </w:r>
            <w:r>
              <w:rPr>
                <w:rFonts w:hint="eastAsia" w:ascii="宋体" w:hAnsi="宋体" w:eastAsia="宋体" w:cs="宋体"/>
                <w:b w:val="0"/>
                <w:bCs w:val="0"/>
                <w:color w:val="auto"/>
                <w:sz w:val="24"/>
                <w:szCs w:val="24"/>
                <w:highlight w:val="none"/>
                <w:lang w:val="en-US" w:eastAsia="zh-CN"/>
              </w:rPr>
              <w:t>教学和观摩交流方案；</w:t>
            </w:r>
            <w:r>
              <w:rPr>
                <w:rFonts w:hint="eastAsia" w:ascii="宋体" w:hAnsi="宋体" w:eastAsia="宋体" w:cs="宋体"/>
                <w:b w:val="0"/>
                <w:bCs w:val="0"/>
                <w:color w:val="auto"/>
                <w:w w:val="100"/>
                <w:kern w:val="0"/>
                <w:sz w:val="24"/>
                <w:szCs w:val="24"/>
                <w:highlight w:val="none"/>
                <w:lang w:eastAsia="en-US"/>
              </w:rPr>
              <w:t>④</w:t>
            </w:r>
            <w:r>
              <w:rPr>
                <w:rFonts w:hint="eastAsia" w:ascii="宋体" w:hAnsi="宋体" w:eastAsia="宋体" w:cs="宋体"/>
                <w:b w:val="0"/>
                <w:bCs w:val="0"/>
                <w:color w:val="auto"/>
                <w:sz w:val="24"/>
                <w:szCs w:val="24"/>
                <w:highlight w:val="none"/>
                <w:lang w:val="en-US" w:eastAsia="zh-CN"/>
              </w:rPr>
              <w:t>跟踪服务方案；</w:t>
            </w:r>
            <w:r>
              <w:rPr>
                <w:rFonts w:hint="eastAsia" w:ascii="宋体" w:hAnsi="宋体" w:eastAsia="宋体" w:cs="宋体"/>
                <w:b w:val="0"/>
                <w:bCs w:val="0"/>
                <w:color w:val="auto"/>
                <w:w w:val="100"/>
                <w:kern w:val="0"/>
                <w:sz w:val="24"/>
                <w:szCs w:val="24"/>
                <w:highlight w:val="none"/>
                <w:lang w:val="en-US" w:eastAsia="zh-CN"/>
              </w:rPr>
              <w:t>⑤</w:t>
            </w:r>
            <w:r>
              <w:rPr>
                <w:rFonts w:hint="eastAsia" w:ascii="宋体" w:hAnsi="宋体" w:eastAsia="宋体" w:cs="宋体"/>
                <w:b w:val="0"/>
                <w:bCs w:val="0"/>
                <w:color w:val="auto"/>
                <w:sz w:val="24"/>
                <w:szCs w:val="24"/>
                <w:highlight w:val="none"/>
                <w:lang w:val="en-US" w:eastAsia="zh-CN"/>
              </w:rPr>
              <w:t>培训进度计划安排；</w:t>
            </w:r>
            <w:r>
              <w:rPr>
                <w:rFonts w:hint="eastAsia" w:ascii="微软雅黑" w:hAnsi="微软雅黑" w:eastAsia="微软雅黑" w:cs="微软雅黑"/>
                <w:b w:val="0"/>
                <w:bCs w:val="0"/>
                <w:color w:val="auto"/>
                <w:sz w:val="24"/>
                <w:szCs w:val="24"/>
                <w:highlight w:val="none"/>
                <w:lang w:val="en-US" w:eastAsia="zh-CN"/>
              </w:rPr>
              <w:t>⑥</w:t>
            </w:r>
            <w:r>
              <w:rPr>
                <w:rFonts w:hint="eastAsia" w:ascii="宋体" w:hAnsi="宋体" w:eastAsia="宋体" w:cs="宋体"/>
                <w:b w:val="0"/>
                <w:bCs w:val="0"/>
                <w:color w:val="auto"/>
                <w:sz w:val="24"/>
                <w:szCs w:val="24"/>
                <w:highlight w:val="none"/>
                <w:lang w:val="en-US" w:eastAsia="zh-CN"/>
              </w:rPr>
              <w:t>经费支出计划，以上6个方面进行</w:t>
            </w:r>
            <w:r>
              <w:rPr>
                <w:rFonts w:hint="eastAsia" w:ascii="宋体" w:hAnsi="宋体" w:eastAsia="宋体" w:cs="宋体"/>
                <w:b w:val="0"/>
                <w:bCs w:val="0"/>
                <w:color w:val="auto"/>
                <w:sz w:val="24"/>
                <w:szCs w:val="24"/>
                <w:lang w:val="en-US" w:eastAsia="zh-CN"/>
              </w:rPr>
              <w:t>评审。</w:t>
            </w:r>
          </w:p>
          <w:p w14:paraId="0B5E313F">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投标人提供的培训方案包括以上6项的，每项计基本分1分，缺项不计分且不参与分档计分。基本项最多计6分。</w:t>
            </w:r>
          </w:p>
          <w:p w14:paraId="63A243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方案包含以上基本项的按以下标准进行分档计分，每项最高计</w:t>
            </w:r>
            <w:r>
              <w:rPr>
                <w:rFonts w:hint="eastAsia" w:ascii="宋体" w:hAnsi="宋体" w:eastAsia="宋体" w:cs="宋体"/>
                <w:color w:val="auto"/>
                <w:kern w:val="2"/>
                <w:sz w:val="24"/>
                <w:szCs w:val="24"/>
                <w:highlight w:val="none"/>
                <w:lang w:val="en-US" w:eastAsia="zh-CN" w:bidi="ar-SA"/>
              </w:rPr>
              <w:t>2</w:t>
            </w:r>
            <w:r>
              <w:rPr>
                <w:rFonts w:hint="default" w:ascii="宋体" w:hAnsi="宋体" w:eastAsia="宋体" w:cs="宋体"/>
                <w:color w:val="auto"/>
                <w:kern w:val="2"/>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6</w:t>
            </w:r>
            <w:r>
              <w:rPr>
                <w:rFonts w:hint="default" w:ascii="宋体" w:hAnsi="宋体" w:eastAsia="宋体" w:cs="宋体"/>
                <w:color w:val="auto"/>
                <w:kern w:val="2"/>
                <w:sz w:val="24"/>
                <w:szCs w:val="24"/>
                <w:highlight w:val="none"/>
                <w:lang w:val="en-US" w:eastAsia="zh-CN" w:bidi="ar-SA"/>
              </w:rPr>
              <w:t>项分档计分总分最高计</w:t>
            </w:r>
            <w:r>
              <w:rPr>
                <w:rFonts w:hint="eastAsia" w:ascii="宋体" w:hAnsi="宋体" w:eastAsia="宋体" w:cs="宋体"/>
                <w:color w:val="auto"/>
                <w:kern w:val="2"/>
                <w:sz w:val="24"/>
                <w:szCs w:val="24"/>
                <w:highlight w:val="none"/>
                <w:lang w:val="en-US" w:eastAsia="zh-CN" w:bidi="ar-SA"/>
              </w:rPr>
              <w:t>12</w:t>
            </w:r>
            <w:r>
              <w:rPr>
                <w:rFonts w:hint="default" w:ascii="宋体" w:hAnsi="宋体" w:eastAsia="宋体" w:cs="宋体"/>
                <w:color w:val="auto"/>
                <w:kern w:val="2"/>
                <w:sz w:val="24"/>
                <w:szCs w:val="24"/>
                <w:highlight w:val="none"/>
                <w:lang w:val="en-US" w:eastAsia="zh-CN" w:bidi="ar-SA"/>
              </w:rPr>
              <w:t>分：</w:t>
            </w:r>
          </w:p>
          <w:p w14:paraId="6CF22D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1、方案完善、完全满足项目实际情况并合理可行的，每项计</w:t>
            </w:r>
            <w:r>
              <w:rPr>
                <w:rFonts w:hint="eastAsia" w:ascii="宋体" w:hAnsi="宋体" w:eastAsia="宋体" w:cs="宋体"/>
                <w:color w:val="auto"/>
                <w:kern w:val="2"/>
                <w:sz w:val="24"/>
                <w:szCs w:val="24"/>
                <w:highlight w:val="none"/>
                <w:lang w:val="en-US" w:eastAsia="zh-CN" w:bidi="ar-SA"/>
              </w:rPr>
              <w:t>2</w:t>
            </w:r>
            <w:r>
              <w:rPr>
                <w:rFonts w:hint="default" w:ascii="宋体" w:hAnsi="宋体" w:eastAsia="宋体" w:cs="宋体"/>
                <w:color w:val="auto"/>
                <w:kern w:val="2"/>
                <w:sz w:val="24"/>
                <w:szCs w:val="24"/>
                <w:highlight w:val="none"/>
                <w:lang w:val="en-US" w:eastAsia="zh-CN" w:bidi="ar-SA"/>
              </w:rPr>
              <w:t>分；</w:t>
            </w:r>
          </w:p>
          <w:p w14:paraId="65F9F7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2、方案</w:t>
            </w:r>
            <w:r>
              <w:rPr>
                <w:rFonts w:hint="eastAsia" w:ascii="宋体" w:hAnsi="宋体" w:eastAsia="宋体" w:cs="宋体"/>
                <w:color w:val="auto"/>
                <w:kern w:val="2"/>
                <w:sz w:val="24"/>
                <w:szCs w:val="24"/>
                <w:highlight w:val="none"/>
                <w:lang w:val="en-US" w:eastAsia="zh-CN" w:bidi="ar-SA"/>
              </w:rPr>
              <w:t>欠</w:t>
            </w:r>
            <w:r>
              <w:rPr>
                <w:rFonts w:hint="default" w:ascii="宋体" w:hAnsi="宋体" w:eastAsia="宋体" w:cs="宋体"/>
                <w:color w:val="auto"/>
                <w:kern w:val="2"/>
                <w:sz w:val="24"/>
                <w:szCs w:val="24"/>
                <w:highlight w:val="none"/>
                <w:lang w:val="en-US" w:eastAsia="zh-CN" w:bidi="ar-SA"/>
              </w:rPr>
              <w:t>完善</w:t>
            </w:r>
            <w:r>
              <w:rPr>
                <w:rFonts w:hint="eastAsia" w:ascii="宋体" w:hAnsi="宋体" w:eastAsia="宋体" w:cs="宋体"/>
                <w:color w:val="auto"/>
                <w:kern w:val="2"/>
                <w:sz w:val="24"/>
                <w:szCs w:val="24"/>
                <w:highlight w:val="none"/>
                <w:lang w:val="en-US" w:eastAsia="zh-CN" w:bidi="ar-SA"/>
              </w:rPr>
              <w:t>或有欠缺</w:t>
            </w:r>
            <w:r>
              <w:rPr>
                <w:rFonts w:hint="default" w:ascii="宋体" w:hAnsi="宋体" w:eastAsia="宋体" w:cs="宋体"/>
                <w:color w:val="auto"/>
                <w:kern w:val="2"/>
                <w:sz w:val="24"/>
                <w:szCs w:val="24"/>
                <w:highlight w:val="none"/>
                <w:lang w:val="en-US" w:eastAsia="zh-CN" w:bidi="ar-SA"/>
              </w:rPr>
              <w:t>，基本满足项目需求合理可行的，每项计</w:t>
            </w:r>
            <w:r>
              <w:rPr>
                <w:rFonts w:hint="eastAsia" w:ascii="宋体" w:hAnsi="宋体" w:eastAsia="宋体" w:cs="宋体"/>
                <w:color w:val="auto"/>
                <w:kern w:val="2"/>
                <w:sz w:val="24"/>
                <w:szCs w:val="24"/>
                <w:highlight w:val="none"/>
                <w:lang w:val="en-US" w:eastAsia="zh-CN" w:bidi="ar-SA"/>
              </w:rPr>
              <w:t>1</w:t>
            </w:r>
            <w:r>
              <w:rPr>
                <w:rFonts w:hint="default" w:ascii="宋体" w:hAnsi="宋体" w:eastAsia="宋体" w:cs="宋体"/>
                <w:color w:val="auto"/>
                <w:kern w:val="2"/>
                <w:sz w:val="24"/>
                <w:szCs w:val="24"/>
                <w:highlight w:val="none"/>
                <w:lang w:val="en-US" w:eastAsia="zh-CN" w:bidi="ar-SA"/>
              </w:rPr>
              <w:t>分；</w:t>
            </w:r>
          </w:p>
          <w:p w14:paraId="46BBA3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3、方案不完整或欠合理的，每项计</w:t>
            </w:r>
            <w:r>
              <w:rPr>
                <w:rFonts w:hint="eastAsia" w:ascii="宋体" w:hAnsi="宋体" w:eastAsia="宋体" w:cs="宋体"/>
                <w:color w:val="auto"/>
                <w:kern w:val="2"/>
                <w:sz w:val="24"/>
                <w:szCs w:val="24"/>
                <w:highlight w:val="none"/>
                <w:lang w:val="en-US" w:eastAsia="zh-CN" w:bidi="ar-SA"/>
              </w:rPr>
              <w:t>0.5</w:t>
            </w:r>
            <w:r>
              <w:rPr>
                <w:rFonts w:hint="default" w:ascii="宋体" w:hAnsi="宋体" w:eastAsia="宋体" w:cs="宋体"/>
                <w:color w:val="auto"/>
                <w:kern w:val="2"/>
                <w:sz w:val="24"/>
                <w:szCs w:val="24"/>
                <w:highlight w:val="none"/>
                <w:lang w:val="en-US" w:eastAsia="zh-CN" w:bidi="ar-SA"/>
              </w:rPr>
              <w:t>分；</w:t>
            </w:r>
          </w:p>
          <w:p w14:paraId="4403C4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4、方案不合理或不符合实际情况的，该项不计分。</w:t>
            </w:r>
          </w:p>
          <w:p w14:paraId="5E26FEFB">
            <w:pPr>
              <w:pStyle w:val="53"/>
              <w:keepNext w:val="0"/>
              <w:keepLines w:val="0"/>
              <w:pageBreakBefore w:val="0"/>
              <w:widowControl w:val="0"/>
              <w:kinsoku/>
              <w:wordWrap/>
              <w:overflowPunct/>
              <w:topLinePunct w:val="0"/>
              <w:autoSpaceDE/>
              <w:autoSpaceDN/>
              <w:bidi w:val="0"/>
              <w:adjustRightInd/>
              <w:snapToGrid/>
              <w:spacing w:line="360" w:lineRule="auto"/>
              <w:ind w:left="122" w:leftChars="0" w:right="122" w:rightChars="0" w:hanging="1" w:firstLineChars="0"/>
              <w:textAlignment w:val="auto"/>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新宋体" w:hAnsi="新宋体" w:eastAsia="新宋体" w:cs="新宋体"/>
                <w:color w:val="auto"/>
                <w:kern w:val="2"/>
                <w:sz w:val="24"/>
                <w:szCs w:val="24"/>
                <w:highlight w:val="none"/>
                <w:lang w:val="en-US" w:eastAsia="zh-CN" w:bidi="ar-SA"/>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761B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3" w:type="dxa"/>
            <w:vMerge w:val="continue"/>
            <w:vAlign w:val="center"/>
          </w:tcPr>
          <w:p w14:paraId="37589AB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0AB0488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5D07839F">
            <w:pPr>
              <w:spacing w:line="360" w:lineRule="auto"/>
              <w:ind w:firstLine="0" w:firstLineChars="0"/>
              <w:jc w:val="cente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pPr>
            <w:r>
              <w:rPr>
                <w:rFonts w:hint="eastAsia" w:ascii="宋体" w:hAnsi="宋体" w:cs="宋体"/>
                <w:color w:val="auto"/>
                <w:sz w:val="22"/>
                <w:szCs w:val="22"/>
                <w:lang w:val="en-US" w:eastAsia="zh-CN"/>
              </w:rPr>
              <w:t>专业设置</w:t>
            </w:r>
          </w:p>
        </w:tc>
        <w:tc>
          <w:tcPr>
            <w:tcW w:w="800" w:type="dxa"/>
            <w:vAlign w:val="center"/>
          </w:tcPr>
          <w:p w14:paraId="60CD14B8">
            <w:pPr>
              <w:spacing w:line="360" w:lineRule="auto"/>
              <w:ind w:firstLine="0" w:firstLineChars="0"/>
              <w:jc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pacing w:val="0"/>
                <w:w w:val="100"/>
                <w:sz w:val="24"/>
                <w:szCs w:val="24"/>
                <w:highlight w:val="none"/>
                <w:lang w:val="en-US" w:eastAsia="zh-CN"/>
              </w:rPr>
              <w:t>9</w:t>
            </w:r>
            <w:r>
              <w:rPr>
                <w:rFonts w:hint="eastAsia" w:ascii="宋体" w:hAnsi="宋体" w:eastAsia="宋体" w:cs="宋体"/>
                <w:color w:val="auto"/>
                <w:spacing w:val="0"/>
                <w:w w:val="100"/>
                <w:sz w:val="24"/>
                <w:szCs w:val="24"/>
                <w:highlight w:val="none"/>
              </w:rPr>
              <w:t>分</w:t>
            </w:r>
          </w:p>
        </w:tc>
        <w:tc>
          <w:tcPr>
            <w:tcW w:w="5689" w:type="dxa"/>
            <w:vAlign w:val="center"/>
          </w:tcPr>
          <w:p w14:paraId="2560B5D5">
            <w:pPr>
              <w:keepNext w:val="0"/>
              <w:keepLines w:val="0"/>
              <w:pageBreakBefore w:val="0"/>
              <w:widowControl w:val="0"/>
              <w:kinsoku/>
              <w:wordWrap w:val="0"/>
              <w:overflowPunct/>
              <w:topLinePunct/>
              <w:autoSpaceDE/>
              <w:autoSpaceDN/>
              <w:bidi w:val="0"/>
              <w:adjustRightInd/>
              <w:snapToGrid/>
              <w:spacing w:line="360" w:lineRule="auto"/>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1、（4分）专业课程体系：</w:t>
            </w:r>
          </w:p>
          <w:p w14:paraId="32BD379E">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1）投标人为高校的，开设了与本项目所投包相关专业课程的计4分；</w:t>
            </w:r>
          </w:p>
          <w:p w14:paraId="2429A871">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2）投标人为培训机构的，开设了与本项目所投包的培训主题相关培训的计4分。</w:t>
            </w:r>
          </w:p>
          <w:p w14:paraId="60299B4A">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注：本项最多计4分，须提供相关的证明材料。评审标准中对所投包相关专业（培训）的认定，以评标委员会集体商议为准。</w:t>
            </w:r>
          </w:p>
          <w:p w14:paraId="731B18B4">
            <w:pPr>
              <w:keepNext w:val="0"/>
              <w:keepLines w:val="0"/>
              <w:pageBreakBefore w:val="0"/>
              <w:widowControl w:val="0"/>
              <w:kinsoku/>
              <w:wordWrap w:val="0"/>
              <w:overflowPunct/>
              <w:topLinePunct/>
              <w:autoSpaceDE/>
              <w:autoSpaceDN/>
              <w:bidi w:val="0"/>
              <w:adjustRightInd/>
              <w:snapToGrid/>
              <w:spacing w:line="360" w:lineRule="auto"/>
              <w:ind w:firstLine="241"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2、（5分）示范基地建设：</w:t>
            </w:r>
            <w:r>
              <w:rPr>
                <w:rFonts w:hint="eastAsia" w:ascii="宋体" w:hAnsi="宋体" w:eastAsia="宋体" w:cs="宋体"/>
                <w:color w:val="000000" w:themeColor="text1"/>
                <w:sz w:val="24"/>
                <w:szCs w:val="24"/>
                <w:highlight w:val="none"/>
                <w:lang w:val="en-US" w:eastAsia="zh-CN"/>
                <w14:textFill>
                  <w14:solidFill>
                    <w14:schemeClr w14:val="tx1"/>
                  </w14:solidFill>
                </w14:textFill>
              </w:rPr>
              <w:t>投标人获得所投包的培训主题相关方向（专业）政府部门认定的示范基地，省级及以上基地一个计5分，市（州）级基地一个计3分，最多计一个，不重叠计分。</w:t>
            </w:r>
          </w:p>
          <w:p w14:paraId="7E5F136C">
            <w:pPr>
              <w:keepNext w:val="0"/>
              <w:keepLines w:val="0"/>
              <w:pageBreakBefore w:val="0"/>
              <w:widowControl w:val="0"/>
              <w:kinsoku/>
              <w:wordWrap w:val="0"/>
              <w:overflowPunct/>
              <w:topLinePunct/>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注：须提供相关证明材料（如认定文件、合作协议等），如为有合作关系的单位获得，还须提供合作协议书和合作单位在“农民教育培训信息管理系统”的入库单位信息网页截图。未提供的或提供资料不满足要求的不计分。</w:t>
            </w:r>
          </w:p>
          <w:p w14:paraId="62EC7D11">
            <w:pPr>
              <w:keepNext w:val="0"/>
              <w:keepLines w:val="0"/>
              <w:pageBreakBefore w:val="0"/>
              <w:widowControl w:val="0"/>
              <w:kinsoku/>
              <w:wordWrap w:val="0"/>
              <w:overflowPunct/>
              <w:topLinePunct/>
              <w:autoSpaceDE/>
              <w:autoSpaceDN/>
              <w:bidi w:val="0"/>
              <w:adjustRightInd/>
              <w:snapToGrid/>
              <w:spacing w:line="360" w:lineRule="auto"/>
              <w:ind w:firstLine="241"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评审标准中对所投包相关专业的认定，以评标委员会集体商议为准。</w:t>
            </w:r>
          </w:p>
        </w:tc>
      </w:tr>
      <w:tr w14:paraId="6743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713" w:type="dxa"/>
            <w:vMerge w:val="continue"/>
            <w:vAlign w:val="center"/>
          </w:tcPr>
          <w:p w14:paraId="79C26C8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2D03713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00941A8A">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新宋体" w:hAnsi="新宋体" w:eastAsia="新宋体" w:cs="新宋体"/>
                <w:color w:val="auto"/>
                <w:sz w:val="22"/>
                <w:szCs w:val="22"/>
                <w:highlight w:val="none"/>
                <w:lang w:eastAsia="zh-CN"/>
              </w:rPr>
              <w:t>质量保证方案</w:t>
            </w:r>
          </w:p>
        </w:tc>
        <w:tc>
          <w:tcPr>
            <w:tcW w:w="800" w:type="dxa"/>
            <w:vAlign w:val="center"/>
          </w:tcPr>
          <w:p w14:paraId="48A3C2DE">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default"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18分</w:t>
            </w:r>
          </w:p>
        </w:tc>
        <w:tc>
          <w:tcPr>
            <w:tcW w:w="5689" w:type="dxa"/>
            <w:vAlign w:val="center"/>
          </w:tcPr>
          <w:p w14:paraId="63ABC53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根据投标人针对本项目的质量保证方案，内容包括但不限于①培训班管理制度;②)培育组织安全质量管理方案;③质量控制保证措施;④进度保证控制;⑤应急管理方案;⑥信息档案制度。</w:t>
            </w:r>
          </w:p>
          <w:p w14:paraId="2A082F73">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投标人提供的质量保证方案包括以上6项的，每项计基本分1分，缺项不计分且不参与分档计分。基本项最多计6分。</w:t>
            </w:r>
          </w:p>
          <w:p w14:paraId="231B127E">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方案包含以上基本项的按以下标准进行分档计分，每项最高计2分，6项分档计分总分最高计12分：</w:t>
            </w:r>
          </w:p>
          <w:p w14:paraId="382EEE0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1、方案完善、完全满足项目实际情况并合理可行的，每项计2分；</w:t>
            </w:r>
          </w:p>
          <w:p w14:paraId="3C4498B1">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2、方案欠完善或有欠缺，基本满足项目需求合理可行的，每项计1分；</w:t>
            </w:r>
          </w:p>
          <w:p w14:paraId="1044705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3、方案不完整或欠合理的，每项计0.5分；</w:t>
            </w:r>
          </w:p>
          <w:p w14:paraId="57CE3BED">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4、方案不合理或不符合实际情况的，该项不计分。</w:t>
            </w:r>
          </w:p>
          <w:p w14:paraId="1880B2F3">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新宋体" w:hAnsi="新宋体" w:eastAsia="新宋体" w:cs="新宋体"/>
                <w:color w:val="auto"/>
                <w:kern w:val="2"/>
                <w:sz w:val="24"/>
                <w:szCs w:val="24"/>
                <w:highlight w:val="none"/>
                <w:lang w:val="en-US" w:eastAsia="zh-CN" w:bidi="ar-SA"/>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65AB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713" w:type="dxa"/>
            <w:vMerge w:val="continue"/>
            <w:vAlign w:val="center"/>
          </w:tcPr>
          <w:p w14:paraId="4DAF4F8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0571250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shd w:val="clear" w:color="auto" w:fill="auto"/>
            <w:vAlign w:val="center"/>
          </w:tcPr>
          <w:p w14:paraId="40954F39">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color w:val="auto"/>
                <w:spacing w:val="0"/>
                <w:w w:val="100"/>
                <w:kern w:val="2"/>
                <w:sz w:val="24"/>
                <w:szCs w:val="24"/>
                <w:highlight w:val="none"/>
                <w:lang w:val="en-US" w:eastAsia="zh-CN" w:bidi="ar-SA"/>
              </w:rPr>
            </w:pPr>
            <w:r>
              <w:rPr>
                <w:rFonts w:hint="eastAsia" w:ascii="宋体" w:hAnsi="宋体" w:eastAsia="宋体" w:cs="宋体"/>
                <w:color w:val="auto"/>
                <w:spacing w:val="0"/>
                <w:w w:val="100"/>
                <w:kern w:val="2"/>
                <w:sz w:val="24"/>
                <w:szCs w:val="24"/>
                <w:highlight w:val="none"/>
                <w:lang w:val="en-US" w:eastAsia="zh-CN" w:bidi="ar-SA"/>
              </w:rPr>
              <w:t>培训课程教材</w:t>
            </w:r>
          </w:p>
        </w:tc>
        <w:tc>
          <w:tcPr>
            <w:tcW w:w="800" w:type="dxa"/>
            <w:shd w:val="clear" w:color="auto" w:fill="auto"/>
            <w:vAlign w:val="center"/>
          </w:tcPr>
          <w:p w14:paraId="14D4DA0A">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default" w:ascii="宋体" w:hAnsi="宋体" w:eastAsia="宋体" w:cs="宋体"/>
                <w:color w:val="auto"/>
                <w:spacing w:val="0"/>
                <w:w w:val="100"/>
                <w:kern w:val="2"/>
                <w:sz w:val="24"/>
                <w:szCs w:val="24"/>
                <w:highlight w:val="none"/>
                <w:lang w:val="en-US" w:eastAsia="zh-CN" w:bidi="ar-SA"/>
              </w:rPr>
            </w:pPr>
            <w:r>
              <w:rPr>
                <w:rFonts w:hint="eastAsia" w:ascii="宋体" w:hAnsi="宋体" w:eastAsia="宋体" w:cs="宋体"/>
                <w:color w:val="auto"/>
                <w:spacing w:val="0"/>
                <w:w w:val="100"/>
                <w:kern w:val="2"/>
                <w:sz w:val="24"/>
                <w:szCs w:val="24"/>
                <w:highlight w:val="none"/>
                <w:lang w:val="en-US" w:eastAsia="zh-CN" w:bidi="ar-SA"/>
              </w:rPr>
              <w:t>10分</w:t>
            </w:r>
          </w:p>
        </w:tc>
        <w:tc>
          <w:tcPr>
            <w:tcW w:w="5689" w:type="dxa"/>
            <w:shd w:val="clear" w:color="auto" w:fill="auto"/>
            <w:vAlign w:val="center"/>
          </w:tcPr>
          <w:p w14:paraId="47E8E899">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根据投标人提供的培训课程教材进行综合打分：</w:t>
            </w:r>
          </w:p>
          <w:p w14:paraId="3FCBA63C">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1、培训课程目标定位合理清晰，课程内容详实、详细、完善，所有课程内容完全贴合本项目培训全部要求；每门课程均配套完整的内容介绍，投标人具有对应项目相关培训配套教材的，计10分；</w:t>
            </w:r>
          </w:p>
          <w:p w14:paraId="10201691">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培训课程目标定位合理，拥有配套教材；课程内容符合本项目培训要求的70%以上（不含70%），未完全覆盖项目全部设置课程；配套完整课程内容介绍，内容可覆盖大部分农业生产、经营、安全、产业发展等项目核心相关培训内容的，计6分。</w:t>
            </w:r>
          </w:p>
          <w:p w14:paraId="3427E534">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3、培训课程基本围绕项目培训目标展开，拥有相关培训教材，课程内容符合本项目培训要求的50%-70%；可提供对应课程内容介绍，但核心课程内容存在较多缺漏，整体课程体系不完善、覆盖面不足的，计2分。</w:t>
            </w:r>
          </w:p>
          <w:p w14:paraId="71F7E471">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4、未提供任何培训课程教材及课程相关内容资料</w:t>
            </w:r>
          </w:p>
          <w:p w14:paraId="622CDC90">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kern w:val="2"/>
                <w:sz w:val="24"/>
                <w:szCs w:val="24"/>
                <w:lang w:val="en-US" w:eastAsia="en-US" w:bidi="ar-SA"/>
              </w:rPr>
            </w:pPr>
            <w:r>
              <w:rPr>
                <w:rFonts w:hint="eastAsia" w:ascii="宋体" w:hAnsi="宋体" w:eastAsia="宋体" w:cs="宋体"/>
                <w:color w:val="auto"/>
                <w:sz w:val="24"/>
                <w:szCs w:val="24"/>
                <w:lang w:val="en-US" w:eastAsia="zh-CN"/>
              </w:rPr>
              <w:t>的计0分。</w:t>
            </w:r>
          </w:p>
        </w:tc>
      </w:tr>
      <w:tr w14:paraId="2DDE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restart"/>
            <w:vAlign w:val="center"/>
          </w:tcPr>
          <w:p w14:paraId="367C111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1078" w:type="dxa"/>
            <w:vMerge w:val="restart"/>
            <w:vAlign w:val="center"/>
          </w:tcPr>
          <w:p w14:paraId="5A1368A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商务部分</w:t>
            </w:r>
          </w:p>
          <w:p w14:paraId="3556651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（35分）</w:t>
            </w:r>
          </w:p>
        </w:tc>
        <w:tc>
          <w:tcPr>
            <w:tcW w:w="1150" w:type="dxa"/>
            <w:vAlign w:val="center"/>
          </w:tcPr>
          <w:p w14:paraId="7C1E2804">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类似项目业绩</w:t>
            </w:r>
          </w:p>
          <w:p w14:paraId="4A2936E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Align w:val="center"/>
          </w:tcPr>
          <w:p w14:paraId="43FB5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7分</w:t>
            </w:r>
          </w:p>
        </w:tc>
        <w:tc>
          <w:tcPr>
            <w:tcW w:w="5689" w:type="dxa"/>
            <w:vAlign w:val="center"/>
          </w:tcPr>
          <w:p w14:paraId="19B56580">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近三年内（以合同签订时间为准），供应商承担过类似培训业绩的，每个计1分，最多计7分。</w:t>
            </w:r>
          </w:p>
          <w:p w14:paraId="4C5D2DC7">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lang w:val="en-US" w:eastAsia="zh-CN"/>
              </w:rPr>
              <w:t>注：响应文件中提供中标（成交）通知书或合同扫描件和农业农村部农民教育培训信息管理系统查询截图，未提供或提供不全不计分。</w:t>
            </w:r>
          </w:p>
        </w:tc>
      </w:tr>
      <w:tr w14:paraId="2911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continue"/>
            <w:vAlign w:val="center"/>
          </w:tcPr>
          <w:p w14:paraId="4D06249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4FD0039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1057A8DA">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新宋体" w:hAnsi="新宋体" w:eastAsia="新宋体" w:cs="新宋体"/>
                <w:color w:val="auto"/>
                <w:sz w:val="22"/>
                <w:szCs w:val="22"/>
                <w:highlight w:val="none"/>
                <w:lang w:eastAsia="zh-CN"/>
              </w:rPr>
              <w:t>培育经验</w:t>
            </w:r>
          </w:p>
        </w:tc>
        <w:tc>
          <w:tcPr>
            <w:tcW w:w="800" w:type="dxa"/>
            <w:vAlign w:val="center"/>
          </w:tcPr>
          <w:p w14:paraId="41904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13分</w:t>
            </w:r>
          </w:p>
        </w:tc>
        <w:tc>
          <w:tcPr>
            <w:tcW w:w="5689" w:type="dxa"/>
            <w:vAlign w:val="center"/>
          </w:tcPr>
          <w:p w14:paraId="229EF34E">
            <w:pPr>
              <w:keepNext w:val="0"/>
              <w:keepLines w:val="0"/>
              <w:widowControl w:val="0"/>
              <w:suppressLineNumbers w:val="0"/>
              <w:tabs>
                <w:tab w:val="left" w:pos="1601"/>
              </w:tabs>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投标人在“农民教育培训信息管理系统”中，根据培育次数进行分档计分。</w:t>
            </w:r>
          </w:p>
          <w:p w14:paraId="25993B7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1、培育次数总计50（不含）次以上的，计13分；</w:t>
            </w:r>
          </w:p>
          <w:p w14:paraId="077A296D">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2、培育次数总计26-50（含）次的，计8分；</w:t>
            </w:r>
          </w:p>
          <w:p w14:paraId="39F380C7">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3、培育次数总计1-25次的，计3分；</w:t>
            </w:r>
          </w:p>
          <w:p w14:paraId="59EC15EE">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b/>
                <w:bCs/>
                <w:color w:val="auto"/>
                <w:sz w:val="24"/>
                <w:szCs w:val="24"/>
                <w:lang w:val="en-US" w:eastAsia="zh-CN"/>
              </w:rPr>
            </w:pPr>
            <w:r>
              <w:rPr>
                <w:rFonts w:hint="eastAsia" w:ascii="新宋体" w:hAnsi="新宋体" w:eastAsia="新宋体" w:cs="新宋体"/>
                <w:b/>
                <w:bCs/>
                <w:color w:val="auto"/>
                <w:kern w:val="2"/>
                <w:sz w:val="24"/>
                <w:szCs w:val="24"/>
                <w:highlight w:val="none"/>
                <w:lang w:val="en-US" w:eastAsia="zh-CN" w:bidi="ar-SA"/>
              </w:rPr>
              <w:t>注：提供在“农民教育培训信息管理系统”中体现培育次数的网页截图，网页截图应清晰可分辨，评委若因图片过小或模糊不清无法识别不计分，投标人自行承担后果</w:t>
            </w:r>
            <w:r>
              <w:rPr>
                <w:rFonts w:hint="eastAsia" w:ascii="新宋体" w:hAnsi="新宋体" w:eastAsia="新宋体" w:cs="新宋体"/>
                <w:color w:val="auto"/>
                <w:kern w:val="2"/>
                <w:sz w:val="24"/>
                <w:szCs w:val="24"/>
                <w:highlight w:val="none"/>
                <w:lang w:val="en-US" w:eastAsia="zh-CN" w:bidi="ar-SA"/>
              </w:rPr>
              <w:t>。</w:t>
            </w:r>
          </w:p>
        </w:tc>
      </w:tr>
      <w:tr w14:paraId="693F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continue"/>
            <w:vAlign w:val="center"/>
          </w:tcPr>
          <w:p w14:paraId="6197546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22FD4CF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shd w:val="clear" w:color="auto" w:fill="auto"/>
            <w:vAlign w:val="center"/>
          </w:tcPr>
          <w:p w14:paraId="6C5F26DC">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pacing w:val="2"/>
                <w:kern w:val="2"/>
                <w:sz w:val="21"/>
                <w:szCs w:val="21"/>
                <w:highlight w:val="none"/>
                <w:lang w:val="en-US" w:eastAsia="zh-CN" w:bidi="ar-SA"/>
                <w14:textFill>
                  <w14:solidFill>
                    <w14:schemeClr w14:val="tx1"/>
                  </w14:solidFill>
                </w14:textFill>
              </w:rPr>
            </w:pPr>
            <w:r>
              <w:rPr>
                <w:rFonts w:hint="eastAsia" w:ascii="新宋体" w:hAnsi="新宋体" w:eastAsia="新宋体" w:cs="新宋体"/>
                <w:color w:val="auto"/>
                <w:sz w:val="22"/>
                <w:szCs w:val="22"/>
                <w:highlight w:val="none"/>
                <w:lang w:eastAsia="zh-CN"/>
              </w:rPr>
              <w:t>培训场所</w:t>
            </w:r>
          </w:p>
        </w:tc>
        <w:tc>
          <w:tcPr>
            <w:tcW w:w="800" w:type="dxa"/>
            <w:shd w:val="clear" w:color="auto" w:fill="auto"/>
            <w:vAlign w:val="center"/>
          </w:tcPr>
          <w:p w14:paraId="6448D3E2">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pacing w:val="0"/>
                <w:w w:val="100"/>
                <w:sz w:val="24"/>
                <w:szCs w:val="24"/>
                <w:highlight w:val="none"/>
                <w:lang w:val="en-US" w:eastAsia="zh-CN"/>
              </w:rPr>
              <w:t>5分</w:t>
            </w:r>
          </w:p>
        </w:tc>
        <w:tc>
          <w:tcPr>
            <w:tcW w:w="5689" w:type="dxa"/>
            <w:shd w:val="clear" w:color="auto" w:fill="auto"/>
            <w:vAlign w:val="center"/>
          </w:tcPr>
          <w:p w14:paraId="0D160852">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投标人自属培训场所或租赁培训场所，满足学员集中授课、食宿所需的教学设备、食堂、宿舍，同时承诺配备全面并能容纳培训人数不少于100人的，计5分。本项最多计5分，未提供的不计分。</w:t>
            </w:r>
          </w:p>
          <w:p w14:paraId="7708F49A">
            <w:pPr>
              <w:keepNext w:val="0"/>
              <w:keepLines w:val="0"/>
              <w:pageBreakBefore w:val="0"/>
              <w:widowControl w:val="0"/>
              <w:kinsoku/>
              <w:wordWrap w:val="0"/>
              <w:overflowPunct/>
              <w:topLinePunct/>
              <w:autoSpaceDE/>
              <w:autoSpaceDN/>
              <w:bidi w:val="0"/>
              <w:adjustRightInd/>
              <w:snapToGrid/>
              <w:spacing w:line="360" w:lineRule="auto"/>
              <w:ind w:firstLine="241" w:firstLineChars="100"/>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新宋体" w:hAnsi="新宋体" w:eastAsia="新宋体" w:cs="新宋体"/>
                <w:b/>
                <w:bCs/>
                <w:color w:val="auto"/>
                <w:kern w:val="2"/>
                <w:sz w:val="24"/>
                <w:szCs w:val="24"/>
                <w:highlight w:val="none"/>
                <w:lang w:val="en-US" w:eastAsia="zh-CN" w:bidi="ar-SA"/>
              </w:rPr>
              <w:t>注:培训场所为自有的，投标文件中须同时提供相关的不动产登记证明(不动产登记证或土地证)材料及承诺函(格式自拟);培训场所为租赁的，投标文件须同时提供租赁合同及承诺函(格式自拟)证明材料。</w:t>
            </w:r>
          </w:p>
        </w:tc>
      </w:tr>
      <w:tr w14:paraId="542B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continue"/>
            <w:vAlign w:val="center"/>
          </w:tcPr>
          <w:p w14:paraId="35A56FF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1B42C59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3AD74B2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师资配备</w:t>
            </w:r>
          </w:p>
        </w:tc>
        <w:tc>
          <w:tcPr>
            <w:tcW w:w="800" w:type="dxa"/>
            <w:vAlign w:val="center"/>
          </w:tcPr>
          <w:p w14:paraId="71A13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10分</w:t>
            </w:r>
          </w:p>
        </w:tc>
        <w:tc>
          <w:tcPr>
            <w:tcW w:w="5689" w:type="dxa"/>
            <w:vAlign w:val="center"/>
          </w:tcPr>
          <w:p w14:paraId="2934D702">
            <w:pPr>
              <w:keepNext w:val="0"/>
              <w:keepLines w:val="0"/>
              <w:widowControl/>
              <w:numPr>
                <w:ilvl w:val="0"/>
                <w:numId w:val="0"/>
              </w:numPr>
              <w:suppressLineNumbers w:val="0"/>
              <w:spacing w:line="360" w:lineRule="auto"/>
              <w:jc w:val="left"/>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根据投标人提供的针对本项目安排专兼职师资力量的方案综合评价：</w:t>
            </w:r>
          </w:p>
          <w:p w14:paraId="7FD214E9">
            <w:pPr>
              <w:keepNext w:val="0"/>
              <w:keepLines w:val="0"/>
              <w:widowControl/>
              <w:numPr>
                <w:ilvl w:val="0"/>
                <w:numId w:val="0"/>
              </w:numPr>
              <w:suppressLineNumbers w:val="0"/>
              <w:spacing w:line="360" w:lineRule="auto"/>
              <w:jc w:val="left"/>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lang w:val="en-US" w:eastAsia="zh-CN" w:bidi="ar-SA"/>
              </w:rPr>
              <w:t>1、</w:t>
            </w:r>
            <w:r>
              <w:rPr>
                <w:rFonts w:hint="eastAsia" w:ascii="新宋体" w:hAnsi="新宋体" w:eastAsia="新宋体" w:cs="新宋体"/>
                <w:color w:val="auto"/>
                <w:kern w:val="2"/>
                <w:sz w:val="24"/>
                <w:szCs w:val="24"/>
                <w:highlight w:val="none"/>
                <w:lang w:val="en-US" w:eastAsia="zh-CN" w:bidi="ar-SA"/>
              </w:rPr>
              <w:t>培训机构专兼职师资规模10名(含)以上的计10分；</w:t>
            </w:r>
          </w:p>
          <w:p w14:paraId="3A39268B">
            <w:pPr>
              <w:keepNext w:val="0"/>
              <w:keepLines w:val="0"/>
              <w:widowControl/>
              <w:numPr>
                <w:ilvl w:val="0"/>
                <w:numId w:val="0"/>
              </w:numPr>
              <w:suppressLineNumbers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2、</w:t>
            </w:r>
            <w:r>
              <w:rPr>
                <w:rFonts w:hint="eastAsia" w:ascii="新宋体" w:hAnsi="新宋体" w:eastAsia="新宋体" w:cs="新宋体"/>
                <w:color w:val="auto"/>
                <w:kern w:val="2"/>
                <w:sz w:val="24"/>
                <w:szCs w:val="24"/>
                <w:highlight w:val="none"/>
                <w:lang w:val="en-US" w:eastAsia="zh-CN" w:bidi="ar-SA"/>
              </w:rPr>
              <w:t>培训机构专兼职师资规模6-9人的计7分</w:t>
            </w:r>
          </w:p>
          <w:p w14:paraId="28D67761">
            <w:pPr>
              <w:keepNext w:val="0"/>
              <w:keepLines w:val="0"/>
              <w:widowControl/>
              <w:numPr>
                <w:ilvl w:val="0"/>
                <w:numId w:val="0"/>
              </w:numPr>
              <w:suppressLineNumbers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3、</w:t>
            </w:r>
            <w:r>
              <w:rPr>
                <w:rFonts w:hint="eastAsia" w:ascii="新宋体" w:hAnsi="新宋体" w:eastAsia="新宋体" w:cs="新宋体"/>
                <w:color w:val="auto"/>
                <w:kern w:val="2"/>
                <w:sz w:val="24"/>
                <w:szCs w:val="24"/>
                <w:highlight w:val="none"/>
                <w:lang w:val="en-US" w:eastAsia="zh-CN" w:bidi="ar-SA"/>
              </w:rPr>
              <w:t>培训机构专兼职师资规模4-5人的计4分</w:t>
            </w:r>
          </w:p>
          <w:p w14:paraId="5CE6FBD0">
            <w:pPr>
              <w:keepNext w:val="0"/>
              <w:keepLines w:val="0"/>
              <w:widowControl/>
              <w:numPr>
                <w:ilvl w:val="0"/>
                <w:numId w:val="0"/>
              </w:numPr>
              <w:suppressLineNumbers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4、</w:t>
            </w:r>
            <w:r>
              <w:rPr>
                <w:rFonts w:hint="eastAsia" w:ascii="新宋体" w:hAnsi="新宋体" w:eastAsia="新宋体" w:cs="新宋体"/>
                <w:color w:val="auto"/>
                <w:kern w:val="2"/>
                <w:sz w:val="24"/>
                <w:szCs w:val="24"/>
                <w:highlight w:val="none"/>
                <w:lang w:val="en-US" w:eastAsia="zh-CN" w:bidi="ar-SA"/>
              </w:rPr>
              <w:t>培训机构专兼职师资规模1-3人的计1分。</w:t>
            </w:r>
          </w:p>
          <w:p w14:paraId="70880598">
            <w:pPr>
              <w:keepNext w:val="0"/>
              <w:keepLines w:val="0"/>
              <w:widowControl/>
              <w:numPr>
                <w:ilvl w:val="0"/>
                <w:numId w:val="0"/>
              </w:numPr>
              <w:suppressLineNumbers w:val="0"/>
              <w:spacing w:line="360" w:lineRule="auto"/>
              <w:ind w:leftChars="0"/>
              <w:jc w:val="left"/>
              <w:rPr>
                <w:rFonts w:hint="eastAsia" w:ascii="新宋体" w:hAnsi="新宋体" w:eastAsia="新宋体" w:cs="新宋体"/>
                <w:color w:val="000000" w:themeColor="text1"/>
                <w:kern w:val="2"/>
                <w:sz w:val="24"/>
                <w:szCs w:val="24"/>
                <w:highlight w:val="none"/>
                <w:lang w:val="en-US" w:eastAsia="zh-CN" w:bidi="ar-SA"/>
                <w14:textFill>
                  <w14:solidFill>
                    <w14:schemeClr w14:val="tx1"/>
                  </w14:solidFill>
                </w14:textFill>
              </w:rPr>
            </w:pPr>
            <w:r>
              <w:rPr>
                <w:rFonts w:hint="eastAsia" w:ascii="新宋体" w:hAnsi="新宋体" w:eastAsia="新宋体" w:cs="新宋体"/>
                <w:color w:val="000000" w:themeColor="text1"/>
                <w:kern w:val="2"/>
                <w:sz w:val="24"/>
                <w:szCs w:val="24"/>
                <w:highlight w:val="none"/>
                <w:lang w:val="en-US" w:eastAsia="zh-CN" w:bidi="ar-SA"/>
                <w14:textFill>
                  <w14:solidFill>
                    <w14:schemeClr w14:val="tx1"/>
                  </w14:solidFill>
                </w14:textFill>
              </w:rPr>
              <w:t>注:</w:t>
            </w:r>
          </w:p>
          <w:p w14:paraId="1EED0813">
            <w:pPr>
              <w:keepNext w:val="0"/>
              <w:keepLines w:val="0"/>
              <w:widowControl/>
              <w:numPr>
                <w:ilvl w:val="0"/>
                <w:numId w:val="0"/>
              </w:numPr>
              <w:suppressLineNumbers w:val="0"/>
              <w:spacing w:line="360" w:lineRule="auto"/>
              <w:ind w:left="0" w:leftChars="0"/>
              <w:jc w:val="left"/>
              <w:rPr>
                <w:rFonts w:ascii="宋体" w:hAnsi="宋体" w:eastAsia="宋体" w:cs="宋体"/>
                <w:sz w:val="24"/>
                <w:szCs w:val="24"/>
              </w:rPr>
            </w:pPr>
            <w:r>
              <w:rPr>
                <w:rFonts w:ascii="宋体" w:hAnsi="宋体" w:eastAsia="宋体" w:cs="宋体"/>
                <w:kern w:val="2"/>
                <w:sz w:val="24"/>
                <w:szCs w:val="24"/>
                <w:lang w:val="en-US" w:eastAsia="zh-CN" w:bidi="ar-SA"/>
              </w:rPr>
              <w:t>（1）</w:t>
            </w:r>
            <w:r>
              <w:rPr>
                <w:rFonts w:ascii="宋体" w:hAnsi="宋体" w:eastAsia="宋体" w:cs="宋体"/>
                <w:sz w:val="24"/>
                <w:szCs w:val="24"/>
              </w:rPr>
              <w:t>自有师资占比≥50%（不足一人算一人），按上述对应分值计取；</w:t>
            </w:r>
            <w:r>
              <w:rPr>
                <w:rStyle w:val="28"/>
                <w:rFonts w:ascii="宋体" w:hAnsi="宋体" w:eastAsia="宋体" w:cs="宋体"/>
                <w:sz w:val="24"/>
                <w:szCs w:val="24"/>
              </w:rPr>
              <w:t>如自有师资占比不足 50% 的，相应分值按对应分值的 50% 计取</w:t>
            </w:r>
            <w:r>
              <w:rPr>
                <w:rFonts w:ascii="宋体" w:hAnsi="宋体" w:eastAsia="宋体" w:cs="宋体"/>
                <w:sz w:val="24"/>
                <w:szCs w:val="24"/>
              </w:rPr>
              <w:t xml:space="preserve">； </w:t>
            </w:r>
          </w:p>
          <w:p w14:paraId="3B1D8CED">
            <w:pPr>
              <w:keepNext w:val="0"/>
              <w:keepLines w:val="0"/>
              <w:widowControl/>
              <w:numPr>
                <w:ilvl w:val="0"/>
                <w:numId w:val="0"/>
              </w:numPr>
              <w:suppressLineNumbers w:val="0"/>
              <w:spacing w:line="360" w:lineRule="auto"/>
              <w:ind w:left="0" w:leftChars="0"/>
              <w:jc w:val="left"/>
              <w:rPr>
                <w:rFonts w:ascii="宋体" w:hAnsi="宋体" w:eastAsia="宋体" w:cs="宋体"/>
                <w:sz w:val="24"/>
                <w:szCs w:val="24"/>
              </w:rPr>
            </w:pPr>
            <w:r>
              <w:rPr>
                <w:rFonts w:ascii="宋体" w:hAnsi="宋体" w:eastAsia="宋体" w:cs="宋体"/>
                <w:sz w:val="24"/>
                <w:szCs w:val="24"/>
              </w:rPr>
              <w:t xml:space="preserve">（2）师资专业需与本项目培训内容相符，专业不符的师资不计入有效师资数量； </w:t>
            </w:r>
          </w:p>
          <w:p w14:paraId="033DB622">
            <w:pPr>
              <w:keepNext w:val="0"/>
              <w:keepLines w:val="0"/>
              <w:widowControl/>
              <w:numPr>
                <w:ilvl w:val="0"/>
                <w:numId w:val="0"/>
              </w:numPr>
              <w:suppressLineNumbers w:val="0"/>
              <w:spacing w:line="360" w:lineRule="auto"/>
              <w:ind w:left="0" w:leftChars="0"/>
              <w:jc w:val="left"/>
              <w:rPr>
                <w:rFonts w:ascii="宋体" w:hAnsi="宋体" w:eastAsia="宋体" w:cs="宋体"/>
                <w:sz w:val="24"/>
                <w:szCs w:val="24"/>
              </w:rPr>
            </w:pPr>
            <w:r>
              <w:rPr>
                <w:rFonts w:ascii="宋体" w:hAnsi="宋体" w:eastAsia="宋体" w:cs="宋体"/>
                <w:sz w:val="24"/>
                <w:szCs w:val="24"/>
              </w:rPr>
              <w:t xml:space="preserve">（3）外聘兼职师资须提供职称证明材料及聘用证明材料，未提供或材料无效的，不计入有效师资； </w:t>
            </w:r>
          </w:p>
          <w:p w14:paraId="4A0C654A">
            <w:pPr>
              <w:keepNext w:val="0"/>
              <w:keepLines w:val="0"/>
              <w:widowControl/>
              <w:numPr>
                <w:ilvl w:val="0"/>
                <w:numId w:val="0"/>
              </w:numPr>
              <w:suppressLineNumbers w:val="0"/>
              <w:spacing w:line="360" w:lineRule="auto"/>
              <w:ind w:left="0" w:leftChars="0"/>
              <w:jc w:val="left"/>
              <w:rPr>
                <w:rFonts w:hint="eastAsia" w:ascii="宋体" w:hAnsi="宋体" w:eastAsia="宋体" w:cs="宋体"/>
                <w:b/>
                <w:bCs/>
                <w:color w:val="auto"/>
                <w:sz w:val="24"/>
                <w:szCs w:val="24"/>
                <w:highlight w:val="none"/>
                <w:lang w:val="en-US" w:eastAsia="zh-CN"/>
              </w:rPr>
            </w:pPr>
            <w:r>
              <w:rPr>
                <w:rFonts w:ascii="宋体" w:hAnsi="宋体" w:eastAsia="宋体" w:cs="宋体"/>
                <w:sz w:val="24"/>
                <w:szCs w:val="24"/>
              </w:rPr>
              <w:t>（4）自有师资须提供职称证明材料及投标截止前近三个月（2026 年 6-8 月）社保缴纳证明，未提供或材料无效的，不计入自有师资、不计入有效师资总量。</w:t>
            </w:r>
          </w:p>
        </w:tc>
      </w:tr>
      <w:tr w14:paraId="34F8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Align w:val="center"/>
          </w:tcPr>
          <w:p w14:paraId="17EFF97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1078" w:type="dxa"/>
            <w:vAlign w:val="center"/>
          </w:tcPr>
          <w:p w14:paraId="3B0C548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合计</w:t>
            </w:r>
          </w:p>
        </w:tc>
        <w:tc>
          <w:tcPr>
            <w:tcW w:w="1150" w:type="dxa"/>
            <w:vAlign w:val="center"/>
          </w:tcPr>
          <w:p w14:paraId="2325736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Align w:val="center"/>
          </w:tcPr>
          <w:p w14:paraId="6BE77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100分</w:t>
            </w:r>
          </w:p>
        </w:tc>
        <w:tc>
          <w:tcPr>
            <w:tcW w:w="5689" w:type="dxa"/>
            <w:vAlign w:val="center"/>
          </w:tcPr>
          <w:p w14:paraId="7CFF8F7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r>
    </w:tbl>
    <w:p w14:paraId="278C8C57">
      <w:pPr>
        <w:pStyle w:val="11"/>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说明：</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供应商提供的上述证明材料必须真实有效，内容不实的，属于提供虚假材料谋取成交，将依照《中华人民共和国政府采购法》等国家和地方有关规定追究相应责任。</w:t>
      </w:r>
    </w:p>
    <w:p w14:paraId="139BAF38">
      <w:pPr>
        <w:rPr>
          <w:rFonts w:hint="eastAsia" w:ascii="宋体" w:hAnsi="宋体" w:eastAsia="宋体" w:cs="宋体"/>
          <w:color w:val="000000" w:themeColor="text1"/>
          <w:sz w:val="28"/>
          <w:szCs w:val="28"/>
          <w:highlight w:val="none"/>
          <w14:textFill>
            <w14:solidFill>
              <w14:schemeClr w14:val="tx1"/>
            </w14:solidFill>
          </w14:textFill>
        </w:rPr>
      </w:pPr>
    </w:p>
    <w:p w14:paraId="483889A1">
      <w:pPr>
        <w:rPr>
          <w:rFonts w:hint="eastAsia" w:ascii="宋体" w:hAnsi="宋体" w:eastAsia="宋体" w:cs="宋体"/>
          <w:b/>
          <w:color w:val="000000" w:themeColor="text1"/>
          <w:kern w:val="1"/>
          <w:sz w:val="32"/>
          <w:szCs w:val="32"/>
          <w:highlight w:val="none"/>
          <w14:textFill>
            <w14:solidFill>
              <w14:schemeClr w14:val="tx1"/>
            </w14:solidFill>
          </w14:textFill>
        </w:rPr>
      </w:pPr>
      <w:r>
        <w:rPr>
          <w:rFonts w:hint="eastAsia" w:ascii="宋体" w:hAnsi="宋体" w:eastAsia="宋体" w:cs="宋体"/>
          <w:b/>
          <w:color w:val="000000" w:themeColor="text1"/>
          <w:kern w:val="1"/>
          <w:sz w:val="32"/>
          <w:szCs w:val="32"/>
          <w:highlight w:val="none"/>
          <w14:textFill>
            <w14:solidFill>
              <w14:schemeClr w14:val="tx1"/>
            </w14:solidFill>
          </w14:textFill>
        </w:rPr>
        <w:br w:type="page"/>
      </w:r>
    </w:p>
    <w:p w14:paraId="2DE62B12">
      <w:pPr>
        <w:pStyle w:val="2"/>
        <w:spacing w:line="360" w:lineRule="auto"/>
        <w:rPr>
          <w:rFonts w:hint="eastAsia" w:ascii="宋体" w:hAnsi="宋体" w:eastAsia="宋体" w:cs="宋体"/>
          <w:color w:val="000000" w:themeColor="text1"/>
          <w:sz w:val="30"/>
          <w:szCs w:val="30"/>
          <w:highlight w:val="none"/>
          <w:lang w:val="en-US" w:eastAsia="zh-CN"/>
          <w14:textFill>
            <w14:solidFill>
              <w14:schemeClr w14:val="tx1"/>
            </w14:solidFill>
          </w14:textFill>
        </w:rPr>
      </w:pPr>
      <w:bookmarkStart w:id="58" w:name="_Toc21740"/>
      <w:r>
        <w:rPr>
          <w:rFonts w:hint="eastAsia" w:ascii="宋体" w:hAnsi="宋体" w:eastAsia="宋体" w:cs="宋体"/>
          <w:b/>
          <w:color w:val="000000" w:themeColor="text1"/>
          <w:kern w:val="1"/>
          <w:sz w:val="32"/>
          <w:szCs w:val="32"/>
          <w:highlight w:val="none"/>
          <w14:textFill>
            <w14:solidFill>
              <w14:schemeClr w14:val="tx1"/>
            </w14:solidFill>
          </w14:textFill>
        </w:rPr>
        <w:t xml:space="preserve">第三章 </w:t>
      </w:r>
      <w:bookmarkEnd w:id="45"/>
      <w:bookmarkEnd w:id="46"/>
      <w:bookmarkEnd w:id="47"/>
      <w:bookmarkEnd w:id="48"/>
      <w:bookmarkEnd w:id="49"/>
      <w:bookmarkEnd w:id="50"/>
      <w:bookmarkEnd w:id="51"/>
      <w:bookmarkStart w:id="59" w:name="_Toc5018"/>
      <w:bookmarkStart w:id="60" w:name="_Toc32479"/>
      <w:bookmarkStart w:id="61" w:name="_Toc74"/>
      <w:r>
        <w:rPr>
          <w:rFonts w:hint="eastAsia" w:ascii="宋体" w:hAnsi="宋体" w:eastAsia="宋体" w:cs="宋体"/>
          <w:color w:val="000000" w:themeColor="text1"/>
          <w:sz w:val="30"/>
          <w:szCs w:val="30"/>
          <w:highlight w:val="none"/>
          <w:lang w:val="en-US" w:eastAsia="zh-CN"/>
          <w14:textFill>
            <w14:solidFill>
              <w14:schemeClr w14:val="tx1"/>
            </w14:solidFill>
          </w14:textFill>
        </w:rPr>
        <w:t>合同草案条款</w:t>
      </w:r>
      <w:bookmarkEnd w:id="58"/>
    </w:p>
    <w:p w14:paraId="6C9001A3">
      <w:pPr>
        <w:keepNext w:val="0"/>
        <w:keepLines w:val="0"/>
        <w:pageBreakBefore w:val="0"/>
        <w:widowControl w:val="0"/>
        <w:kinsoku w:val="0"/>
        <w:wordWrap/>
        <w:overflowPunct/>
        <w:topLinePunct w:val="0"/>
        <w:autoSpaceDE w:val="0"/>
        <w:autoSpaceDN w:val="0"/>
        <w:bidi w:val="0"/>
        <w:adjustRightInd w:val="0"/>
        <w:snapToGrid w:val="0"/>
        <w:spacing w:line="560" w:lineRule="exact"/>
        <w:ind w:left="1315" w:leftChars="0" w:right="79" w:rightChars="0" w:hanging="1315" w:firstLineChars="0"/>
        <w:jc w:val="center"/>
        <w:textAlignment w:val="baseline"/>
        <w:rPr>
          <w:rFonts w:hint="eastAsia" w:ascii="宋体" w:hAnsi="宋体" w:eastAsia="宋体" w:cs="宋体"/>
          <w:b/>
          <w:bCs/>
          <w:spacing w:val="5"/>
          <w:sz w:val="32"/>
          <w:szCs w:val="32"/>
        </w:rPr>
      </w:pPr>
      <w:bookmarkStart w:id="62" w:name="_Toc6253"/>
      <w:bookmarkStart w:id="63" w:name="_Toc567"/>
      <w:r>
        <w:rPr>
          <w:rFonts w:hint="eastAsia" w:ascii="宋体" w:hAnsi="宋体" w:eastAsia="宋体" w:cs="宋体"/>
          <w:b/>
          <w:bCs/>
          <w:spacing w:val="5"/>
          <w:sz w:val="32"/>
          <w:szCs w:val="32"/>
          <w:lang w:eastAsia="zh-CN"/>
        </w:rPr>
        <w:t>花垣县2026年高素质农民培育服务采购项目</w:t>
      </w:r>
    </w:p>
    <w:p w14:paraId="6F510D7E">
      <w:pPr>
        <w:keepNext w:val="0"/>
        <w:keepLines w:val="0"/>
        <w:pageBreakBefore w:val="0"/>
        <w:widowControl w:val="0"/>
        <w:kinsoku w:val="0"/>
        <w:wordWrap/>
        <w:overflowPunct/>
        <w:topLinePunct w:val="0"/>
        <w:autoSpaceDE w:val="0"/>
        <w:autoSpaceDN w:val="0"/>
        <w:bidi w:val="0"/>
        <w:adjustRightInd w:val="0"/>
        <w:snapToGrid w:val="0"/>
        <w:spacing w:line="560" w:lineRule="exact"/>
        <w:ind w:left="1315" w:leftChars="0" w:right="79" w:rightChars="0" w:hanging="1315" w:firstLineChars="0"/>
        <w:jc w:val="center"/>
        <w:textAlignment w:val="baseline"/>
        <w:rPr>
          <w:rFonts w:hint="eastAsia" w:ascii="宋体" w:hAnsi="宋体" w:eastAsia="宋体" w:cs="宋体"/>
          <w:sz w:val="32"/>
          <w:szCs w:val="32"/>
        </w:rPr>
      </w:pPr>
      <w:r>
        <w:rPr>
          <w:rFonts w:hint="eastAsia" w:ascii="宋体" w:hAnsi="宋体" w:eastAsia="宋体" w:cs="宋体"/>
          <w:b/>
          <w:bCs/>
          <w:spacing w:val="5"/>
          <w:sz w:val="32"/>
          <w:szCs w:val="32"/>
        </w:rPr>
        <w:t>委托培训协议书</w:t>
      </w:r>
    </w:p>
    <w:p w14:paraId="491C0F9E">
      <w:pPr>
        <w:rPr>
          <w:rFonts w:hint="eastAsia" w:ascii="宋体" w:hAnsi="宋体" w:eastAsia="宋体" w:cs="宋体"/>
        </w:rPr>
      </w:pPr>
    </w:p>
    <w:p w14:paraId="31CD1FB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采购人（全称）：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（甲方）</w:t>
      </w:r>
    </w:p>
    <w:p w14:paraId="7108B96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供应商（全称）：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（乙方）</w:t>
      </w:r>
    </w:p>
    <w:p w14:paraId="0ECC67A3">
      <w:pPr>
        <w:rPr>
          <w:rFonts w:hint="eastAsia" w:ascii="宋体" w:hAnsi="宋体" w:eastAsia="宋体" w:cs="宋体"/>
        </w:rPr>
      </w:pPr>
    </w:p>
    <w:p w14:paraId="10CFEC4A">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2" w:firstLine="48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为了保护甲、乙双方合法权益，根据《中华人民共和国民法典》《中华人民共和国政府采购法》及其他有关法律法规、规章，</w:t>
      </w:r>
      <w:r>
        <w:rPr>
          <w:rFonts w:hint="eastAsia" w:ascii="宋体" w:hAnsi="宋体" w:eastAsia="宋体" w:cs="宋体"/>
          <w:spacing w:val="-3"/>
          <w:kern w:val="2"/>
          <w:sz w:val="24"/>
          <w:szCs w:val="24"/>
          <w:lang w:val="en-US" w:eastAsia="zh-CN" w:bidi="ar-SA"/>
        </w:rPr>
        <w:t>按照《湖南省农业农村厅办公室关于印发〈湖南省</w:t>
      </w:r>
      <w:r>
        <w:rPr>
          <w:rFonts w:hint="eastAsia" w:ascii="宋体" w:hAnsi="宋体" w:eastAsia="宋体" w:cs="宋体"/>
          <w:spacing w:val="-3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w:t>
      </w:r>
      <w:r>
        <w:rPr>
          <w:rFonts w:hint="eastAsia" w:ascii="宋体" w:hAnsi="宋体" w:eastAsia="宋体" w:cs="宋体"/>
          <w:spacing w:val="-1"/>
          <w:kern w:val="2"/>
          <w:sz w:val="24"/>
          <w:szCs w:val="24"/>
          <w:lang w:val="en-US" w:eastAsia="zh-CN" w:bidi="ar-SA"/>
        </w:rPr>
        <w:t>素质农民培育工作实施方案〉的通知》（湘农办发〔2026〕22</w:t>
      </w:r>
      <w:r>
        <w:rPr>
          <w:rFonts w:hint="eastAsia" w:ascii="宋体" w:hAnsi="宋体" w:eastAsia="宋体" w:cs="宋体"/>
          <w:spacing w:val="-44"/>
          <w:kern w:val="2"/>
          <w:sz w:val="24"/>
          <w:szCs w:val="24"/>
          <w:lang w:val="en-US" w:eastAsia="zh-CN" w:bidi="ar-SA"/>
        </w:rPr>
        <w:t xml:space="preserve"> </w:t>
      </w:r>
      <w:r>
        <w:rPr>
          <w:rFonts w:hint="eastAsia" w:ascii="宋体" w:hAnsi="宋体" w:eastAsia="宋体" w:cs="宋体"/>
          <w:spacing w:val="-1"/>
          <w:kern w:val="2"/>
          <w:sz w:val="24"/>
          <w:szCs w:val="24"/>
          <w:lang w:val="en-US" w:eastAsia="zh-CN" w:bidi="ar-SA"/>
        </w:rPr>
        <w:t>号文件）和关于</w:t>
      </w:r>
      <w:r>
        <w:rPr>
          <w:rFonts w:hint="eastAsia" w:ascii="宋体" w:hAnsi="宋体" w:eastAsia="宋体" w:cs="宋体"/>
          <w:spacing w:val="-2"/>
          <w:kern w:val="2"/>
          <w:sz w:val="24"/>
          <w:szCs w:val="24"/>
          <w:lang w:val="en-US" w:eastAsia="zh-CN" w:bidi="ar-SA"/>
        </w:rPr>
        <w:t>印发《湘西州</w:t>
      </w:r>
      <w:r>
        <w:rPr>
          <w:rFonts w:hint="eastAsia" w:ascii="宋体" w:hAnsi="宋体" w:eastAsia="宋体" w:cs="宋体"/>
          <w:kern w:val="2"/>
          <w:sz w:val="24"/>
          <w:szCs w:val="24"/>
          <w:lang w:val="en-US" w:eastAsia="zh-CN" w:bidi="ar-SA"/>
        </w:rPr>
        <w:t>2026</w:t>
      </w:r>
      <w:r>
        <w:rPr>
          <w:rFonts w:hint="eastAsia" w:ascii="宋体" w:hAnsi="宋体" w:eastAsia="宋体" w:cs="宋体"/>
          <w:spacing w:val="-47"/>
          <w:kern w:val="2"/>
          <w:sz w:val="24"/>
          <w:szCs w:val="24"/>
          <w:lang w:val="en-US" w:eastAsia="zh-CN" w:bidi="ar-SA"/>
        </w:rPr>
        <w:t xml:space="preserve"> </w:t>
      </w:r>
      <w:r>
        <w:rPr>
          <w:rFonts w:hint="eastAsia" w:ascii="宋体" w:hAnsi="宋体" w:eastAsia="宋体" w:cs="宋体"/>
          <w:kern w:val="2"/>
          <w:sz w:val="24"/>
          <w:szCs w:val="24"/>
          <w:lang w:val="en-US" w:eastAsia="zh-CN" w:bidi="ar-SA"/>
        </w:rPr>
        <w:t>年高素质农民培育工作实施方案》的通知（州农办发〔2026〕5</w:t>
      </w:r>
      <w:r>
        <w:rPr>
          <w:rFonts w:hint="eastAsia" w:ascii="宋体" w:hAnsi="宋体" w:eastAsia="宋体" w:cs="宋体"/>
          <w:spacing w:val="-45"/>
          <w:kern w:val="2"/>
          <w:sz w:val="24"/>
          <w:szCs w:val="24"/>
          <w:lang w:val="en-US" w:eastAsia="zh-CN" w:bidi="ar-SA"/>
        </w:rPr>
        <w:t xml:space="preserve"> </w:t>
      </w:r>
      <w:r>
        <w:rPr>
          <w:rFonts w:hint="eastAsia" w:ascii="宋体" w:hAnsi="宋体" w:eastAsia="宋体" w:cs="宋体"/>
          <w:kern w:val="2"/>
          <w:sz w:val="24"/>
          <w:szCs w:val="24"/>
          <w:lang w:val="en-US" w:eastAsia="zh-CN" w:bidi="ar-SA"/>
        </w:rPr>
        <w:t>号）等文件要</w:t>
      </w:r>
      <w:r>
        <w:rPr>
          <w:rFonts w:hint="eastAsia" w:ascii="宋体" w:hAnsi="宋体" w:eastAsia="宋体" w:cs="宋体"/>
          <w:spacing w:val="-1"/>
          <w:kern w:val="2"/>
          <w:sz w:val="24"/>
          <w:szCs w:val="24"/>
          <w:lang w:val="en-US" w:eastAsia="zh-CN" w:bidi="ar-SA"/>
        </w:rPr>
        <w:t>求，经甲乙双方协商一致，达成如下协议：</w:t>
      </w:r>
    </w:p>
    <w:p w14:paraId="3D1D2369">
      <w:pPr>
        <w:keepNext w:val="0"/>
        <w:keepLines w:val="0"/>
        <w:pageBreakBefore w:val="0"/>
        <w:widowControl w:val="0"/>
        <w:kinsoku/>
        <w:wordWrap/>
        <w:overflowPunct/>
        <w:topLinePunct w:val="0"/>
        <w:autoSpaceDE/>
        <w:autoSpaceDN/>
        <w:bidi w:val="0"/>
        <w:adjustRightInd w:val="0"/>
        <w:snapToGrid w:val="0"/>
        <w:spacing w:line="460" w:lineRule="exact"/>
        <w:ind w:firstLine="482" w:firstLineChars="200"/>
        <w:textAlignment w:val="auto"/>
        <w:outlineLvl w:val="1"/>
        <w:rPr>
          <w:rFonts w:hint="eastAsia" w:ascii="宋体" w:hAnsi="宋体" w:eastAsia="宋体" w:cs="宋体"/>
          <w:b/>
          <w:sz w:val="24"/>
          <w:szCs w:val="24"/>
        </w:rPr>
      </w:pPr>
      <w:bookmarkStart w:id="64" w:name="_Toc12811"/>
      <w:bookmarkStart w:id="65" w:name="_Toc18075"/>
      <w:r>
        <w:rPr>
          <w:rFonts w:hint="eastAsia" w:ascii="宋体" w:hAnsi="宋体" w:eastAsia="宋体" w:cs="宋体"/>
          <w:b/>
          <w:sz w:val="24"/>
          <w:szCs w:val="24"/>
          <w:lang w:val="en-US" w:eastAsia="zh-CN"/>
        </w:rPr>
        <w:t>一、</w:t>
      </w:r>
      <w:r>
        <w:rPr>
          <w:rFonts w:hint="eastAsia" w:ascii="宋体" w:hAnsi="宋体" w:eastAsia="宋体" w:cs="宋体"/>
          <w:b/>
          <w:sz w:val="24"/>
          <w:szCs w:val="24"/>
        </w:rPr>
        <w:t>项目信息</w:t>
      </w:r>
      <w:bookmarkEnd w:id="64"/>
      <w:bookmarkEnd w:id="65"/>
    </w:p>
    <w:p w14:paraId="02EB9383">
      <w:pPr>
        <w:keepNext w:val="0"/>
        <w:keepLines w:val="0"/>
        <w:pageBreakBefore w:val="0"/>
        <w:widowControl w:val="0"/>
        <w:kinsoku/>
        <w:wordWrap/>
        <w:overflowPunct/>
        <w:topLinePunct w:val="0"/>
        <w:autoSpaceDE/>
        <w:autoSpaceDN/>
        <w:bidi w:val="0"/>
        <w:adjustRightInd w:val="0"/>
        <w:snapToGrid w:val="0"/>
        <w:spacing w:after="0" w:line="460" w:lineRule="exact"/>
        <w:ind w:left="420" w:left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kern w:val="2"/>
          <w:sz w:val="24"/>
          <w:szCs w:val="24"/>
          <w:lang w:val="en-US" w:eastAsia="zh-CN" w:bidi="ar-SA"/>
        </w:rPr>
        <w:t>1.采购项目名称</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u w:val="single"/>
          <w:lang w:val="en-US" w:eastAsia="zh-CN" w:bidi="ar-SA"/>
        </w:rPr>
        <w:t xml:space="preserve">                      </w:t>
      </w:r>
    </w:p>
    <w:p w14:paraId="602FB6E1">
      <w:pPr>
        <w:keepNext w:val="0"/>
        <w:keepLines w:val="0"/>
        <w:pageBreakBefore w:val="0"/>
        <w:widowControl w:val="0"/>
        <w:kinsoku/>
        <w:wordWrap/>
        <w:overflowPunct/>
        <w:topLinePunct w:val="0"/>
        <w:autoSpaceDE/>
        <w:autoSpaceDN/>
        <w:bidi w:val="0"/>
        <w:adjustRightInd w:val="0"/>
        <w:snapToGrid w:val="0"/>
        <w:spacing w:after="0" w:line="460" w:lineRule="exact"/>
        <w:ind w:left="420" w:left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2.采购计划编号：</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lang w:val="zh-CN" w:eastAsia="zh-CN" w:bidi="ar-SA"/>
        </w:rPr>
        <w:t xml:space="preserve"> </w:t>
      </w:r>
      <w:r>
        <w:rPr>
          <w:rFonts w:hint="eastAsia" w:ascii="宋体" w:hAnsi="宋体" w:eastAsia="宋体" w:cs="宋体"/>
          <w:color w:val="auto"/>
          <w:kern w:val="2"/>
          <w:sz w:val="24"/>
          <w:szCs w:val="24"/>
          <w:highlight w:val="none"/>
          <w:u w:val="single"/>
          <w:lang w:val="en-US" w:eastAsia="zh-CN" w:bidi="ar-SA"/>
        </w:rPr>
        <w:t xml:space="preserve"> </w:t>
      </w:r>
    </w:p>
    <w:p w14:paraId="1D9FDDF3">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3.包    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zh-CN" w:eastAsia="zh-CN"/>
        </w:rPr>
        <w:t xml:space="preserve"> </w:t>
      </w:r>
      <w:r>
        <w:rPr>
          <w:rFonts w:hint="eastAsia" w:ascii="宋体" w:hAnsi="宋体" w:eastAsia="宋体" w:cs="宋体"/>
          <w:color w:val="auto"/>
          <w:sz w:val="24"/>
          <w:szCs w:val="24"/>
          <w:highlight w:val="none"/>
          <w:u w:val="single"/>
          <w:lang w:val="en-US" w:eastAsia="zh-CN"/>
        </w:rPr>
        <w:t xml:space="preserve"> </w:t>
      </w:r>
    </w:p>
    <w:p w14:paraId="169F37C1">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是否分包：</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p>
    <w:p w14:paraId="339EA94A">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项目负责人：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3E6C8F92">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0E431B6E">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outlineLvl w:val="1"/>
        <w:rPr>
          <w:rFonts w:hint="eastAsia" w:ascii="宋体" w:hAnsi="宋体" w:eastAsia="宋体" w:cs="宋体"/>
          <w:kern w:val="2"/>
          <w:sz w:val="24"/>
          <w:szCs w:val="24"/>
          <w:lang w:val="en-US" w:eastAsia="zh-CN" w:bidi="ar-SA"/>
        </w:rPr>
      </w:pPr>
      <w:bookmarkStart w:id="66" w:name="_Toc3061"/>
      <w:bookmarkStart w:id="67" w:name="_Toc2621"/>
      <w:r>
        <w:rPr>
          <w:rFonts w:hint="eastAsia" w:ascii="宋体" w:hAnsi="宋体" w:eastAsia="宋体" w:cs="宋体"/>
          <w:b/>
          <w:bCs/>
          <w:spacing w:val="-3"/>
          <w:kern w:val="2"/>
          <w:sz w:val="24"/>
          <w:szCs w:val="24"/>
          <w:lang w:val="en-US" w:eastAsia="zh-CN" w:bidi="ar-SA"/>
        </w:rPr>
        <w:t>二、培训人数、时间与地点</w:t>
      </w:r>
      <w:bookmarkEnd w:id="66"/>
      <w:bookmarkEnd w:id="67"/>
    </w:p>
    <w:p w14:paraId="690D7AD3">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pacing w:val="-3"/>
          <w:kern w:val="2"/>
          <w:sz w:val="24"/>
          <w:szCs w:val="24"/>
          <w:lang w:val="en-US" w:eastAsia="zh-CN" w:bidi="ar-SA"/>
        </w:rPr>
        <w:t>培训人数：</w:t>
      </w:r>
      <w:r>
        <w:rPr>
          <w:rFonts w:hint="eastAsia" w:ascii="宋体" w:hAnsi="宋体" w:eastAsia="宋体" w:cs="宋体"/>
          <w:spacing w:val="-3"/>
          <w:kern w:val="2"/>
          <w:sz w:val="24"/>
          <w:szCs w:val="24"/>
          <w:u w:val="single" w:color="auto"/>
          <w:lang w:val="en-US" w:eastAsia="zh-CN" w:bidi="ar-SA"/>
        </w:rPr>
        <w:t xml:space="preserve">    </w:t>
      </w:r>
      <w:r>
        <w:rPr>
          <w:rFonts w:hint="eastAsia" w:ascii="宋体" w:hAnsi="宋体" w:eastAsia="宋体" w:cs="宋体"/>
          <w:spacing w:val="-10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人（共分为2个班）</w:t>
      </w:r>
    </w:p>
    <w:p w14:paraId="26BF684D">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2.</w:t>
      </w:r>
      <w:r>
        <w:rPr>
          <w:rFonts w:hint="eastAsia" w:ascii="宋体" w:hAnsi="宋体" w:eastAsia="宋体" w:cs="宋体"/>
          <w:spacing w:val="-7"/>
          <w:kern w:val="2"/>
          <w:sz w:val="24"/>
          <w:szCs w:val="24"/>
          <w:lang w:val="en-US" w:eastAsia="zh-CN" w:bidi="ar-SA"/>
        </w:rPr>
        <w:t>培训时间：</w:t>
      </w:r>
      <w:r>
        <w:rPr>
          <w:rFonts w:hint="eastAsia" w:ascii="宋体" w:hAnsi="宋体" w:eastAsia="宋体" w:cs="宋体"/>
          <w:kern w:val="2"/>
          <w:sz w:val="24"/>
          <w:szCs w:val="24"/>
          <w:u w:val="single" w:color="auto"/>
          <w:lang w:val="en-US" w:eastAsia="zh-CN" w:bidi="ar-SA"/>
        </w:rPr>
        <w:t xml:space="preserve">                      </w:t>
      </w:r>
    </w:p>
    <w:p w14:paraId="414A844F">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spacing w:val="-3"/>
          <w:kern w:val="2"/>
          <w:sz w:val="24"/>
          <w:szCs w:val="24"/>
          <w:lang w:val="en-US" w:eastAsia="zh-CN" w:bidi="ar-SA"/>
        </w:rPr>
        <w:t>培训地点：</w:t>
      </w:r>
      <w:r>
        <w:rPr>
          <w:rFonts w:hint="eastAsia" w:ascii="宋体" w:hAnsi="宋体" w:eastAsia="宋体" w:cs="宋体"/>
          <w:kern w:val="2"/>
          <w:sz w:val="24"/>
          <w:szCs w:val="24"/>
          <w:u w:val="single" w:color="auto"/>
          <w:lang w:val="en-US" w:eastAsia="zh-CN" w:bidi="ar-SA"/>
        </w:rPr>
        <w:t xml:space="preserve">                      </w:t>
      </w:r>
    </w:p>
    <w:p w14:paraId="6ACFACFF">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4.</w:t>
      </w:r>
      <w:r>
        <w:rPr>
          <w:rFonts w:hint="eastAsia" w:ascii="宋体" w:hAnsi="宋体" w:eastAsia="宋体" w:cs="宋体"/>
          <w:spacing w:val="-3"/>
          <w:kern w:val="2"/>
          <w:sz w:val="24"/>
          <w:szCs w:val="24"/>
          <w:lang w:val="en-US" w:eastAsia="zh-CN" w:bidi="ar-SA"/>
        </w:rPr>
        <w:t>培训内容：</w:t>
      </w:r>
      <w:r>
        <w:rPr>
          <w:rFonts w:hint="eastAsia" w:ascii="宋体" w:hAnsi="宋体" w:eastAsia="宋体" w:cs="宋体"/>
          <w:kern w:val="2"/>
          <w:sz w:val="24"/>
          <w:szCs w:val="24"/>
          <w:u w:val="single" w:color="auto"/>
          <w:lang w:val="en-US" w:eastAsia="zh-CN" w:bidi="ar-SA"/>
        </w:rPr>
        <w:t xml:space="preserve">                      </w:t>
      </w:r>
    </w:p>
    <w:p w14:paraId="3B4DD8B3">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outlineLvl w:val="1"/>
        <w:rPr>
          <w:rFonts w:hint="eastAsia" w:ascii="宋体" w:hAnsi="宋体" w:eastAsia="宋体" w:cs="宋体"/>
          <w:kern w:val="2"/>
          <w:sz w:val="24"/>
          <w:szCs w:val="24"/>
          <w:lang w:val="en-US" w:eastAsia="zh-CN" w:bidi="ar-SA"/>
        </w:rPr>
      </w:pPr>
      <w:bookmarkStart w:id="68" w:name="_Toc8952"/>
      <w:bookmarkStart w:id="69" w:name="_Toc23782"/>
      <w:r>
        <w:rPr>
          <w:rFonts w:hint="eastAsia" w:ascii="宋体" w:hAnsi="宋体" w:eastAsia="宋体" w:cs="宋体"/>
          <w:b/>
          <w:bCs/>
          <w:spacing w:val="-4"/>
          <w:kern w:val="2"/>
          <w:sz w:val="24"/>
          <w:szCs w:val="24"/>
          <w:lang w:val="en-US" w:eastAsia="zh-CN" w:bidi="ar-SA"/>
        </w:rPr>
        <w:t>三、培训要求</w:t>
      </w:r>
      <w:bookmarkEnd w:id="68"/>
      <w:bookmarkEnd w:id="69"/>
    </w:p>
    <w:p w14:paraId="36512CFF">
      <w:pPr>
        <w:keepNext w:val="0"/>
        <w:keepLines w:val="0"/>
        <w:pageBreakBefore w:val="0"/>
        <w:widowControl w:val="0"/>
        <w:kinsoku/>
        <w:wordWrap/>
        <w:overflowPunct/>
        <w:topLinePunct w:val="0"/>
        <w:autoSpaceDE w:val="0"/>
        <w:autoSpaceDN w:val="0"/>
        <w:bidi w:val="0"/>
        <w:adjustRightInd w:val="0"/>
        <w:snapToGrid w:val="0"/>
        <w:spacing w:after="0" w:line="460" w:lineRule="exact"/>
        <w:ind w:left="9" w:right="2" w:firstLine="482"/>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3"/>
          <w:kern w:val="2"/>
          <w:sz w:val="24"/>
          <w:szCs w:val="24"/>
          <w:lang w:val="en-US" w:eastAsia="zh-CN" w:bidi="ar-SA"/>
        </w:rPr>
        <w:t>按照《湖南省</w:t>
      </w:r>
      <w:r>
        <w:rPr>
          <w:rFonts w:hint="eastAsia" w:ascii="宋体" w:hAnsi="宋体" w:eastAsia="宋体" w:cs="宋体"/>
          <w:spacing w:val="-45"/>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年高素质农民培育工作实施方案》等及招标文件要求设置培训课程，乙方在培训开</w:t>
      </w:r>
      <w:r>
        <w:rPr>
          <w:rFonts w:hint="eastAsia" w:ascii="宋体" w:hAnsi="宋体" w:eastAsia="宋体" w:cs="宋体"/>
          <w:spacing w:val="1"/>
          <w:kern w:val="2"/>
          <w:sz w:val="24"/>
          <w:szCs w:val="24"/>
          <w:lang w:val="en-US" w:eastAsia="zh-CN" w:bidi="ar-SA"/>
        </w:rPr>
        <w:t>班前按程序规范报送培训方案、教材清单、课堂教学方案、实习</w:t>
      </w:r>
      <w:r>
        <w:rPr>
          <w:rFonts w:hint="eastAsia" w:ascii="宋体" w:hAnsi="宋体" w:eastAsia="宋体" w:cs="宋体"/>
          <w:kern w:val="2"/>
          <w:sz w:val="24"/>
          <w:szCs w:val="24"/>
          <w:lang w:val="en-US" w:eastAsia="zh-CN" w:bidi="ar-SA"/>
        </w:rPr>
        <w:t>实训方案、跟踪服务计划等</w:t>
      </w:r>
      <w:r>
        <w:rPr>
          <w:rFonts w:hint="eastAsia" w:ascii="宋体" w:hAnsi="宋体" w:eastAsia="宋体" w:cs="宋体"/>
          <w:spacing w:val="-1"/>
          <w:kern w:val="2"/>
          <w:sz w:val="24"/>
          <w:szCs w:val="24"/>
          <w:lang w:val="en-US" w:eastAsia="zh-CN" w:bidi="ar-SA"/>
        </w:rPr>
        <w:t>规范性培训资料，并按照双方确认的培训计划与课程执行。</w:t>
      </w:r>
    </w:p>
    <w:p w14:paraId="4D0C1149">
      <w:pPr>
        <w:keepNext w:val="0"/>
        <w:keepLines w:val="0"/>
        <w:pageBreakBefore w:val="0"/>
        <w:widowControl w:val="0"/>
        <w:kinsoku/>
        <w:wordWrap/>
        <w:overflowPunct/>
        <w:topLinePunct w:val="0"/>
        <w:autoSpaceDE w:val="0"/>
        <w:autoSpaceDN w:val="0"/>
        <w:bidi w:val="0"/>
        <w:adjustRightInd w:val="0"/>
        <w:snapToGrid w:val="0"/>
        <w:spacing w:after="0" w:line="460" w:lineRule="exact"/>
        <w:ind w:left="490"/>
        <w:jc w:val="both"/>
        <w:textAlignment w:val="baseline"/>
        <w:outlineLvl w:val="1"/>
        <w:rPr>
          <w:rFonts w:hint="eastAsia" w:ascii="宋体" w:hAnsi="宋体" w:eastAsia="宋体" w:cs="宋体"/>
          <w:kern w:val="2"/>
          <w:sz w:val="24"/>
          <w:szCs w:val="24"/>
          <w:lang w:val="en-US" w:eastAsia="zh-CN" w:bidi="ar-SA"/>
        </w:rPr>
      </w:pPr>
      <w:bookmarkStart w:id="70" w:name="_Toc6204"/>
      <w:bookmarkStart w:id="71" w:name="_Toc25813"/>
      <w:r>
        <w:rPr>
          <w:rFonts w:hint="eastAsia" w:ascii="宋体" w:hAnsi="宋体" w:eastAsia="宋体" w:cs="宋体"/>
          <w:b/>
          <w:bCs/>
          <w:spacing w:val="-4"/>
          <w:kern w:val="2"/>
          <w:sz w:val="24"/>
          <w:szCs w:val="24"/>
          <w:lang w:val="en-US" w:eastAsia="zh-CN" w:bidi="ar-SA"/>
        </w:rPr>
        <w:t>四、获证类型</w:t>
      </w:r>
      <w:bookmarkEnd w:id="70"/>
      <w:bookmarkEnd w:id="71"/>
    </w:p>
    <w:p w14:paraId="0F09074D">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学员经考核合格后发放结业证书。</w:t>
      </w:r>
    </w:p>
    <w:p w14:paraId="45AA6A75">
      <w:pPr>
        <w:keepNext w:val="0"/>
        <w:keepLines w:val="0"/>
        <w:pageBreakBefore w:val="0"/>
        <w:widowControl w:val="0"/>
        <w:kinsoku/>
        <w:wordWrap/>
        <w:overflowPunct/>
        <w:topLinePunct w:val="0"/>
        <w:autoSpaceDE w:val="0"/>
        <w:autoSpaceDN w:val="0"/>
        <w:bidi w:val="0"/>
        <w:adjustRightInd w:val="0"/>
        <w:snapToGrid w:val="0"/>
        <w:spacing w:after="0" w:line="460" w:lineRule="exact"/>
        <w:ind w:left="512"/>
        <w:jc w:val="both"/>
        <w:textAlignment w:val="baseline"/>
        <w:outlineLvl w:val="1"/>
        <w:rPr>
          <w:rFonts w:hint="eastAsia" w:ascii="宋体" w:hAnsi="宋体" w:eastAsia="宋体" w:cs="宋体"/>
          <w:kern w:val="2"/>
          <w:sz w:val="24"/>
          <w:szCs w:val="24"/>
          <w:lang w:val="en-US" w:eastAsia="zh-CN" w:bidi="ar-SA"/>
        </w:rPr>
      </w:pPr>
      <w:bookmarkStart w:id="72" w:name="_Toc5702"/>
      <w:bookmarkStart w:id="73" w:name="_Toc15659"/>
      <w:r>
        <w:rPr>
          <w:rFonts w:hint="eastAsia" w:ascii="宋体" w:hAnsi="宋体" w:eastAsia="宋体" w:cs="宋体"/>
          <w:b/>
          <w:bCs/>
          <w:spacing w:val="-5"/>
          <w:kern w:val="2"/>
          <w:sz w:val="24"/>
          <w:szCs w:val="24"/>
          <w:lang w:val="en-US" w:eastAsia="zh-CN" w:bidi="ar-SA"/>
        </w:rPr>
        <w:t>五、培训费用及付款方式</w:t>
      </w:r>
      <w:bookmarkEnd w:id="72"/>
      <w:bookmarkEnd w:id="73"/>
    </w:p>
    <w:p w14:paraId="1D810969">
      <w:pPr>
        <w:keepNext w:val="0"/>
        <w:keepLines w:val="0"/>
        <w:pageBreakBefore w:val="0"/>
        <w:widowControl w:val="0"/>
        <w:kinsoku/>
        <w:wordWrap/>
        <w:overflowPunct/>
        <w:topLinePunct w:val="0"/>
        <w:autoSpaceDE w:val="0"/>
        <w:autoSpaceDN w:val="0"/>
        <w:bidi w:val="0"/>
        <w:adjustRightInd w:val="0"/>
        <w:snapToGrid w:val="0"/>
        <w:spacing w:after="0" w:line="460" w:lineRule="exact"/>
        <w:ind w:right="80" w:firstLine="482" w:firstLineChars="200"/>
        <w:jc w:val="both"/>
        <w:textAlignment w:val="baseline"/>
        <w:rPr>
          <w:rFonts w:hint="eastAsia" w:ascii="宋体" w:hAnsi="宋体" w:eastAsia="宋体" w:cs="宋体"/>
          <w:b/>
          <w:bCs/>
          <w:spacing w:val="-4"/>
          <w:kern w:val="2"/>
          <w:sz w:val="24"/>
          <w:szCs w:val="24"/>
          <w:lang w:val="en-US" w:eastAsia="zh-CN" w:bidi="ar-SA"/>
        </w:rPr>
      </w:pPr>
      <w:r>
        <w:rPr>
          <w:rFonts w:hint="eastAsia" w:ascii="宋体" w:hAnsi="宋体" w:eastAsia="宋体" w:cs="宋体"/>
          <w:b/>
          <w:bCs/>
          <w:kern w:val="2"/>
          <w:sz w:val="24"/>
          <w:szCs w:val="24"/>
          <w:lang w:val="en-US" w:eastAsia="zh-CN" w:bidi="ar-SA"/>
        </w:rPr>
        <w:t>（一）</w:t>
      </w:r>
      <w:r>
        <w:rPr>
          <w:rFonts w:hint="eastAsia" w:ascii="宋体" w:hAnsi="宋体" w:eastAsia="宋体" w:cs="宋体"/>
          <w:b/>
          <w:bCs/>
          <w:spacing w:val="-4"/>
          <w:kern w:val="2"/>
          <w:sz w:val="24"/>
          <w:szCs w:val="24"/>
          <w:lang w:val="en-US" w:eastAsia="zh-CN" w:bidi="ar-SA"/>
        </w:rPr>
        <w:t>费用标准</w:t>
      </w:r>
    </w:p>
    <w:p w14:paraId="54A91068">
      <w:pPr>
        <w:keepNext w:val="0"/>
        <w:keepLines w:val="0"/>
        <w:pageBreakBefore w:val="0"/>
        <w:widowControl w:val="0"/>
        <w:kinsoku/>
        <w:wordWrap/>
        <w:overflowPunct/>
        <w:topLinePunct w:val="0"/>
        <w:autoSpaceDE w:val="0"/>
        <w:autoSpaceDN w:val="0"/>
        <w:bidi w:val="0"/>
        <w:adjustRightInd w:val="0"/>
        <w:snapToGrid w:val="0"/>
        <w:spacing w:after="0" w:line="460" w:lineRule="exact"/>
        <w:ind w:right="80" w:firstLine="464" w:firstLineChars="200"/>
        <w:jc w:val="both"/>
        <w:textAlignment w:val="baseline"/>
        <w:rPr>
          <w:rFonts w:hint="eastAsia" w:ascii="宋体" w:hAnsi="宋体" w:eastAsia="宋体" w:cs="宋体"/>
          <w:spacing w:val="0"/>
          <w:kern w:val="2"/>
          <w:sz w:val="24"/>
          <w:szCs w:val="24"/>
          <w:highlight w:val="yellow"/>
          <w:lang w:val="en-US" w:eastAsia="zh-CN" w:bidi="ar-SA"/>
        </w:rPr>
      </w:pPr>
      <w:r>
        <w:rPr>
          <w:rFonts w:hint="eastAsia" w:ascii="宋体" w:hAnsi="宋体" w:eastAsia="宋体" w:cs="宋体"/>
          <w:spacing w:val="-4"/>
          <w:kern w:val="2"/>
          <w:sz w:val="24"/>
          <w:szCs w:val="24"/>
          <w:lang w:val="en-US" w:eastAsia="zh-CN" w:bidi="ar-SA"/>
        </w:rPr>
        <w:t>按照《湖南省</w:t>
      </w:r>
      <w:r>
        <w:rPr>
          <w:rFonts w:hint="eastAsia" w:ascii="宋体" w:hAnsi="宋体" w:eastAsia="宋体" w:cs="宋体"/>
          <w:spacing w:val="-48"/>
          <w:kern w:val="2"/>
          <w:sz w:val="24"/>
          <w:szCs w:val="24"/>
          <w:lang w:val="en-US" w:eastAsia="zh-CN" w:bidi="ar-SA"/>
        </w:rPr>
        <w:t xml:space="preserve"> </w:t>
      </w:r>
      <w:r>
        <w:rPr>
          <w:rFonts w:hint="eastAsia" w:ascii="宋体" w:hAnsi="宋体" w:eastAsia="宋体" w:cs="宋体"/>
          <w:spacing w:val="-4"/>
          <w:kern w:val="2"/>
          <w:sz w:val="24"/>
          <w:szCs w:val="24"/>
          <w:lang w:val="en-US" w:eastAsia="zh-CN" w:bidi="ar-SA"/>
        </w:rPr>
        <w:t>2026年高素质农民培育工作实施方案》《湘西州2026年高素质农民培育工作实施方案》</w:t>
      </w:r>
      <w:r>
        <w:rPr>
          <w:rFonts w:hint="eastAsia" w:ascii="宋体" w:hAnsi="宋体" w:eastAsia="宋体" w:cs="宋体"/>
          <w:spacing w:val="0"/>
          <w:kern w:val="2"/>
          <w:sz w:val="24"/>
          <w:szCs w:val="24"/>
          <w:highlight w:val="none"/>
          <w:lang w:val="en-US" w:eastAsia="zh-CN" w:bidi="ar-SA"/>
        </w:rPr>
        <w:t>等文件要求，通过政府采购，确定包</w:t>
      </w:r>
      <w:r>
        <w:rPr>
          <w:rFonts w:hint="eastAsia" w:ascii="宋体" w:hAnsi="宋体" w:eastAsia="宋体" w:cs="宋体"/>
          <w:spacing w:val="0"/>
          <w:kern w:val="2"/>
          <w:sz w:val="24"/>
          <w:szCs w:val="24"/>
          <w:highlight w:val="none"/>
          <w:u w:val="single" w:color="auto"/>
          <w:lang w:val="en-US" w:eastAsia="zh-CN" w:bidi="ar-SA"/>
        </w:rPr>
        <w:t xml:space="preserve">    </w:t>
      </w:r>
      <w:r>
        <w:rPr>
          <w:rFonts w:hint="eastAsia" w:ascii="宋体" w:hAnsi="宋体" w:eastAsia="宋体" w:cs="宋体"/>
          <w:spacing w:val="0"/>
          <w:kern w:val="2"/>
          <w:sz w:val="24"/>
          <w:szCs w:val="24"/>
          <w:highlight w:val="none"/>
          <w:lang w:val="en-US" w:eastAsia="zh-CN" w:bidi="ar-SA"/>
        </w:rPr>
        <w:t>成交金额为</w:t>
      </w:r>
      <w:r>
        <w:rPr>
          <w:rFonts w:hint="eastAsia" w:ascii="宋体" w:hAnsi="宋体" w:eastAsia="宋体" w:cs="宋体"/>
          <w:spacing w:val="0"/>
          <w:kern w:val="2"/>
          <w:sz w:val="24"/>
          <w:szCs w:val="24"/>
          <w:highlight w:val="none"/>
          <w:u w:val="single" w:color="auto"/>
          <w:lang w:val="en-US" w:eastAsia="zh-CN" w:bidi="ar-SA"/>
        </w:rPr>
        <w:t xml:space="preserve">          </w:t>
      </w:r>
      <w:r>
        <w:rPr>
          <w:rFonts w:hint="eastAsia" w:ascii="宋体" w:hAnsi="宋体" w:eastAsia="宋体" w:cs="宋体"/>
          <w:spacing w:val="0"/>
          <w:kern w:val="2"/>
          <w:sz w:val="24"/>
          <w:szCs w:val="24"/>
          <w:highlight w:val="none"/>
          <w:u w:val="none" w:color="auto"/>
          <w:lang w:val="en-US" w:eastAsia="zh-CN" w:bidi="ar-SA"/>
        </w:rPr>
        <w:t xml:space="preserve">   </w:t>
      </w:r>
      <w:r>
        <w:rPr>
          <w:rFonts w:hint="eastAsia" w:ascii="宋体" w:hAnsi="宋体" w:eastAsia="宋体" w:cs="宋体"/>
          <w:spacing w:val="0"/>
          <w:kern w:val="2"/>
          <w:sz w:val="24"/>
          <w:szCs w:val="24"/>
          <w:highlight w:val="none"/>
          <w:lang w:val="en-US" w:eastAsia="zh-CN" w:bidi="ar-SA"/>
        </w:rPr>
        <w:t>元。包含的费用以招标文件为准。其中，组织农民参加培训和后续指导服务严格按照相关规定执行。</w:t>
      </w:r>
    </w:p>
    <w:p w14:paraId="12096352">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2" w:firstLineChars="200"/>
        <w:jc w:val="both"/>
        <w:textAlignment w:val="baseline"/>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w:t>
      </w:r>
      <w:r>
        <w:rPr>
          <w:rFonts w:hint="eastAsia" w:ascii="宋体" w:hAnsi="宋体" w:eastAsia="宋体" w:cs="宋体"/>
          <w:b/>
          <w:bCs/>
          <w:color w:val="auto"/>
          <w:spacing w:val="-4"/>
          <w:kern w:val="2"/>
          <w:sz w:val="24"/>
          <w:szCs w:val="24"/>
          <w:highlight w:val="none"/>
          <w:lang w:val="en-US" w:eastAsia="zh-CN" w:bidi="ar-SA"/>
        </w:rPr>
        <w:t>经费拨付要求</w:t>
      </w:r>
    </w:p>
    <w:p w14:paraId="5DC029DA">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firstLine="48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
          <w:kern w:val="2"/>
          <w:sz w:val="24"/>
          <w:szCs w:val="24"/>
          <w:highlight w:val="none"/>
          <w:lang w:val="en-US" w:eastAsia="zh-CN" w:bidi="ar-SA"/>
        </w:rPr>
        <w:t>培训班结束后，乙方须按要求将培训资料如培训手册（含培</w:t>
      </w:r>
      <w:r>
        <w:rPr>
          <w:rFonts w:hint="eastAsia" w:ascii="宋体" w:hAnsi="宋体" w:eastAsia="宋体" w:cs="宋体"/>
          <w:color w:val="auto"/>
          <w:kern w:val="2"/>
          <w:sz w:val="24"/>
          <w:szCs w:val="24"/>
          <w:highlight w:val="none"/>
          <w:lang w:val="en-US" w:eastAsia="zh-CN" w:bidi="ar-SA"/>
        </w:rPr>
        <w:t>训方案、课堂教学方案、实</w:t>
      </w:r>
      <w:r>
        <w:rPr>
          <w:rFonts w:hint="eastAsia" w:ascii="宋体" w:hAnsi="宋体" w:eastAsia="宋体" w:cs="宋体"/>
          <w:color w:val="auto"/>
          <w:spacing w:val="-3"/>
          <w:kern w:val="2"/>
          <w:sz w:val="24"/>
          <w:szCs w:val="24"/>
          <w:highlight w:val="none"/>
          <w:lang w:val="en-US" w:eastAsia="zh-CN" w:bidi="ar-SA"/>
        </w:rPr>
        <w:t>习实训方案等）、跟踪服务协议、学员花名册、学员登记表、学员考勤</w:t>
      </w:r>
      <w:r>
        <w:rPr>
          <w:rFonts w:hint="eastAsia" w:ascii="宋体" w:hAnsi="宋体" w:eastAsia="宋体" w:cs="宋体"/>
          <w:color w:val="auto"/>
          <w:spacing w:val="-4"/>
          <w:kern w:val="2"/>
          <w:sz w:val="24"/>
          <w:szCs w:val="24"/>
          <w:highlight w:val="none"/>
          <w:lang w:val="en-US" w:eastAsia="zh-CN" w:bidi="ar-SA"/>
        </w:rPr>
        <w:t>表、培训回访信息表、</w:t>
      </w:r>
      <w:r>
        <w:rPr>
          <w:rFonts w:hint="eastAsia" w:ascii="宋体" w:hAnsi="宋体" w:eastAsia="宋体" w:cs="宋体"/>
          <w:color w:val="auto"/>
          <w:spacing w:val="1"/>
          <w:kern w:val="2"/>
          <w:sz w:val="24"/>
          <w:szCs w:val="24"/>
          <w:highlight w:val="none"/>
          <w:lang w:val="en-US" w:eastAsia="zh-CN" w:bidi="ar-SA"/>
        </w:rPr>
        <w:t>培训总结、学员资料、培训图片、培训班申请表等整理汇编成</w:t>
      </w:r>
      <w:r>
        <w:rPr>
          <w:rFonts w:hint="eastAsia" w:ascii="宋体" w:hAnsi="宋体" w:eastAsia="宋体" w:cs="宋体"/>
          <w:color w:val="auto"/>
          <w:kern w:val="2"/>
          <w:sz w:val="24"/>
          <w:szCs w:val="24"/>
          <w:highlight w:val="none"/>
          <w:lang w:val="en-US" w:eastAsia="zh-CN" w:bidi="ar-SA"/>
        </w:rPr>
        <w:t>册，印制两本，其中一本报甲</w:t>
      </w:r>
      <w:r>
        <w:rPr>
          <w:rFonts w:hint="eastAsia" w:ascii="宋体" w:hAnsi="宋体" w:eastAsia="宋体" w:cs="宋体"/>
          <w:color w:val="auto"/>
          <w:spacing w:val="1"/>
          <w:kern w:val="2"/>
          <w:sz w:val="24"/>
          <w:szCs w:val="24"/>
          <w:highlight w:val="none"/>
          <w:lang w:val="en-US" w:eastAsia="zh-CN" w:bidi="ar-SA"/>
        </w:rPr>
        <w:t>方（含电子档）。同时提供专业机构出具的培训项目情况审计</w:t>
      </w:r>
      <w:r>
        <w:rPr>
          <w:rFonts w:hint="eastAsia" w:ascii="宋体" w:hAnsi="宋体" w:eastAsia="宋体" w:cs="宋体"/>
          <w:color w:val="auto"/>
          <w:kern w:val="2"/>
          <w:sz w:val="24"/>
          <w:szCs w:val="24"/>
          <w:highlight w:val="none"/>
          <w:lang w:val="en-US" w:eastAsia="zh-CN" w:bidi="ar-SA"/>
        </w:rPr>
        <w:t>报告。甲方收到相关资料并验</w:t>
      </w:r>
      <w:r>
        <w:rPr>
          <w:rFonts w:hint="eastAsia" w:ascii="宋体" w:hAnsi="宋体" w:eastAsia="宋体" w:cs="宋体"/>
          <w:color w:val="auto"/>
          <w:spacing w:val="-1"/>
          <w:kern w:val="2"/>
          <w:sz w:val="24"/>
          <w:szCs w:val="24"/>
          <w:highlight w:val="none"/>
          <w:lang w:val="en-US" w:eastAsia="zh-CN" w:bidi="ar-SA"/>
        </w:rPr>
        <w:t>收合格、乙方提交合法有效的等额税票后，甲方按约</w:t>
      </w:r>
      <w:r>
        <w:rPr>
          <w:rFonts w:hint="eastAsia" w:ascii="宋体" w:hAnsi="宋体" w:eastAsia="宋体" w:cs="宋体"/>
          <w:color w:val="auto"/>
          <w:spacing w:val="-2"/>
          <w:kern w:val="2"/>
          <w:sz w:val="24"/>
          <w:szCs w:val="24"/>
          <w:highlight w:val="none"/>
          <w:lang w:val="en-US" w:eastAsia="zh-CN" w:bidi="ar-SA"/>
        </w:rPr>
        <w:t>定培训费标准100%拨付培训经费到乙方</w:t>
      </w:r>
      <w:r>
        <w:rPr>
          <w:rFonts w:hint="eastAsia" w:ascii="宋体" w:hAnsi="宋体" w:eastAsia="宋体" w:cs="宋体"/>
          <w:color w:val="auto"/>
          <w:spacing w:val="-1"/>
          <w:kern w:val="2"/>
          <w:sz w:val="24"/>
          <w:szCs w:val="24"/>
          <w:highlight w:val="none"/>
          <w:lang w:val="en-US" w:eastAsia="zh-CN" w:bidi="ar-SA"/>
        </w:rPr>
        <w:t>指定账户。具体支付按如下情况确定：</w:t>
      </w:r>
    </w:p>
    <w:p w14:paraId="7C711A04">
      <w:pPr>
        <w:keepNext w:val="0"/>
        <w:keepLines w:val="0"/>
        <w:pageBreakBefore w:val="0"/>
        <w:widowControl w:val="0"/>
        <w:kinsoku/>
        <w:wordWrap/>
        <w:overflowPunct/>
        <w:topLinePunct w:val="0"/>
        <w:autoSpaceDE w:val="0"/>
        <w:autoSpaceDN w:val="0"/>
        <w:bidi w:val="0"/>
        <w:adjustRightInd w:val="0"/>
        <w:snapToGrid w:val="0"/>
        <w:spacing w:after="0" w:line="460" w:lineRule="exact"/>
        <w:ind w:left="14" w:right="82" w:firstLine="493"/>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
          <w:kern w:val="2"/>
          <w:sz w:val="24"/>
          <w:szCs w:val="24"/>
          <w:highlight w:val="none"/>
          <w:lang w:val="en-US" w:eastAsia="zh-CN" w:bidi="ar-SA"/>
        </w:rPr>
        <w:t>1.培训结束后，乙方在规定时间内提供相关资料</w:t>
      </w:r>
      <w:r>
        <w:rPr>
          <w:rFonts w:hint="eastAsia" w:ascii="宋体" w:hAnsi="宋体" w:eastAsia="宋体" w:cs="宋体"/>
          <w:color w:val="auto"/>
          <w:spacing w:val="-2"/>
          <w:kern w:val="2"/>
          <w:sz w:val="24"/>
          <w:szCs w:val="24"/>
          <w:highlight w:val="none"/>
          <w:lang w:val="en-US" w:eastAsia="zh-CN" w:bidi="ar-SA"/>
        </w:rPr>
        <w:t>，经甲方审核通过，于2026年12月底</w:t>
      </w:r>
      <w:r>
        <w:rPr>
          <w:rFonts w:hint="eastAsia" w:ascii="宋体" w:hAnsi="宋体" w:eastAsia="宋体" w:cs="宋体"/>
          <w:color w:val="auto"/>
          <w:spacing w:val="-3"/>
          <w:kern w:val="2"/>
          <w:sz w:val="24"/>
          <w:szCs w:val="24"/>
          <w:highlight w:val="none"/>
          <w:lang w:val="en-US" w:eastAsia="zh-CN" w:bidi="ar-SA"/>
        </w:rPr>
        <w:t>前支付</w:t>
      </w:r>
      <w:r>
        <w:rPr>
          <w:rFonts w:hint="eastAsia" w:ascii="宋体" w:hAnsi="宋体" w:eastAsia="宋体" w:cs="宋体"/>
          <w:color w:val="auto"/>
          <w:spacing w:val="-48"/>
          <w:kern w:val="2"/>
          <w:sz w:val="24"/>
          <w:szCs w:val="24"/>
          <w:highlight w:val="none"/>
          <w:lang w:val="en-US" w:eastAsia="zh-CN" w:bidi="ar-SA"/>
        </w:rPr>
        <w:t xml:space="preserve"> </w:t>
      </w:r>
      <w:r>
        <w:rPr>
          <w:rFonts w:hint="eastAsia" w:ascii="宋体" w:hAnsi="宋体" w:eastAsia="宋体" w:cs="宋体"/>
          <w:color w:val="auto"/>
          <w:spacing w:val="-3"/>
          <w:kern w:val="2"/>
          <w:sz w:val="24"/>
          <w:szCs w:val="24"/>
          <w:highlight w:val="none"/>
          <w:lang w:val="en-US" w:eastAsia="zh-CN" w:bidi="ar-SA"/>
        </w:rPr>
        <w:t>80%费用；</w:t>
      </w:r>
    </w:p>
    <w:p w14:paraId="369647A5">
      <w:pPr>
        <w:keepNext w:val="0"/>
        <w:keepLines w:val="0"/>
        <w:pageBreakBefore w:val="0"/>
        <w:widowControl w:val="0"/>
        <w:kinsoku/>
        <w:wordWrap/>
        <w:overflowPunct/>
        <w:topLinePunct w:val="0"/>
        <w:autoSpaceDE w:val="0"/>
        <w:autoSpaceDN w:val="0"/>
        <w:bidi w:val="0"/>
        <w:adjustRightInd w:val="0"/>
        <w:snapToGrid w:val="0"/>
        <w:spacing w:after="0" w:line="460" w:lineRule="exact"/>
        <w:ind w:left="14" w:right="82" w:firstLine="493"/>
        <w:jc w:val="both"/>
        <w:textAlignment w:val="baseline"/>
        <w:rPr>
          <w:rFonts w:hint="eastAsia" w:ascii="宋体" w:hAnsi="宋体" w:eastAsia="宋体" w:cs="宋体"/>
          <w:color w:val="auto"/>
          <w:spacing w:val="-1"/>
          <w:kern w:val="2"/>
          <w:sz w:val="24"/>
          <w:szCs w:val="24"/>
          <w:highlight w:val="none"/>
          <w:lang w:val="en-US" w:eastAsia="zh-CN" w:bidi="ar-SA"/>
        </w:rPr>
      </w:pPr>
      <w:r>
        <w:rPr>
          <w:rFonts w:hint="eastAsia" w:ascii="宋体" w:hAnsi="宋体" w:eastAsia="宋体" w:cs="宋体"/>
          <w:color w:val="auto"/>
          <w:spacing w:val="-1"/>
          <w:kern w:val="2"/>
          <w:sz w:val="24"/>
          <w:szCs w:val="24"/>
          <w:highlight w:val="none"/>
          <w:lang w:val="en-US" w:eastAsia="zh-CN" w:bidi="ar-SA"/>
        </w:rPr>
        <w:t>2.乙方按要求及时完成审计、跟踪服务、典型培育等事项，提供相关资料，经甲方验收通过后支付剩余20%费用。</w:t>
      </w:r>
    </w:p>
    <w:p w14:paraId="4DBE0751">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outlineLvl w:val="1"/>
        <w:rPr>
          <w:rFonts w:hint="eastAsia" w:ascii="宋体" w:hAnsi="宋体" w:eastAsia="宋体" w:cs="宋体"/>
          <w:kern w:val="2"/>
          <w:sz w:val="24"/>
          <w:szCs w:val="24"/>
          <w:highlight w:val="none"/>
          <w:lang w:val="en-US" w:eastAsia="zh-CN" w:bidi="ar-SA"/>
        </w:rPr>
      </w:pPr>
      <w:bookmarkStart w:id="74" w:name="_Toc25910"/>
      <w:bookmarkStart w:id="75" w:name="_Toc2887"/>
      <w:r>
        <w:rPr>
          <w:rFonts w:hint="eastAsia" w:ascii="宋体" w:hAnsi="宋体" w:eastAsia="宋体" w:cs="宋体"/>
          <w:b/>
          <w:bCs/>
          <w:spacing w:val="-4"/>
          <w:kern w:val="2"/>
          <w:sz w:val="24"/>
          <w:szCs w:val="24"/>
          <w:highlight w:val="none"/>
          <w:lang w:val="en-US" w:eastAsia="zh-CN" w:bidi="ar-SA"/>
        </w:rPr>
        <w:t>六、双方职责</w:t>
      </w:r>
      <w:bookmarkEnd w:id="74"/>
      <w:bookmarkEnd w:id="75"/>
    </w:p>
    <w:p w14:paraId="6E49A573">
      <w:pPr>
        <w:keepNext w:val="0"/>
        <w:keepLines w:val="0"/>
        <w:pageBreakBefore w:val="0"/>
        <w:widowControl w:val="0"/>
        <w:kinsoku/>
        <w:wordWrap/>
        <w:overflowPunct/>
        <w:topLinePunct w:val="0"/>
        <w:autoSpaceDE w:val="0"/>
        <w:autoSpaceDN w:val="0"/>
        <w:bidi w:val="0"/>
        <w:adjustRightInd w:val="0"/>
        <w:snapToGrid w:val="0"/>
        <w:spacing w:after="0" w:line="460" w:lineRule="exact"/>
        <w:ind w:left="50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b/>
          <w:bCs/>
          <w:spacing w:val="-5"/>
          <w:kern w:val="2"/>
          <w:sz w:val="24"/>
          <w:szCs w:val="24"/>
          <w:lang w:val="en-US" w:eastAsia="zh-CN" w:bidi="ar-SA"/>
        </w:rPr>
        <w:t>（一）甲方职责</w:t>
      </w:r>
    </w:p>
    <w:p w14:paraId="67C696EF">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80" w:firstLine="497"/>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1.甲方指导学员的组织参训工作，对乙方训前提交的培训计划等进行审核把关，对教学</w:t>
      </w:r>
      <w:r>
        <w:rPr>
          <w:rFonts w:hint="eastAsia" w:ascii="宋体" w:hAnsi="宋体" w:eastAsia="宋体" w:cs="宋体"/>
          <w:spacing w:val="1"/>
          <w:kern w:val="2"/>
          <w:sz w:val="24"/>
          <w:szCs w:val="24"/>
          <w:lang w:val="en-US" w:eastAsia="zh-CN" w:bidi="ar-SA"/>
        </w:rPr>
        <w:t>计划的执行情况、教学进度、实习、实训、跟踪服务等环节及</w:t>
      </w:r>
      <w:r>
        <w:rPr>
          <w:rFonts w:hint="eastAsia" w:ascii="宋体" w:hAnsi="宋体" w:eastAsia="宋体" w:cs="宋体"/>
          <w:kern w:val="2"/>
          <w:sz w:val="24"/>
          <w:szCs w:val="24"/>
          <w:lang w:val="en-US" w:eastAsia="zh-CN" w:bidi="ar-SA"/>
        </w:rPr>
        <w:t>培训质量进行监督，提出意见和建议，如乙方严重违反相关规定，甲方可责令其立即中止</w:t>
      </w:r>
      <w:r>
        <w:rPr>
          <w:rFonts w:hint="eastAsia" w:ascii="宋体" w:hAnsi="宋体" w:eastAsia="宋体" w:cs="宋体"/>
          <w:spacing w:val="-1"/>
          <w:kern w:val="2"/>
          <w:sz w:val="24"/>
          <w:szCs w:val="24"/>
          <w:lang w:val="en-US" w:eastAsia="zh-CN" w:bidi="ar-SA"/>
        </w:rPr>
        <w:t>培训，按要求整改到位。</w:t>
      </w:r>
    </w:p>
    <w:p w14:paraId="59713137">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2.督导乙方加强学员学习、生活和安全方面的管理</w:t>
      </w:r>
      <w:r>
        <w:rPr>
          <w:rFonts w:hint="eastAsia" w:ascii="宋体" w:hAnsi="宋体" w:eastAsia="宋体" w:cs="宋体"/>
          <w:spacing w:val="-1"/>
          <w:kern w:val="2"/>
          <w:sz w:val="24"/>
          <w:szCs w:val="24"/>
          <w:lang w:val="en-US" w:eastAsia="zh-CN" w:bidi="ar-SA"/>
        </w:rPr>
        <w:t>，督促乙方履行安全管理职责。</w:t>
      </w:r>
    </w:p>
    <w:p w14:paraId="0B60ECC9">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3.对培训项目实施情况进行考评验收，并以此作为</w:t>
      </w:r>
      <w:r>
        <w:rPr>
          <w:rFonts w:hint="eastAsia" w:ascii="宋体" w:hAnsi="宋体" w:eastAsia="宋体" w:cs="宋体"/>
          <w:spacing w:val="-1"/>
          <w:kern w:val="2"/>
          <w:sz w:val="24"/>
          <w:szCs w:val="24"/>
          <w:lang w:val="en-US" w:eastAsia="zh-CN" w:bidi="ar-SA"/>
        </w:rPr>
        <w:t>评价乙方培训工作质量的重要依据。</w:t>
      </w:r>
    </w:p>
    <w:p w14:paraId="044B0B99">
      <w:pPr>
        <w:keepNext w:val="0"/>
        <w:keepLines w:val="0"/>
        <w:pageBreakBefore w:val="0"/>
        <w:widowControl w:val="0"/>
        <w:kinsoku/>
        <w:wordWrap/>
        <w:overflowPunct/>
        <w:topLinePunct w:val="0"/>
        <w:autoSpaceDE w:val="0"/>
        <w:autoSpaceDN w:val="0"/>
        <w:bidi w:val="0"/>
        <w:adjustRightInd w:val="0"/>
        <w:snapToGrid w:val="0"/>
        <w:spacing w:after="0" w:line="460" w:lineRule="exact"/>
        <w:ind w:left="489"/>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4.按本协议约定，向乙方支付培训费用。</w:t>
      </w:r>
    </w:p>
    <w:p w14:paraId="61F8A810">
      <w:pPr>
        <w:keepNext w:val="0"/>
        <w:keepLines w:val="0"/>
        <w:pageBreakBefore w:val="0"/>
        <w:widowControl w:val="0"/>
        <w:kinsoku/>
        <w:wordWrap/>
        <w:overflowPunct/>
        <w:topLinePunct w:val="0"/>
        <w:autoSpaceDE w:val="0"/>
        <w:autoSpaceDN w:val="0"/>
        <w:bidi w:val="0"/>
        <w:adjustRightInd w:val="0"/>
        <w:snapToGrid w:val="0"/>
        <w:spacing w:after="0" w:line="460" w:lineRule="exact"/>
        <w:ind w:left="501"/>
        <w:jc w:val="both"/>
        <w:textAlignment w:val="baseline"/>
        <w:rPr>
          <w:rFonts w:hint="eastAsia" w:ascii="宋体" w:hAnsi="宋体" w:eastAsia="宋体" w:cs="宋体"/>
          <w:b/>
          <w:bCs/>
          <w:spacing w:val="-5"/>
          <w:kern w:val="2"/>
          <w:sz w:val="24"/>
          <w:szCs w:val="24"/>
          <w:lang w:val="en-US" w:eastAsia="zh-CN" w:bidi="ar-SA"/>
        </w:rPr>
      </w:pPr>
      <w:r>
        <w:rPr>
          <w:rFonts w:hint="eastAsia" w:ascii="宋体" w:hAnsi="宋体" w:eastAsia="宋体" w:cs="宋体"/>
          <w:b/>
          <w:bCs/>
          <w:spacing w:val="-5"/>
          <w:kern w:val="2"/>
          <w:sz w:val="24"/>
          <w:szCs w:val="24"/>
          <w:lang w:val="en-US" w:eastAsia="zh-CN" w:bidi="ar-SA"/>
        </w:rPr>
        <w:t>（二）乙方职责</w:t>
      </w:r>
    </w:p>
    <w:p w14:paraId="664CF3C0">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68"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3"/>
          <w:kern w:val="2"/>
          <w:sz w:val="24"/>
          <w:szCs w:val="24"/>
          <w:lang w:val="en-US" w:eastAsia="zh-CN" w:bidi="ar-SA"/>
        </w:rPr>
        <w:t>1.乙方根据《湖南省</w:t>
      </w:r>
      <w:r>
        <w:rPr>
          <w:rFonts w:hint="eastAsia" w:ascii="宋体" w:hAnsi="宋体" w:eastAsia="宋体" w:cs="宋体"/>
          <w:spacing w:val="-4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年高素质农民培育工作实施方案》、《</w:t>
      </w:r>
      <w:r>
        <w:rPr>
          <w:rFonts w:hint="eastAsia" w:ascii="宋体" w:hAnsi="宋体" w:eastAsia="宋体" w:cs="宋体"/>
          <w:spacing w:val="-4"/>
          <w:kern w:val="2"/>
          <w:sz w:val="24"/>
          <w:szCs w:val="24"/>
          <w:lang w:val="en-US" w:eastAsia="zh-CN" w:bidi="ar-SA"/>
        </w:rPr>
        <w:t>湖南省高素质农民培育</w:t>
      </w:r>
      <w:r>
        <w:rPr>
          <w:rFonts w:hint="eastAsia" w:ascii="宋体" w:hAnsi="宋体" w:eastAsia="宋体" w:cs="宋体"/>
          <w:spacing w:val="-3"/>
          <w:kern w:val="2"/>
          <w:sz w:val="24"/>
          <w:szCs w:val="24"/>
          <w:lang w:val="en-US" w:eastAsia="zh-CN" w:bidi="ar-SA"/>
        </w:rPr>
        <w:t>规范》和《湘西州</w:t>
      </w:r>
      <w:r>
        <w:rPr>
          <w:rFonts w:hint="eastAsia" w:ascii="宋体" w:hAnsi="宋体" w:eastAsia="宋体" w:cs="宋体"/>
          <w:spacing w:val="-3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年高素质农民培育工作实施方案》等文件精神，严格执行高素质农民</w:t>
      </w:r>
      <w:r>
        <w:rPr>
          <w:rFonts w:hint="eastAsia" w:ascii="宋体" w:hAnsi="宋体" w:eastAsia="宋体" w:cs="宋体"/>
          <w:spacing w:val="-2"/>
          <w:kern w:val="2"/>
          <w:sz w:val="24"/>
          <w:szCs w:val="24"/>
          <w:lang w:val="en-US" w:eastAsia="zh-CN" w:bidi="ar-SA"/>
        </w:rPr>
        <w:t>培育相关制度。</w:t>
      </w:r>
    </w:p>
    <w:p w14:paraId="4E804133">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80" w:firstLine="48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2.乙方根据农民特点和培训要求，科学制定培训方案、</w:t>
      </w:r>
      <w:r>
        <w:rPr>
          <w:rFonts w:hint="eastAsia" w:ascii="宋体" w:hAnsi="宋体" w:eastAsia="宋体" w:cs="宋体"/>
          <w:kern w:val="2"/>
          <w:sz w:val="24"/>
          <w:szCs w:val="24"/>
          <w:lang w:val="en-US" w:eastAsia="zh-CN" w:bidi="ar-SA"/>
        </w:rPr>
        <w:t>教学管理方案、实习实训方案等规范性资料，合理安排课程与教学进度、实训实习</w:t>
      </w:r>
      <w:r>
        <w:rPr>
          <w:rFonts w:hint="eastAsia" w:ascii="宋体" w:hAnsi="宋体" w:eastAsia="宋体" w:cs="宋体"/>
          <w:spacing w:val="-1"/>
          <w:kern w:val="2"/>
          <w:sz w:val="24"/>
          <w:szCs w:val="24"/>
          <w:lang w:val="en-US" w:eastAsia="zh-CN" w:bidi="ar-SA"/>
        </w:rPr>
        <w:t>等，做到“一班一案</w:t>
      </w:r>
      <w:r>
        <w:rPr>
          <w:rFonts w:hint="eastAsia" w:ascii="宋体" w:hAnsi="宋体" w:eastAsia="宋体" w:cs="宋体"/>
          <w:spacing w:val="-88"/>
          <w:kern w:val="2"/>
          <w:sz w:val="24"/>
          <w:szCs w:val="24"/>
          <w:lang w:val="en-US" w:eastAsia="zh-CN" w:bidi="ar-SA"/>
        </w:rPr>
        <w:t xml:space="preserve"> </w:t>
      </w:r>
      <w:r>
        <w:rPr>
          <w:rFonts w:hint="eastAsia" w:ascii="宋体" w:hAnsi="宋体" w:eastAsia="宋体" w:cs="宋体"/>
          <w:spacing w:val="-1"/>
          <w:kern w:val="2"/>
          <w:sz w:val="24"/>
          <w:szCs w:val="24"/>
          <w:lang w:val="en-US" w:eastAsia="zh-CN" w:bidi="ar-SA"/>
        </w:rPr>
        <w:t>”。</w:t>
      </w:r>
    </w:p>
    <w:p w14:paraId="7DABDF58">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80" w:firstLine="483"/>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3.乙方安排专职班主任管理，安排或聘请符合要求的专家</w:t>
      </w:r>
      <w:r>
        <w:rPr>
          <w:rFonts w:hint="eastAsia" w:ascii="宋体" w:hAnsi="宋体" w:eastAsia="宋体" w:cs="宋体"/>
          <w:kern w:val="2"/>
          <w:sz w:val="24"/>
          <w:szCs w:val="24"/>
          <w:lang w:val="en-US" w:eastAsia="zh-CN" w:bidi="ar-SA"/>
        </w:rPr>
        <w:t>、教师授课，提供满足本期培训专业要求的教室、实训场地、实训设备、实训消耗材料，根据甲</w:t>
      </w:r>
      <w:r>
        <w:rPr>
          <w:rFonts w:hint="eastAsia" w:ascii="宋体" w:hAnsi="宋体" w:eastAsia="宋体" w:cs="宋体"/>
          <w:spacing w:val="-1"/>
          <w:kern w:val="2"/>
          <w:sz w:val="24"/>
          <w:szCs w:val="24"/>
          <w:lang w:val="en-US" w:eastAsia="zh-CN" w:bidi="ar-SA"/>
        </w:rPr>
        <w:t>方要求安排跟踪服务工作。</w:t>
      </w:r>
    </w:p>
    <w:p w14:paraId="7D354CF8">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firstLine="478"/>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4.乙方对培训期间学员的人身和财产安全承担主体责任。乙方</w:t>
      </w:r>
      <w:r>
        <w:rPr>
          <w:rFonts w:hint="eastAsia" w:ascii="宋体" w:hAnsi="宋体" w:eastAsia="宋体" w:cs="宋体"/>
          <w:kern w:val="2"/>
          <w:sz w:val="24"/>
          <w:szCs w:val="24"/>
          <w:lang w:val="en-US" w:eastAsia="zh-CN" w:bidi="ar-SA"/>
        </w:rPr>
        <w:t>法定代表人为本项目安全</w:t>
      </w:r>
      <w:r>
        <w:rPr>
          <w:rFonts w:hint="eastAsia" w:ascii="宋体" w:hAnsi="宋体" w:eastAsia="宋体" w:cs="宋体"/>
          <w:spacing w:val="1"/>
          <w:kern w:val="2"/>
          <w:sz w:val="24"/>
          <w:szCs w:val="24"/>
          <w:lang w:val="en-US" w:eastAsia="zh-CN" w:bidi="ar-SA"/>
        </w:rPr>
        <w:t>工作的第一责任人，对安全管理工作负直接领导责任，应亲</w:t>
      </w:r>
      <w:r>
        <w:rPr>
          <w:rFonts w:hint="eastAsia" w:ascii="宋体" w:hAnsi="宋体" w:eastAsia="宋体" w:cs="宋体"/>
          <w:kern w:val="2"/>
          <w:sz w:val="24"/>
          <w:szCs w:val="24"/>
          <w:lang w:val="en-US" w:eastAsia="zh-CN" w:bidi="ar-SA"/>
        </w:rPr>
        <w:t>自组织制定安全管理制度、督促</w:t>
      </w:r>
      <w:r>
        <w:rPr>
          <w:rFonts w:hint="eastAsia" w:ascii="宋体" w:hAnsi="宋体" w:eastAsia="宋体" w:cs="宋体"/>
          <w:spacing w:val="-3"/>
          <w:kern w:val="2"/>
          <w:sz w:val="24"/>
          <w:szCs w:val="24"/>
          <w:lang w:val="en-US" w:eastAsia="zh-CN" w:bidi="ar-SA"/>
        </w:rPr>
        <w:t>落实安全措施、及时消除安全隐患。因乙方或其工作人员未尽到安全保</w:t>
      </w:r>
      <w:r>
        <w:rPr>
          <w:rFonts w:hint="eastAsia" w:ascii="宋体" w:hAnsi="宋体" w:eastAsia="宋体" w:cs="宋体"/>
          <w:spacing w:val="-4"/>
          <w:kern w:val="2"/>
          <w:sz w:val="24"/>
          <w:szCs w:val="24"/>
          <w:lang w:val="en-US" w:eastAsia="zh-CN" w:bidi="ar-SA"/>
        </w:rPr>
        <w:t>障义务造成学员人身、</w:t>
      </w:r>
      <w:r>
        <w:rPr>
          <w:rFonts w:hint="eastAsia" w:ascii="宋体" w:hAnsi="宋体" w:eastAsia="宋体" w:cs="宋体"/>
          <w:kern w:val="2"/>
          <w:sz w:val="24"/>
          <w:szCs w:val="24"/>
          <w:lang w:val="en-US" w:eastAsia="zh-CN" w:bidi="ar-SA"/>
        </w:rPr>
        <w:t>财产损害的，由乙方依法承担相应法律责任，乙方法定</w:t>
      </w:r>
      <w:r>
        <w:rPr>
          <w:rFonts w:hint="eastAsia" w:ascii="宋体" w:hAnsi="宋体" w:eastAsia="宋体" w:cs="宋体"/>
          <w:spacing w:val="-1"/>
          <w:kern w:val="2"/>
          <w:sz w:val="24"/>
          <w:szCs w:val="24"/>
          <w:lang w:val="en-US" w:eastAsia="zh-CN" w:bidi="ar-SA"/>
        </w:rPr>
        <w:t>代表人承担直接管理责任。</w:t>
      </w:r>
    </w:p>
    <w:p w14:paraId="3D84C593">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136" w:firstLine="484"/>
        <w:jc w:val="both"/>
        <w:textAlignment w:val="baseline"/>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1"/>
          <w:kern w:val="2"/>
          <w:sz w:val="24"/>
          <w:szCs w:val="24"/>
          <w:lang w:val="en-US" w:eastAsia="zh-CN" w:bidi="ar-SA"/>
        </w:rPr>
        <w:t>5.乙方加强教学</w:t>
      </w:r>
      <w:r>
        <w:rPr>
          <w:rFonts w:hint="eastAsia" w:ascii="宋体" w:hAnsi="宋体" w:eastAsia="宋体" w:cs="宋体"/>
          <w:spacing w:val="-1"/>
          <w:kern w:val="2"/>
          <w:sz w:val="24"/>
          <w:szCs w:val="24"/>
          <w:highlight w:val="none"/>
          <w:lang w:val="en-US" w:eastAsia="zh-CN" w:bidi="ar-SA"/>
        </w:rPr>
        <w:t>管理，为每位学员发放符合农业农村部门要求的教材，提高教学水平，</w:t>
      </w:r>
      <w:r>
        <w:rPr>
          <w:rFonts w:hint="eastAsia" w:ascii="宋体" w:hAnsi="宋体" w:eastAsia="宋体" w:cs="宋体"/>
          <w:spacing w:val="-3"/>
          <w:kern w:val="2"/>
          <w:sz w:val="24"/>
          <w:szCs w:val="24"/>
          <w:highlight w:val="none"/>
          <w:lang w:val="en-US" w:eastAsia="zh-CN" w:bidi="ar-SA"/>
        </w:rPr>
        <w:t>确保学员满意率</w:t>
      </w:r>
      <w:r>
        <w:rPr>
          <w:rFonts w:hint="eastAsia" w:ascii="宋体" w:hAnsi="宋体" w:eastAsia="宋体" w:cs="宋体"/>
          <w:spacing w:val="-32"/>
          <w:kern w:val="2"/>
          <w:sz w:val="24"/>
          <w:szCs w:val="24"/>
          <w:highlight w:val="none"/>
          <w:lang w:val="en-US" w:eastAsia="zh-CN" w:bidi="ar-SA"/>
        </w:rPr>
        <w:t xml:space="preserve"> </w:t>
      </w:r>
      <w:r>
        <w:rPr>
          <w:rFonts w:hint="eastAsia" w:ascii="宋体" w:hAnsi="宋体" w:eastAsia="宋体" w:cs="宋体"/>
          <w:spacing w:val="-3"/>
          <w:kern w:val="2"/>
          <w:sz w:val="24"/>
          <w:szCs w:val="24"/>
          <w:highlight w:val="none"/>
          <w:lang w:val="en-US" w:eastAsia="zh-CN" w:bidi="ar-SA"/>
        </w:rPr>
        <w:t>80%以上、结业率达</w:t>
      </w:r>
      <w:r>
        <w:rPr>
          <w:rFonts w:hint="eastAsia" w:ascii="宋体" w:hAnsi="宋体" w:eastAsia="宋体" w:cs="宋体"/>
          <w:spacing w:val="-33"/>
          <w:kern w:val="2"/>
          <w:sz w:val="24"/>
          <w:szCs w:val="24"/>
          <w:highlight w:val="none"/>
          <w:lang w:val="en-US" w:eastAsia="zh-CN" w:bidi="ar-SA"/>
        </w:rPr>
        <w:t xml:space="preserve"> </w:t>
      </w:r>
      <w:r>
        <w:rPr>
          <w:rFonts w:hint="eastAsia" w:ascii="宋体" w:hAnsi="宋体" w:eastAsia="宋体" w:cs="宋体"/>
          <w:spacing w:val="-3"/>
          <w:kern w:val="2"/>
          <w:sz w:val="24"/>
          <w:szCs w:val="24"/>
          <w:highlight w:val="none"/>
          <w:lang w:val="en-US" w:eastAsia="zh-CN" w:bidi="ar-SA"/>
        </w:rPr>
        <w:t>100%。</w:t>
      </w:r>
    </w:p>
    <w:p w14:paraId="0943767B">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77" w:firstLine="480"/>
        <w:jc w:val="both"/>
        <w:textAlignment w:val="baseline"/>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1"/>
          <w:kern w:val="2"/>
          <w:sz w:val="24"/>
          <w:szCs w:val="24"/>
          <w:highlight w:val="none"/>
          <w:lang w:val="en-US" w:eastAsia="zh-CN" w:bidi="ar-SA"/>
        </w:rPr>
        <w:t>6.乙方须按规定做好学员培训项目台账（档案）等培训资料汇</w:t>
      </w:r>
      <w:r>
        <w:rPr>
          <w:rFonts w:hint="eastAsia" w:ascii="宋体" w:hAnsi="宋体" w:eastAsia="宋体" w:cs="宋体"/>
          <w:kern w:val="2"/>
          <w:sz w:val="24"/>
          <w:szCs w:val="24"/>
          <w:highlight w:val="none"/>
          <w:lang w:val="en-US" w:eastAsia="zh-CN" w:bidi="ar-SA"/>
        </w:rPr>
        <w:t>编，连同电子档在培训结</w:t>
      </w:r>
      <w:r>
        <w:rPr>
          <w:rFonts w:hint="eastAsia" w:ascii="宋体" w:hAnsi="宋体" w:eastAsia="宋体" w:cs="宋体"/>
          <w:spacing w:val="-7"/>
          <w:kern w:val="2"/>
          <w:sz w:val="24"/>
          <w:szCs w:val="24"/>
          <w:highlight w:val="none"/>
          <w:lang w:val="en-US" w:eastAsia="zh-CN" w:bidi="ar-SA"/>
        </w:rPr>
        <w:t>束后</w:t>
      </w:r>
      <w:r>
        <w:rPr>
          <w:rFonts w:hint="eastAsia" w:ascii="宋体" w:hAnsi="宋体" w:eastAsia="宋体" w:cs="宋体"/>
          <w:spacing w:val="-48"/>
          <w:kern w:val="2"/>
          <w:sz w:val="24"/>
          <w:szCs w:val="24"/>
          <w:highlight w:val="none"/>
          <w:lang w:val="en-US" w:eastAsia="zh-CN" w:bidi="ar-SA"/>
        </w:rPr>
        <w:t xml:space="preserve"> </w:t>
      </w:r>
      <w:r>
        <w:rPr>
          <w:rFonts w:hint="eastAsia" w:ascii="宋体" w:hAnsi="宋体" w:eastAsia="宋体" w:cs="宋体"/>
          <w:spacing w:val="-7"/>
          <w:kern w:val="2"/>
          <w:sz w:val="24"/>
          <w:szCs w:val="24"/>
          <w:highlight w:val="none"/>
          <w:lang w:val="en-US" w:eastAsia="zh-CN" w:bidi="ar-SA"/>
        </w:rPr>
        <w:t>20日内报至甲方。</w:t>
      </w:r>
    </w:p>
    <w:p w14:paraId="75623169">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80" w:firstLine="485"/>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highlight w:val="none"/>
          <w:lang w:val="en-US" w:eastAsia="zh-CN" w:bidi="ar-SA"/>
        </w:rPr>
        <w:t>7.学员培训期间，乙方不得以任何名义向学员收取任何培训费、实训费、教材费等费用，不得随意、擅自调整教学计划和培</w:t>
      </w:r>
      <w:r>
        <w:rPr>
          <w:rFonts w:hint="eastAsia" w:ascii="宋体" w:hAnsi="宋体" w:eastAsia="宋体" w:cs="宋体"/>
          <w:spacing w:val="1"/>
          <w:kern w:val="2"/>
          <w:sz w:val="24"/>
          <w:szCs w:val="24"/>
          <w:lang w:val="en-US" w:eastAsia="zh-CN" w:bidi="ar-SA"/>
        </w:rPr>
        <w:t>训、实习实训课时。</w:t>
      </w:r>
    </w:p>
    <w:p w14:paraId="388DDFED">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pacing w:val="-1"/>
          <w:kern w:val="2"/>
          <w:sz w:val="24"/>
          <w:szCs w:val="24"/>
          <w:lang w:val="en-US" w:eastAsia="zh-CN" w:bidi="ar-SA"/>
        </w:rPr>
        <w:t>8.乙方不</w:t>
      </w:r>
      <w:r>
        <w:rPr>
          <w:rFonts w:hint="eastAsia" w:ascii="宋体" w:hAnsi="宋体" w:eastAsia="宋体" w:cs="宋体"/>
          <w:color w:val="auto"/>
          <w:spacing w:val="-1"/>
          <w:kern w:val="2"/>
          <w:sz w:val="24"/>
          <w:szCs w:val="24"/>
          <w:highlight w:val="none"/>
          <w:lang w:val="en-US" w:eastAsia="zh-CN" w:bidi="ar-SA"/>
        </w:rPr>
        <w:t>能借助甲方名义做有损甲方利益的活动。</w:t>
      </w:r>
    </w:p>
    <w:p w14:paraId="306D1311">
      <w:pPr>
        <w:keepNext w:val="0"/>
        <w:keepLines w:val="0"/>
        <w:pageBreakBefore w:val="0"/>
        <w:widowControl w:val="0"/>
        <w:kinsoku/>
        <w:wordWrap/>
        <w:overflowPunct/>
        <w:topLinePunct w:val="0"/>
        <w:autoSpaceDE w:val="0"/>
        <w:autoSpaceDN w:val="0"/>
        <w:bidi w:val="0"/>
        <w:adjustRightInd w:val="0"/>
        <w:snapToGrid w:val="0"/>
        <w:spacing w:after="0" w:line="460" w:lineRule="exact"/>
        <w:ind w:left="14" w:right="80" w:firstLine="476"/>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9.培育资金的管理使用：培训资金设立专账管理，以备各级</w:t>
      </w:r>
      <w:r>
        <w:rPr>
          <w:rFonts w:hint="eastAsia" w:ascii="宋体" w:hAnsi="宋体" w:eastAsia="宋体" w:cs="宋体"/>
          <w:color w:val="auto"/>
          <w:spacing w:val="-3"/>
          <w:kern w:val="2"/>
          <w:sz w:val="24"/>
          <w:szCs w:val="24"/>
          <w:highlight w:val="none"/>
          <w:lang w:val="en-US" w:eastAsia="zh-CN" w:bidi="ar-SA"/>
        </w:rPr>
        <w:t>行政主管部门及相关督查机构</w:t>
      </w:r>
      <w:r>
        <w:rPr>
          <w:rFonts w:hint="eastAsia" w:ascii="宋体" w:hAnsi="宋体" w:eastAsia="宋体" w:cs="宋体"/>
          <w:color w:val="auto"/>
          <w:spacing w:val="1"/>
          <w:kern w:val="2"/>
          <w:sz w:val="24"/>
          <w:szCs w:val="24"/>
          <w:highlight w:val="none"/>
          <w:lang w:val="en-US" w:eastAsia="zh-CN" w:bidi="ar-SA"/>
        </w:rPr>
        <w:t>审查。资金只能用于培育学员的食宿、讲课费、实践</w:t>
      </w:r>
      <w:r>
        <w:rPr>
          <w:rFonts w:hint="eastAsia" w:ascii="宋体" w:hAnsi="宋体" w:eastAsia="宋体" w:cs="宋体"/>
          <w:color w:val="auto"/>
          <w:kern w:val="2"/>
          <w:sz w:val="24"/>
          <w:szCs w:val="24"/>
          <w:highlight w:val="none"/>
          <w:lang w:val="en-US" w:eastAsia="zh-CN" w:bidi="ar-SA"/>
        </w:rPr>
        <w:t>操作、购买教材资料、教学相关物料、</w:t>
      </w:r>
      <w:r>
        <w:rPr>
          <w:rFonts w:hint="eastAsia" w:ascii="宋体" w:hAnsi="宋体" w:eastAsia="宋体" w:cs="宋体"/>
          <w:color w:val="auto"/>
          <w:spacing w:val="-1"/>
          <w:kern w:val="2"/>
          <w:sz w:val="24"/>
          <w:szCs w:val="24"/>
          <w:highlight w:val="none"/>
          <w:lang w:val="en-US" w:eastAsia="zh-CN" w:bidi="ar-SA"/>
        </w:rPr>
        <w:t>交通费、宣传费等培训工作相关费用。</w:t>
      </w:r>
    </w:p>
    <w:p w14:paraId="5AB7E9D7">
      <w:pPr>
        <w:keepNext w:val="0"/>
        <w:keepLines w:val="0"/>
        <w:pageBreakBefore w:val="0"/>
        <w:widowControl w:val="0"/>
        <w:kinsoku/>
        <w:wordWrap/>
        <w:overflowPunct/>
        <w:topLinePunct w:val="0"/>
        <w:autoSpaceDE w:val="0"/>
        <w:autoSpaceDN w:val="0"/>
        <w:bidi w:val="0"/>
        <w:adjustRightInd w:val="0"/>
        <w:snapToGrid w:val="0"/>
        <w:spacing w:after="0" w:line="460" w:lineRule="exact"/>
        <w:ind w:left="9" w:right="80" w:firstLine="498"/>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10.建立台帐：培训中必须建立培育档案。培育档案要记</w:t>
      </w:r>
      <w:r>
        <w:rPr>
          <w:rFonts w:hint="eastAsia" w:ascii="宋体" w:hAnsi="宋体" w:eastAsia="宋体" w:cs="宋体"/>
          <w:kern w:val="2"/>
          <w:sz w:val="24"/>
          <w:szCs w:val="24"/>
          <w:lang w:val="en-US" w:eastAsia="zh-CN" w:bidi="ar-SA"/>
        </w:rPr>
        <w:t>录受训农民姓名、年龄、性别、</w:t>
      </w:r>
      <w:r>
        <w:rPr>
          <w:rFonts w:hint="eastAsia" w:ascii="宋体" w:hAnsi="宋体" w:eastAsia="宋体" w:cs="宋体"/>
          <w:spacing w:val="1"/>
          <w:kern w:val="2"/>
          <w:sz w:val="24"/>
          <w:szCs w:val="24"/>
          <w:lang w:val="en-US" w:eastAsia="zh-CN" w:bidi="ar-SA"/>
        </w:rPr>
        <w:t>身份证号、培育专业、培育时间和联系电话等，</w:t>
      </w:r>
      <w:r>
        <w:rPr>
          <w:rFonts w:hint="eastAsia" w:ascii="宋体" w:hAnsi="宋体" w:eastAsia="宋体" w:cs="宋体"/>
          <w:spacing w:val="-1"/>
          <w:kern w:val="2"/>
          <w:sz w:val="24"/>
          <w:szCs w:val="24"/>
          <w:lang w:val="en-US" w:eastAsia="zh-CN" w:bidi="ar-SA"/>
        </w:rPr>
        <w:t>乙方</w:t>
      </w:r>
      <w:r>
        <w:rPr>
          <w:rFonts w:hint="eastAsia" w:ascii="宋体" w:hAnsi="宋体" w:eastAsia="宋体" w:cs="宋体"/>
          <w:spacing w:val="1"/>
          <w:kern w:val="2"/>
          <w:sz w:val="24"/>
          <w:szCs w:val="24"/>
          <w:lang w:val="en-US" w:eastAsia="zh-CN" w:bidi="ar-SA"/>
        </w:rPr>
        <w:t>对台帐的真</w:t>
      </w:r>
      <w:r>
        <w:rPr>
          <w:rFonts w:hint="eastAsia" w:ascii="宋体" w:hAnsi="宋体" w:eastAsia="宋体" w:cs="宋体"/>
          <w:kern w:val="2"/>
          <w:sz w:val="24"/>
          <w:szCs w:val="24"/>
          <w:lang w:val="en-US" w:eastAsia="zh-CN" w:bidi="ar-SA"/>
        </w:rPr>
        <w:t>实性负责。并根据相关要求</w:t>
      </w:r>
      <w:r>
        <w:rPr>
          <w:rFonts w:hint="eastAsia" w:ascii="宋体" w:hAnsi="宋体" w:eastAsia="宋体" w:cs="宋体"/>
          <w:spacing w:val="-1"/>
          <w:kern w:val="2"/>
          <w:sz w:val="24"/>
          <w:szCs w:val="24"/>
          <w:lang w:val="en-US" w:eastAsia="zh-CN" w:bidi="ar-SA"/>
        </w:rPr>
        <w:t>及时将学员信息录入农民教育培训信息管理系统。</w:t>
      </w:r>
    </w:p>
    <w:p w14:paraId="4101AA53">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80" w:firstLine="497"/>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pacing w:val="-3"/>
          <w:kern w:val="2"/>
          <w:sz w:val="24"/>
          <w:szCs w:val="24"/>
          <w:lang w:val="en-US" w:eastAsia="zh-CN" w:bidi="ar-SA"/>
        </w:rPr>
        <w:t>11.按需求</w:t>
      </w:r>
      <w:r>
        <w:rPr>
          <w:rFonts w:hint="eastAsia" w:ascii="宋体" w:hAnsi="宋体" w:eastAsia="宋体" w:cs="宋体"/>
          <w:color w:val="auto"/>
          <w:spacing w:val="-3"/>
          <w:kern w:val="2"/>
          <w:sz w:val="24"/>
          <w:szCs w:val="24"/>
          <w:highlight w:val="none"/>
          <w:lang w:val="en-US" w:eastAsia="zh-CN" w:bidi="ar-SA"/>
        </w:rPr>
        <w:t>落实宣传推介工作，在中央、省级媒体发布宣传新闻稿，挖掘培育宣传典型案</w:t>
      </w:r>
      <w:r>
        <w:rPr>
          <w:rFonts w:hint="eastAsia" w:ascii="宋体" w:hAnsi="宋体" w:eastAsia="宋体" w:cs="宋体"/>
          <w:color w:val="auto"/>
          <w:spacing w:val="-2"/>
          <w:kern w:val="2"/>
          <w:sz w:val="24"/>
          <w:szCs w:val="24"/>
          <w:highlight w:val="none"/>
          <w:lang w:val="en-US" w:eastAsia="zh-CN" w:bidi="ar-SA"/>
        </w:rPr>
        <w:t>例和优秀学员。</w:t>
      </w:r>
    </w:p>
    <w:p w14:paraId="6B5805FE">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68" w:firstLineChars="20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12.乙方按要求在培训结束</w:t>
      </w:r>
      <w:r>
        <w:rPr>
          <w:rFonts w:hint="eastAsia" w:ascii="宋体" w:hAnsi="宋体" w:eastAsia="宋体" w:cs="宋体"/>
          <w:color w:val="auto"/>
          <w:spacing w:val="-4"/>
          <w:kern w:val="2"/>
          <w:sz w:val="24"/>
          <w:szCs w:val="24"/>
          <w:highlight w:val="none"/>
          <w:lang w:val="en-US" w:eastAsia="zh-CN" w:bidi="ar-SA"/>
        </w:rPr>
        <w:t>6个月内回访两次，回访学员比例不少于60%</w:t>
      </w:r>
      <w:r>
        <w:rPr>
          <w:rFonts w:hint="eastAsia" w:ascii="宋体" w:hAnsi="宋体" w:eastAsia="宋体" w:cs="宋体"/>
          <w:color w:val="auto"/>
          <w:spacing w:val="-2"/>
          <w:kern w:val="2"/>
          <w:sz w:val="24"/>
          <w:szCs w:val="24"/>
          <w:highlight w:val="none"/>
          <w:lang w:val="en-US" w:eastAsia="zh-CN" w:bidi="ar-SA"/>
        </w:rPr>
        <w:t>。</w:t>
      </w:r>
    </w:p>
    <w:p w14:paraId="32F05BF0">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2" w:firstLine="497"/>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13.乙方未按本合同约定履行培训、跟踪服务等义务的，应承担相应责任，甲方有权视情</w:t>
      </w:r>
      <w:r>
        <w:rPr>
          <w:rFonts w:hint="eastAsia" w:ascii="宋体" w:hAnsi="宋体" w:eastAsia="宋体" w:cs="宋体"/>
          <w:color w:val="auto"/>
          <w:kern w:val="2"/>
          <w:sz w:val="24"/>
          <w:szCs w:val="24"/>
          <w:highlight w:val="none"/>
          <w:lang w:val="en-US" w:eastAsia="zh-CN" w:bidi="ar-SA"/>
        </w:rPr>
        <w:t>节扣减培训费用；擅自转包、分包的，甲方有权解</w:t>
      </w:r>
      <w:r>
        <w:rPr>
          <w:rFonts w:hint="eastAsia" w:ascii="宋体" w:hAnsi="宋体" w:eastAsia="宋体" w:cs="宋体"/>
          <w:color w:val="auto"/>
          <w:spacing w:val="-1"/>
          <w:kern w:val="2"/>
          <w:sz w:val="24"/>
          <w:szCs w:val="24"/>
          <w:highlight w:val="none"/>
          <w:lang w:val="en-US" w:eastAsia="zh-CN" w:bidi="ar-SA"/>
        </w:rPr>
        <w:t>除合同并追回已付费用。</w:t>
      </w:r>
    </w:p>
    <w:p w14:paraId="4CF7228E">
      <w:pPr>
        <w:keepNext w:val="0"/>
        <w:keepLines w:val="0"/>
        <w:pageBreakBefore w:val="0"/>
        <w:widowControl w:val="0"/>
        <w:kinsoku/>
        <w:wordWrap/>
        <w:overflowPunct/>
        <w:topLinePunct w:val="0"/>
        <w:autoSpaceDE/>
        <w:autoSpaceDN/>
        <w:bidi w:val="0"/>
        <w:adjustRightInd w:val="0"/>
        <w:snapToGrid w:val="0"/>
        <w:spacing w:line="460" w:lineRule="exact"/>
        <w:ind w:firstLine="466" w:firstLineChars="200"/>
        <w:textAlignment w:val="auto"/>
        <w:outlineLvl w:val="1"/>
        <w:rPr>
          <w:rFonts w:hint="eastAsia" w:ascii="宋体" w:hAnsi="宋体" w:eastAsia="宋体" w:cs="宋体"/>
          <w:b/>
          <w:sz w:val="24"/>
          <w:szCs w:val="24"/>
        </w:rPr>
      </w:pPr>
      <w:bookmarkStart w:id="76" w:name="_Toc1269"/>
      <w:bookmarkStart w:id="77" w:name="_Toc5505"/>
      <w:r>
        <w:rPr>
          <w:rFonts w:hint="eastAsia" w:ascii="宋体" w:hAnsi="宋体" w:eastAsia="宋体" w:cs="宋体"/>
          <w:b/>
          <w:bCs/>
          <w:color w:val="auto"/>
          <w:spacing w:val="-4"/>
          <w:sz w:val="24"/>
          <w:szCs w:val="24"/>
          <w:highlight w:val="none"/>
          <w:lang w:val="en-US" w:eastAsia="zh-CN"/>
        </w:rPr>
        <w:t>七、</w:t>
      </w:r>
      <w:r>
        <w:rPr>
          <w:rFonts w:hint="eastAsia" w:ascii="宋体" w:hAnsi="宋体" w:eastAsia="宋体" w:cs="宋体"/>
          <w:b/>
          <w:color w:val="auto"/>
          <w:sz w:val="24"/>
          <w:szCs w:val="24"/>
          <w:highlight w:val="none"/>
        </w:rPr>
        <w:t>组成合同的文</w:t>
      </w:r>
      <w:r>
        <w:rPr>
          <w:rFonts w:hint="eastAsia" w:ascii="宋体" w:hAnsi="宋体" w:eastAsia="宋体" w:cs="宋体"/>
          <w:b/>
          <w:sz w:val="24"/>
          <w:szCs w:val="24"/>
        </w:rPr>
        <w:t>件</w:t>
      </w:r>
      <w:bookmarkEnd w:id="76"/>
      <w:bookmarkEnd w:id="77"/>
    </w:p>
    <w:p w14:paraId="18555AE4">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本协议书与下列文件一起构成合同文件，如下述文件之间有任何抵触、矛盾或歧义，应按以下顺序解释：</w:t>
      </w:r>
    </w:p>
    <w:p w14:paraId="1BF9AF4A">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在采购或合同履行过程中乙方作出的承诺以及双方协商达成的变更或补充协议</w:t>
      </w:r>
    </w:p>
    <w:p w14:paraId="323DED4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本合同协议书</w:t>
      </w:r>
    </w:p>
    <w:p w14:paraId="2FBB867A">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3.成交</w:t>
      </w:r>
      <w:r>
        <w:rPr>
          <w:rFonts w:hint="eastAsia" w:ascii="宋体" w:hAnsi="宋体" w:eastAsia="宋体" w:cs="宋体"/>
          <w:sz w:val="24"/>
          <w:szCs w:val="24"/>
        </w:rPr>
        <w:t>通知书</w:t>
      </w:r>
    </w:p>
    <w:p w14:paraId="5CA05A61">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4.响应</w:t>
      </w:r>
      <w:r>
        <w:rPr>
          <w:rFonts w:hint="eastAsia" w:ascii="宋体" w:hAnsi="宋体" w:eastAsia="宋体" w:cs="宋体"/>
          <w:sz w:val="24"/>
          <w:szCs w:val="24"/>
        </w:rPr>
        <w:t>文件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采购文件</w:t>
      </w:r>
    </w:p>
    <w:p w14:paraId="283E2A5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政府采购合同专用条款</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0366CB3C">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政府采购合同通用条款</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63A135D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标准、规范及有关技术文件</w:t>
      </w:r>
      <w:r>
        <w:rPr>
          <w:rFonts w:hint="eastAsia" w:ascii="宋体" w:hAnsi="宋体" w:eastAsia="宋体" w:cs="宋体"/>
          <w:sz w:val="24"/>
          <w:szCs w:val="24"/>
          <w:lang w:val="en-US" w:eastAsia="zh-CN"/>
        </w:rPr>
        <w:t>及</w:t>
      </w:r>
      <w:r>
        <w:rPr>
          <w:rFonts w:hint="eastAsia" w:ascii="宋体" w:hAnsi="宋体" w:eastAsia="宋体" w:cs="宋体"/>
          <w:sz w:val="24"/>
          <w:szCs w:val="24"/>
        </w:rPr>
        <w:t>图纸</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5D88A26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其他合同文件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7DAFCD92">
      <w:pPr>
        <w:keepNext w:val="0"/>
        <w:keepLines w:val="0"/>
        <w:pageBreakBefore w:val="0"/>
        <w:widowControl w:val="0"/>
        <w:kinsoku/>
        <w:wordWrap/>
        <w:overflowPunct/>
        <w:topLinePunct w:val="0"/>
        <w:autoSpaceDE w:val="0"/>
        <w:autoSpaceDN w:val="0"/>
        <w:bidi w:val="0"/>
        <w:adjustRightInd w:val="0"/>
        <w:snapToGrid w:val="0"/>
        <w:spacing w:after="0" w:line="460" w:lineRule="exact"/>
        <w:ind w:left="492"/>
        <w:jc w:val="both"/>
        <w:textAlignment w:val="baseline"/>
        <w:outlineLvl w:val="1"/>
        <w:rPr>
          <w:rFonts w:hint="eastAsia" w:ascii="宋体" w:hAnsi="宋体" w:eastAsia="宋体" w:cs="宋体"/>
          <w:kern w:val="2"/>
          <w:sz w:val="24"/>
          <w:szCs w:val="24"/>
          <w:lang w:val="en-US" w:eastAsia="zh-CN" w:bidi="ar-SA"/>
        </w:rPr>
      </w:pPr>
      <w:bookmarkStart w:id="78" w:name="_Toc1163"/>
      <w:bookmarkStart w:id="79" w:name="_Toc28620"/>
      <w:r>
        <w:rPr>
          <w:rFonts w:hint="eastAsia" w:ascii="宋体" w:hAnsi="宋体" w:eastAsia="宋体" w:cs="宋体"/>
          <w:b/>
          <w:bCs/>
          <w:spacing w:val="-4"/>
          <w:kern w:val="2"/>
          <w:sz w:val="24"/>
          <w:szCs w:val="24"/>
          <w:lang w:val="en-US" w:eastAsia="zh-CN" w:bidi="ar-SA"/>
        </w:rPr>
        <w:t>八、其他事项</w:t>
      </w:r>
      <w:bookmarkEnd w:id="78"/>
      <w:bookmarkEnd w:id="79"/>
    </w:p>
    <w:p w14:paraId="26F5BA7B">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firstLine="482"/>
        <w:jc w:val="both"/>
        <w:textAlignment w:val="baseline"/>
        <w:rPr>
          <w:rFonts w:hint="eastAsia"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1.</w:t>
      </w:r>
      <w:r>
        <w:rPr>
          <w:rFonts w:hint="eastAsia" w:ascii="宋体" w:hAnsi="宋体" w:eastAsia="宋体" w:cs="宋体"/>
          <w:spacing w:val="1"/>
          <w:kern w:val="2"/>
          <w:sz w:val="24"/>
          <w:szCs w:val="24"/>
          <w:lang w:val="en-US" w:eastAsia="zh-CN" w:bidi="ar-SA"/>
        </w:rPr>
        <w:t>甲乙双方须严格遵守本协议，无特殊情况任何一方不</w:t>
      </w:r>
      <w:r>
        <w:rPr>
          <w:rFonts w:hint="eastAsia" w:ascii="宋体" w:hAnsi="宋体" w:eastAsia="宋体" w:cs="宋体"/>
          <w:kern w:val="2"/>
          <w:sz w:val="24"/>
          <w:szCs w:val="24"/>
          <w:lang w:val="en-US" w:eastAsia="zh-CN" w:bidi="ar-SA"/>
        </w:rPr>
        <w:t>得单方终止或变更本协议。任何</w:t>
      </w:r>
      <w:r>
        <w:rPr>
          <w:rFonts w:hint="eastAsia" w:ascii="宋体" w:hAnsi="宋体" w:eastAsia="宋体" w:cs="宋体"/>
          <w:spacing w:val="1"/>
          <w:kern w:val="2"/>
          <w:sz w:val="24"/>
          <w:szCs w:val="24"/>
          <w:lang w:val="en-US" w:eastAsia="zh-CN" w:bidi="ar-SA"/>
        </w:rPr>
        <w:t>一方违约给对方造成损失的，应依法承担赔偿责任。</w:t>
      </w:r>
    </w:p>
    <w:p w14:paraId="6F2CAB4C">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firstLine="482"/>
        <w:jc w:val="both"/>
        <w:textAlignment w:val="baseline"/>
        <w:rPr>
          <w:rFonts w:hint="eastAsia"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2.本协议未</w:t>
      </w:r>
      <w:r>
        <w:rPr>
          <w:rFonts w:hint="eastAsia" w:ascii="宋体" w:hAnsi="宋体" w:eastAsia="宋体" w:cs="宋体"/>
          <w:kern w:val="2"/>
          <w:sz w:val="24"/>
          <w:szCs w:val="24"/>
          <w:lang w:val="en-US" w:eastAsia="zh-CN" w:bidi="ar-SA"/>
        </w:rPr>
        <w:t>尽事宜，农业农村部农村社会</w:t>
      </w:r>
      <w:r>
        <w:rPr>
          <w:rFonts w:hint="eastAsia" w:ascii="宋体" w:hAnsi="宋体" w:eastAsia="宋体" w:cs="宋体"/>
          <w:spacing w:val="1"/>
          <w:kern w:val="2"/>
          <w:sz w:val="24"/>
          <w:szCs w:val="24"/>
          <w:lang w:val="en-US" w:eastAsia="zh-CN" w:bidi="ar-SA"/>
        </w:rPr>
        <w:t>事业促进司、湖南省农业农村厅等相关文件有明确规定的，以文件规定</w:t>
      </w:r>
      <w:r>
        <w:rPr>
          <w:rFonts w:hint="eastAsia" w:ascii="宋体" w:hAnsi="宋体" w:eastAsia="宋体" w:cs="宋体"/>
          <w:kern w:val="2"/>
          <w:sz w:val="24"/>
          <w:szCs w:val="24"/>
          <w:lang w:val="en-US" w:eastAsia="zh-CN" w:bidi="ar-SA"/>
        </w:rPr>
        <w:t>为准，其余事宜双方另行友好协商解决。协商解决不成的，均可向甲方所</w:t>
      </w:r>
      <w:r>
        <w:rPr>
          <w:rFonts w:hint="eastAsia" w:ascii="宋体" w:hAnsi="宋体" w:eastAsia="宋体" w:cs="宋体"/>
          <w:spacing w:val="-1"/>
          <w:kern w:val="2"/>
          <w:sz w:val="24"/>
          <w:szCs w:val="24"/>
          <w:lang w:val="en-US" w:eastAsia="zh-CN" w:bidi="ar-SA"/>
        </w:rPr>
        <w:t>在地人民法院诉讼解决。</w:t>
      </w:r>
    </w:p>
    <w:p w14:paraId="32FEC855">
      <w:pPr>
        <w:keepNext w:val="0"/>
        <w:keepLines w:val="0"/>
        <w:pageBreakBefore w:val="0"/>
        <w:widowControl w:val="0"/>
        <w:kinsoku/>
        <w:wordWrap/>
        <w:overflowPunct/>
        <w:topLinePunct w:val="0"/>
        <w:autoSpaceDE w:val="0"/>
        <w:autoSpaceDN w:val="0"/>
        <w:bidi w:val="0"/>
        <w:adjustRightInd w:val="0"/>
        <w:snapToGrid w:val="0"/>
        <w:spacing w:after="0" w:line="460" w:lineRule="exact"/>
        <w:ind w:left="489"/>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3.乙方收款账户如下：</w:t>
      </w:r>
    </w:p>
    <w:p w14:paraId="546C6A96">
      <w:pPr>
        <w:keepNext w:val="0"/>
        <w:keepLines w:val="0"/>
        <w:pageBreakBefore w:val="0"/>
        <w:widowControl w:val="0"/>
        <w:kinsoku/>
        <w:wordWrap/>
        <w:overflowPunct/>
        <w:topLinePunct w:val="0"/>
        <w:autoSpaceDE w:val="0"/>
        <w:autoSpaceDN w:val="0"/>
        <w:bidi w:val="0"/>
        <w:adjustRightInd w:val="0"/>
        <w:snapToGrid w:val="0"/>
        <w:spacing w:after="0" w:line="460" w:lineRule="exact"/>
        <w:ind w:left="509"/>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6"/>
          <w:kern w:val="2"/>
          <w:sz w:val="24"/>
          <w:szCs w:val="24"/>
          <w:lang w:val="en-US" w:eastAsia="zh-CN" w:bidi="ar-SA"/>
        </w:rPr>
        <w:t>乙方户名：</w:t>
      </w:r>
      <w:r>
        <w:rPr>
          <w:rFonts w:hint="eastAsia" w:ascii="宋体" w:hAnsi="宋体" w:eastAsia="宋体" w:cs="宋体"/>
          <w:kern w:val="2"/>
          <w:sz w:val="24"/>
          <w:szCs w:val="24"/>
          <w:u w:val="single" w:color="auto"/>
          <w:lang w:val="en-US" w:eastAsia="zh-CN" w:bidi="ar-SA"/>
        </w:rPr>
        <w:t xml:space="preserve">                 </w:t>
      </w:r>
    </w:p>
    <w:p w14:paraId="125FAE4F">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20"/>
          <w:kern w:val="2"/>
          <w:sz w:val="24"/>
          <w:szCs w:val="24"/>
          <w:lang w:val="en-US" w:eastAsia="zh-CN" w:bidi="ar-SA"/>
        </w:rPr>
        <w:t>账</w:t>
      </w:r>
      <w:r>
        <w:rPr>
          <w:rFonts w:hint="eastAsia" w:ascii="宋体" w:hAnsi="宋体" w:eastAsia="宋体" w:cs="宋体"/>
          <w:spacing w:val="3"/>
          <w:kern w:val="2"/>
          <w:sz w:val="24"/>
          <w:szCs w:val="24"/>
          <w:lang w:val="en-US" w:eastAsia="zh-CN" w:bidi="ar-SA"/>
        </w:rPr>
        <w:t xml:space="preserve">    </w:t>
      </w:r>
      <w:r>
        <w:rPr>
          <w:rFonts w:hint="eastAsia" w:ascii="宋体" w:hAnsi="宋体" w:eastAsia="宋体" w:cs="宋体"/>
          <w:spacing w:val="-20"/>
          <w:kern w:val="2"/>
          <w:sz w:val="24"/>
          <w:szCs w:val="24"/>
          <w:lang w:val="en-US" w:eastAsia="zh-CN" w:bidi="ar-SA"/>
        </w:rPr>
        <w:t>号</w:t>
      </w:r>
      <w:r>
        <w:rPr>
          <w:rFonts w:hint="eastAsia" w:ascii="宋体" w:hAnsi="宋体" w:eastAsia="宋体" w:cs="宋体"/>
          <w:spacing w:val="-87"/>
          <w:kern w:val="2"/>
          <w:sz w:val="24"/>
          <w:szCs w:val="24"/>
          <w:lang w:val="en-US" w:eastAsia="zh-CN" w:bidi="ar-SA"/>
        </w:rPr>
        <w:t xml:space="preserve"> </w:t>
      </w:r>
      <w:r>
        <w:rPr>
          <w:rFonts w:hint="eastAsia" w:ascii="宋体" w:hAnsi="宋体" w:eastAsia="宋体" w:cs="宋体"/>
          <w:spacing w:val="-20"/>
          <w:kern w:val="2"/>
          <w:sz w:val="24"/>
          <w:szCs w:val="24"/>
          <w:lang w:val="en-US" w:eastAsia="zh-CN" w:bidi="ar-SA"/>
        </w:rPr>
        <w:t>：</w:t>
      </w:r>
      <w:r>
        <w:rPr>
          <w:rFonts w:hint="eastAsia" w:ascii="宋体" w:hAnsi="宋体" w:eastAsia="宋体" w:cs="宋体"/>
          <w:kern w:val="2"/>
          <w:sz w:val="24"/>
          <w:szCs w:val="24"/>
          <w:u w:val="single" w:color="auto"/>
          <w:lang w:val="en-US" w:eastAsia="zh-CN" w:bidi="ar-SA"/>
        </w:rPr>
        <w:t xml:space="preserve">                 </w:t>
      </w:r>
    </w:p>
    <w:p w14:paraId="245CC435">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7"/>
          <w:kern w:val="2"/>
          <w:sz w:val="24"/>
          <w:szCs w:val="24"/>
          <w:lang w:val="en-US" w:eastAsia="zh-CN" w:bidi="ar-SA"/>
        </w:rPr>
        <w:t>开</w:t>
      </w:r>
      <w:r>
        <w:rPr>
          <w:rFonts w:hint="eastAsia" w:ascii="宋体" w:hAnsi="宋体" w:eastAsia="宋体" w:cs="宋体"/>
          <w:spacing w:val="12"/>
          <w:kern w:val="2"/>
          <w:sz w:val="24"/>
          <w:szCs w:val="24"/>
          <w:lang w:val="en-US" w:eastAsia="zh-CN" w:bidi="ar-SA"/>
        </w:rPr>
        <w:t xml:space="preserve"> </w:t>
      </w:r>
      <w:r>
        <w:rPr>
          <w:rFonts w:hint="eastAsia" w:ascii="宋体" w:hAnsi="宋体" w:eastAsia="宋体" w:cs="宋体"/>
          <w:spacing w:val="-17"/>
          <w:kern w:val="2"/>
          <w:sz w:val="24"/>
          <w:szCs w:val="24"/>
          <w:lang w:val="en-US" w:eastAsia="zh-CN" w:bidi="ar-SA"/>
        </w:rPr>
        <w:t>户</w:t>
      </w:r>
      <w:r>
        <w:rPr>
          <w:rFonts w:hint="eastAsia" w:ascii="宋体" w:hAnsi="宋体" w:eastAsia="宋体" w:cs="宋体"/>
          <w:spacing w:val="13"/>
          <w:kern w:val="2"/>
          <w:sz w:val="24"/>
          <w:szCs w:val="24"/>
          <w:lang w:val="en-US" w:eastAsia="zh-CN" w:bidi="ar-SA"/>
        </w:rPr>
        <w:t xml:space="preserve"> </w:t>
      </w:r>
      <w:r>
        <w:rPr>
          <w:rFonts w:hint="eastAsia" w:ascii="宋体" w:hAnsi="宋体" w:eastAsia="宋体" w:cs="宋体"/>
          <w:spacing w:val="-17"/>
          <w:kern w:val="2"/>
          <w:sz w:val="24"/>
          <w:szCs w:val="24"/>
          <w:lang w:val="en-US" w:eastAsia="zh-CN" w:bidi="ar-SA"/>
        </w:rPr>
        <w:t>行</w:t>
      </w:r>
      <w:r>
        <w:rPr>
          <w:rFonts w:hint="eastAsia" w:ascii="宋体" w:hAnsi="宋体" w:eastAsia="宋体" w:cs="宋体"/>
          <w:spacing w:val="-90"/>
          <w:kern w:val="2"/>
          <w:sz w:val="24"/>
          <w:szCs w:val="24"/>
          <w:lang w:val="en-US" w:eastAsia="zh-CN" w:bidi="ar-SA"/>
        </w:rPr>
        <w:t xml:space="preserve"> </w:t>
      </w:r>
      <w:r>
        <w:rPr>
          <w:rFonts w:hint="eastAsia" w:ascii="宋体" w:hAnsi="宋体" w:eastAsia="宋体" w:cs="宋体"/>
          <w:spacing w:val="-17"/>
          <w:kern w:val="2"/>
          <w:sz w:val="24"/>
          <w:szCs w:val="24"/>
          <w:lang w:val="en-US" w:eastAsia="zh-CN" w:bidi="ar-SA"/>
        </w:rPr>
        <w:t>：</w:t>
      </w:r>
      <w:r>
        <w:rPr>
          <w:rFonts w:hint="eastAsia" w:ascii="宋体" w:hAnsi="宋体" w:eastAsia="宋体" w:cs="宋体"/>
          <w:kern w:val="2"/>
          <w:sz w:val="24"/>
          <w:szCs w:val="24"/>
          <w:u w:val="single" w:color="auto"/>
          <w:lang w:val="en-US" w:eastAsia="zh-CN" w:bidi="ar-SA"/>
        </w:rPr>
        <w:t xml:space="preserve">                 </w:t>
      </w:r>
    </w:p>
    <w:p w14:paraId="4629A69C">
      <w:pPr>
        <w:keepNext w:val="0"/>
        <w:keepLines w:val="0"/>
        <w:pageBreakBefore w:val="0"/>
        <w:widowControl w:val="0"/>
        <w:kinsoku/>
        <w:wordWrap/>
        <w:overflowPunct/>
        <w:topLinePunct w:val="0"/>
        <w:autoSpaceDE w:val="0"/>
        <w:autoSpaceDN w:val="0"/>
        <w:bidi w:val="0"/>
        <w:adjustRightInd w:val="0"/>
        <w:snapToGrid w:val="0"/>
        <w:spacing w:after="0" w:line="460" w:lineRule="exact"/>
        <w:ind w:left="492"/>
        <w:jc w:val="both"/>
        <w:textAlignment w:val="baseline"/>
        <w:outlineLvl w:val="1"/>
        <w:rPr>
          <w:rFonts w:hint="eastAsia" w:ascii="宋体" w:hAnsi="宋体" w:eastAsia="宋体" w:cs="宋体"/>
          <w:b/>
          <w:bCs/>
          <w:spacing w:val="-4"/>
          <w:kern w:val="2"/>
          <w:sz w:val="24"/>
          <w:szCs w:val="24"/>
          <w:lang w:val="en-US" w:eastAsia="zh-CN" w:bidi="ar-SA"/>
        </w:rPr>
      </w:pPr>
      <w:bookmarkStart w:id="80" w:name="_Toc16853"/>
      <w:bookmarkStart w:id="81" w:name="_Toc3102"/>
      <w:r>
        <w:rPr>
          <w:rFonts w:hint="eastAsia" w:ascii="宋体" w:hAnsi="宋体" w:eastAsia="宋体" w:cs="宋体"/>
          <w:b/>
          <w:bCs/>
          <w:spacing w:val="-4"/>
          <w:kern w:val="2"/>
          <w:sz w:val="24"/>
          <w:szCs w:val="24"/>
          <w:lang w:val="en-US" w:eastAsia="zh-CN" w:bidi="ar-SA"/>
        </w:rPr>
        <w:t>九、合同生效</w:t>
      </w:r>
      <w:bookmarkEnd w:id="80"/>
      <w:bookmarkEnd w:id="81"/>
    </w:p>
    <w:p w14:paraId="2E3A188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本合同自</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双方签字盖章之日起</w:t>
      </w:r>
      <w:r>
        <w:rPr>
          <w:rFonts w:hint="eastAsia" w:ascii="宋体" w:hAnsi="宋体" w:eastAsia="宋体" w:cs="宋体"/>
          <w:sz w:val="24"/>
          <w:szCs w:val="24"/>
          <w:u w:val="single"/>
        </w:rPr>
        <w:t xml:space="preserve"> </w:t>
      </w:r>
      <w:r>
        <w:rPr>
          <w:rFonts w:hint="eastAsia" w:ascii="宋体" w:hAnsi="宋体" w:eastAsia="宋体" w:cs="宋体"/>
          <w:sz w:val="24"/>
          <w:szCs w:val="24"/>
        </w:rPr>
        <w:t>生效。</w:t>
      </w:r>
    </w:p>
    <w:p w14:paraId="1B5B2152">
      <w:pPr>
        <w:keepNext w:val="0"/>
        <w:keepLines w:val="0"/>
        <w:pageBreakBefore w:val="0"/>
        <w:widowControl w:val="0"/>
        <w:kinsoku/>
        <w:wordWrap/>
        <w:overflowPunct/>
        <w:topLinePunct w:val="0"/>
        <w:autoSpaceDE w:val="0"/>
        <w:autoSpaceDN w:val="0"/>
        <w:bidi w:val="0"/>
        <w:adjustRightInd w:val="0"/>
        <w:snapToGrid w:val="0"/>
        <w:spacing w:after="0" w:line="460" w:lineRule="exact"/>
        <w:ind w:left="492"/>
        <w:jc w:val="both"/>
        <w:textAlignment w:val="baseline"/>
        <w:outlineLvl w:val="1"/>
        <w:rPr>
          <w:rFonts w:hint="eastAsia" w:ascii="宋体" w:hAnsi="宋体" w:eastAsia="宋体" w:cs="宋体"/>
          <w:b/>
          <w:bCs/>
          <w:spacing w:val="-4"/>
          <w:kern w:val="2"/>
          <w:sz w:val="24"/>
          <w:szCs w:val="24"/>
          <w:lang w:val="en-US" w:eastAsia="zh-CN" w:bidi="ar-SA"/>
        </w:rPr>
      </w:pPr>
      <w:bookmarkStart w:id="82" w:name="_Toc14849"/>
      <w:bookmarkStart w:id="83" w:name="_Toc1408"/>
      <w:r>
        <w:rPr>
          <w:rFonts w:hint="eastAsia" w:ascii="宋体" w:hAnsi="宋体" w:eastAsia="宋体" w:cs="宋体"/>
          <w:b/>
          <w:bCs/>
          <w:spacing w:val="-4"/>
          <w:kern w:val="2"/>
          <w:sz w:val="24"/>
          <w:szCs w:val="24"/>
          <w:lang w:val="en-US" w:eastAsia="zh-CN" w:bidi="ar-SA"/>
        </w:rPr>
        <w:t>十、合同份数</w:t>
      </w:r>
      <w:bookmarkEnd w:id="82"/>
      <w:bookmarkEnd w:id="83"/>
    </w:p>
    <w:p w14:paraId="458DF76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本合同一式</w:t>
      </w:r>
      <w:r>
        <w:rPr>
          <w:rFonts w:hint="eastAsia" w:ascii="宋体" w:hAnsi="宋体" w:eastAsia="宋体" w:cs="宋体"/>
          <w:sz w:val="24"/>
          <w:szCs w:val="24"/>
          <w:u w:val="single"/>
        </w:rPr>
        <w:t xml:space="preserve">   </w:t>
      </w:r>
      <w:r>
        <w:rPr>
          <w:rFonts w:hint="eastAsia" w:ascii="宋体" w:hAnsi="宋体" w:eastAsia="宋体" w:cs="宋体"/>
          <w:sz w:val="24"/>
          <w:szCs w:val="24"/>
        </w:rPr>
        <w:t>份，采购人执</w:t>
      </w:r>
      <w:r>
        <w:rPr>
          <w:rFonts w:hint="eastAsia" w:ascii="宋体" w:hAnsi="宋体" w:eastAsia="宋体" w:cs="宋体"/>
          <w:sz w:val="24"/>
          <w:szCs w:val="24"/>
          <w:u w:val="single"/>
        </w:rPr>
        <w:t xml:space="preserve">   </w:t>
      </w:r>
      <w:r>
        <w:rPr>
          <w:rFonts w:hint="eastAsia" w:ascii="宋体" w:hAnsi="宋体" w:eastAsia="宋体" w:cs="宋体"/>
          <w:sz w:val="24"/>
          <w:szCs w:val="24"/>
        </w:rPr>
        <w:t>份，供应商执</w:t>
      </w:r>
      <w:r>
        <w:rPr>
          <w:rFonts w:hint="eastAsia" w:ascii="宋体" w:hAnsi="宋体" w:eastAsia="宋体" w:cs="宋体"/>
          <w:sz w:val="24"/>
          <w:szCs w:val="24"/>
          <w:u w:val="single"/>
        </w:rPr>
        <w:t xml:space="preserve">   </w:t>
      </w:r>
      <w:r>
        <w:rPr>
          <w:rFonts w:hint="eastAsia" w:ascii="宋体" w:hAnsi="宋体" w:eastAsia="宋体" w:cs="宋体"/>
          <w:sz w:val="24"/>
          <w:szCs w:val="24"/>
        </w:rPr>
        <w:t>份，代理机构执</w:t>
      </w:r>
      <w:r>
        <w:rPr>
          <w:rFonts w:hint="eastAsia" w:ascii="宋体" w:hAnsi="宋体" w:eastAsia="宋体" w:cs="宋体"/>
          <w:sz w:val="24"/>
          <w:szCs w:val="24"/>
          <w:u w:val="single"/>
        </w:rPr>
        <w:t xml:space="preserve"> 壹 </w:t>
      </w:r>
      <w:r>
        <w:rPr>
          <w:rFonts w:hint="eastAsia" w:ascii="宋体" w:hAnsi="宋体" w:eastAsia="宋体" w:cs="宋体"/>
          <w:sz w:val="24"/>
          <w:szCs w:val="24"/>
        </w:rPr>
        <w:t>份，均具有同等法律效力。</w:t>
      </w:r>
    </w:p>
    <w:p w14:paraId="7125B687">
      <w:pPr>
        <w:rPr>
          <w:rFonts w:hint="eastAsia" w:ascii="宋体" w:hAnsi="宋体" w:eastAsia="宋体" w:cs="宋体"/>
        </w:rPr>
      </w:pPr>
    </w:p>
    <w:p w14:paraId="24C32E99">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合同订立时间：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787377A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合同订立地点：</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1A6E520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附件：具体标的明细等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556E4257">
      <w:pPr>
        <w:rPr>
          <w:rFonts w:hint="eastAsia" w:ascii="宋体" w:hAnsi="宋体" w:eastAsia="宋体" w:cs="宋体"/>
          <w:sz w:val="24"/>
          <w:szCs w:val="24"/>
        </w:rPr>
      </w:pPr>
      <w:r>
        <w:rPr>
          <w:rFonts w:hint="eastAsia" w:ascii="宋体" w:hAnsi="宋体" w:eastAsia="宋体" w:cs="宋体"/>
          <w:sz w:val="24"/>
          <w:szCs w:val="24"/>
        </w:rPr>
        <w:t xml:space="preserve"> </w:t>
      </w:r>
    </w:p>
    <w:p w14:paraId="69A57DFB">
      <w:pPr>
        <w:rPr>
          <w:rFonts w:hint="eastAsia" w:ascii="宋体" w:hAnsi="宋体" w:eastAsia="宋体" w:cs="宋体"/>
          <w:lang w:val="en-US" w:eastAsia="zh-CN"/>
        </w:rPr>
      </w:pP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92"/>
        <w:gridCol w:w="4593"/>
      </w:tblGrid>
      <w:tr w14:paraId="5D67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92" w:type="dxa"/>
            <w:noWrap w:val="0"/>
            <w:vAlign w:val="top"/>
          </w:tcPr>
          <w:p w14:paraId="68487E4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甲方：（公章）</w:t>
            </w:r>
            <w:r>
              <w:rPr>
                <w:rFonts w:hint="eastAsia" w:ascii="宋体" w:hAnsi="宋体" w:eastAsia="宋体" w:cs="宋体"/>
                <w:b w:val="0"/>
                <w:bCs w:val="0"/>
                <w:sz w:val="24"/>
                <w:szCs w:val="24"/>
                <w:lang w:val="en-US" w:eastAsia="zh-CN"/>
              </w:rPr>
              <w:t xml:space="preserve">                   </w:t>
            </w:r>
          </w:p>
          <w:p w14:paraId="34141422">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u w:val="single"/>
                <w:lang w:val="en-US" w:eastAsia="zh-CN" w:bidi="ar-SA"/>
              </w:rPr>
            </w:pPr>
            <w:bookmarkStart w:id="84" w:name="_Toc29961"/>
            <w:bookmarkStart w:id="85" w:name="_Toc24128"/>
            <w:bookmarkStart w:id="86" w:name="_Toc4482"/>
            <w:r>
              <w:rPr>
                <w:rFonts w:hint="eastAsia" w:ascii="宋体" w:hAnsi="宋体" w:eastAsia="宋体" w:cs="宋体"/>
                <w:b w:val="0"/>
                <w:bCs w:val="0"/>
                <w:kern w:val="2"/>
                <w:sz w:val="24"/>
                <w:szCs w:val="24"/>
                <w:lang w:val="en-US" w:eastAsia="zh-CN" w:bidi="ar-SA"/>
              </w:rPr>
              <w:t>法定代表人：</w:t>
            </w:r>
            <w:bookmarkEnd w:id="84"/>
            <w:bookmarkEnd w:id="85"/>
            <w:bookmarkEnd w:id="86"/>
            <w:r>
              <w:rPr>
                <w:rFonts w:hint="eastAsia" w:ascii="宋体" w:hAnsi="宋体" w:eastAsia="宋体" w:cs="宋体"/>
                <w:b w:val="0"/>
                <w:bCs w:val="0"/>
                <w:kern w:val="2"/>
                <w:sz w:val="24"/>
                <w:szCs w:val="24"/>
                <w:u w:val="single"/>
                <w:lang w:val="en-US" w:eastAsia="zh-CN" w:bidi="ar-SA"/>
              </w:rPr>
              <w:t xml:space="preserve">                        </w:t>
            </w:r>
          </w:p>
          <w:p w14:paraId="74E0C57F">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委托代理人：</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1FA06DCD">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lang w:val="en-US" w:eastAsia="zh-CN" w:bidi="ar-SA"/>
              </w:rPr>
            </w:pPr>
            <w:bookmarkStart w:id="87" w:name="_Toc2409"/>
            <w:bookmarkStart w:id="88" w:name="_Toc14674"/>
            <w:bookmarkStart w:id="89" w:name="_Toc967"/>
            <w:r>
              <w:rPr>
                <w:rFonts w:hint="eastAsia" w:ascii="宋体" w:hAnsi="宋体" w:eastAsia="宋体" w:cs="宋体"/>
                <w:b w:val="0"/>
                <w:bCs w:val="0"/>
                <w:kern w:val="2"/>
                <w:sz w:val="24"/>
                <w:szCs w:val="24"/>
                <w:lang w:val="en-US" w:eastAsia="zh-CN" w:bidi="ar-SA"/>
              </w:rPr>
              <w:t>电    话：</w:t>
            </w:r>
            <w:bookmarkEnd w:id="87"/>
            <w:bookmarkEnd w:id="88"/>
            <w:bookmarkEnd w:id="89"/>
            <w:r>
              <w:rPr>
                <w:rFonts w:hint="eastAsia" w:ascii="宋体" w:hAnsi="宋体" w:eastAsia="宋体" w:cs="宋体"/>
                <w:b w:val="0"/>
                <w:bCs w:val="0"/>
                <w:kern w:val="2"/>
                <w:sz w:val="24"/>
                <w:szCs w:val="24"/>
                <w:u w:val="single"/>
                <w:lang w:val="en-US" w:eastAsia="zh-CN" w:bidi="ar-SA"/>
              </w:rPr>
              <w:t xml:space="preserve">                          </w:t>
            </w:r>
            <w:r>
              <w:rPr>
                <w:rFonts w:hint="eastAsia" w:ascii="宋体" w:hAnsi="宋体" w:eastAsia="宋体" w:cs="宋体"/>
                <w:b w:val="0"/>
                <w:bCs w:val="0"/>
                <w:kern w:val="2"/>
                <w:sz w:val="24"/>
                <w:szCs w:val="24"/>
                <w:lang w:val="en-US" w:eastAsia="zh-CN" w:bidi="ar-SA"/>
              </w:rPr>
              <w:t xml:space="preserve"> </w:t>
            </w:r>
          </w:p>
          <w:p w14:paraId="3A002667">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lang w:val="en-US" w:eastAsia="zh-CN"/>
              </w:rPr>
            </w:pPr>
            <w:r>
              <w:rPr>
                <w:rFonts w:hint="eastAsia" w:ascii="宋体" w:hAnsi="宋体" w:eastAsia="宋体" w:cs="宋体"/>
                <w:b w:val="0"/>
                <w:bCs w:val="0"/>
                <w:sz w:val="24"/>
                <w:szCs w:val="24"/>
              </w:rPr>
              <w:t>传</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真：</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tc>
        <w:tc>
          <w:tcPr>
            <w:tcW w:w="4593" w:type="dxa"/>
            <w:noWrap w:val="0"/>
            <w:vAlign w:val="top"/>
          </w:tcPr>
          <w:p w14:paraId="130CB27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乙方：（公章）</w:t>
            </w:r>
          </w:p>
          <w:p w14:paraId="2619C3DC">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u w:val="single"/>
                <w:lang w:val="en-US" w:eastAsia="zh-CN" w:bidi="ar-SA"/>
              </w:rPr>
            </w:pPr>
            <w:bookmarkStart w:id="90" w:name="_Toc7046"/>
            <w:bookmarkStart w:id="91" w:name="_Toc19970"/>
            <w:bookmarkStart w:id="92" w:name="_Toc1148"/>
            <w:r>
              <w:rPr>
                <w:rFonts w:hint="eastAsia" w:ascii="宋体" w:hAnsi="宋体" w:eastAsia="宋体" w:cs="宋体"/>
                <w:b w:val="0"/>
                <w:bCs w:val="0"/>
                <w:kern w:val="2"/>
                <w:sz w:val="24"/>
                <w:szCs w:val="24"/>
                <w:lang w:val="en-US" w:eastAsia="zh-CN" w:bidi="ar-SA"/>
              </w:rPr>
              <w:t>法定代表人：</w:t>
            </w:r>
            <w:bookmarkEnd w:id="90"/>
            <w:bookmarkEnd w:id="91"/>
            <w:bookmarkEnd w:id="92"/>
            <w:r>
              <w:rPr>
                <w:rFonts w:hint="eastAsia" w:ascii="宋体" w:hAnsi="宋体" w:eastAsia="宋体" w:cs="宋体"/>
                <w:b w:val="0"/>
                <w:bCs w:val="0"/>
                <w:kern w:val="2"/>
                <w:sz w:val="24"/>
                <w:szCs w:val="24"/>
                <w:u w:val="single"/>
                <w:lang w:val="en-US" w:eastAsia="zh-CN" w:bidi="ar-SA"/>
              </w:rPr>
              <w:t xml:space="preserve">                       </w:t>
            </w:r>
          </w:p>
          <w:p w14:paraId="5CE77BB2">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委托代理人：</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7DF441C9">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lang w:val="en-US" w:eastAsia="zh-CN" w:bidi="ar-SA"/>
              </w:rPr>
            </w:pPr>
            <w:bookmarkStart w:id="93" w:name="_Toc10850"/>
            <w:bookmarkStart w:id="94" w:name="_Toc2609"/>
            <w:bookmarkStart w:id="95" w:name="_Toc3853"/>
            <w:r>
              <w:rPr>
                <w:rFonts w:hint="eastAsia" w:ascii="宋体" w:hAnsi="宋体" w:eastAsia="宋体" w:cs="宋体"/>
                <w:b w:val="0"/>
                <w:bCs w:val="0"/>
                <w:kern w:val="2"/>
                <w:sz w:val="24"/>
                <w:szCs w:val="24"/>
                <w:lang w:val="en-US" w:eastAsia="zh-CN" w:bidi="ar-SA"/>
              </w:rPr>
              <w:t>电    话：</w:t>
            </w:r>
            <w:bookmarkEnd w:id="93"/>
            <w:bookmarkEnd w:id="94"/>
            <w:bookmarkEnd w:id="95"/>
            <w:r>
              <w:rPr>
                <w:rFonts w:hint="eastAsia" w:ascii="宋体" w:hAnsi="宋体" w:eastAsia="宋体" w:cs="宋体"/>
                <w:b w:val="0"/>
                <w:bCs w:val="0"/>
                <w:kern w:val="2"/>
                <w:sz w:val="24"/>
                <w:szCs w:val="24"/>
                <w:u w:val="single"/>
                <w:lang w:val="en-US" w:eastAsia="zh-CN" w:bidi="ar-SA"/>
              </w:rPr>
              <w:t xml:space="preserve">                         </w:t>
            </w:r>
            <w:r>
              <w:rPr>
                <w:rFonts w:hint="eastAsia" w:ascii="宋体" w:hAnsi="宋体" w:eastAsia="宋体" w:cs="宋体"/>
                <w:b w:val="0"/>
                <w:bCs w:val="0"/>
                <w:kern w:val="2"/>
                <w:sz w:val="24"/>
                <w:szCs w:val="24"/>
                <w:lang w:val="en-US" w:eastAsia="zh-CN" w:bidi="ar-SA"/>
              </w:rPr>
              <w:t xml:space="preserve"> </w:t>
            </w:r>
          </w:p>
          <w:p w14:paraId="313D2925">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传</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真：</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2A0868E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开户银行：</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2FC31C0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val="0"/>
              </w:rPr>
            </w:pPr>
            <w:r>
              <w:rPr>
                <w:rFonts w:hint="eastAsia" w:ascii="宋体" w:hAnsi="宋体" w:eastAsia="宋体" w:cs="宋体"/>
                <w:b w:val="0"/>
                <w:bCs w:val="0"/>
                <w:sz w:val="24"/>
                <w:szCs w:val="24"/>
              </w:rPr>
              <w:t>账</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号：</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tc>
      </w:tr>
    </w:tbl>
    <w:p w14:paraId="7A4C5755">
      <w:pPr>
        <w:rPr>
          <w:rFonts w:hint="eastAsia" w:ascii="宋体" w:hAnsi="宋体" w:eastAsia="宋体" w:cs="宋体"/>
        </w:rPr>
      </w:pPr>
    </w:p>
    <w:p w14:paraId="4909AFF5">
      <w:pPr>
        <w:rPr>
          <w:rFonts w:hint="eastAsia" w:ascii="宋体" w:hAnsi="宋体" w:eastAsia="宋体" w:cs="宋体"/>
        </w:rPr>
      </w:pPr>
    </w:p>
    <w:p w14:paraId="1B165884">
      <w:pPr>
        <w:rPr>
          <w:rFonts w:hint="eastAsia" w:ascii="宋体" w:hAnsi="宋体" w:eastAsia="宋体" w:cs="宋体"/>
        </w:rPr>
      </w:pPr>
    </w:p>
    <w:p w14:paraId="1F0C573A">
      <w:pPr>
        <w:rPr>
          <w:rFonts w:hint="eastAsia" w:ascii="宋体" w:hAnsi="宋体" w:eastAsia="宋体" w:cs="宋体"/>
        </w:rPr>
      </w:pPr>
    </w:p>
    <w:p w14:paraId="2814446C">
      <w:pPr>
        <w:rPr>
          <w:rFonts w:hint="eastAsia" w:ascii="宋体" w:hAnsi="宋体" w:eastAsia="宋体" w:cs="宋体"/>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3DD7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9174" w:type="dxa"/>
            <w:noWrap w:val="0"/>
            <w:vAlign w:val="center"/>
          </w:tcPr>
          <w:p w14:paraId="3A037B12">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4"/>
                <w:szCs w:val="24"/>
                <w:highlight w:val="none"/>
              </w:rPr>
              <w:t>注：本政府采购合同</w:t>
            </w:r>
            <w:r>
              <w:rPr>
                <w:rFonts w:hint="eastAsia" w:ascii="宋体" w:hAnsi="宋体" w:eastAsia="宋体" w:cs="宋体"/>
                <w:b/>
                <w:bCs/>
                <w:color w:val="auto"/>
                <w:sz w:val="24"/>
                <w:szCs w:val="24"/>
                <w:highlight w:val="none"/>
                <w:lang w:val="en-US" w:eastAsia="zh-CN"/>
              </w:rPr>
              <w:t>格式</w:t>
            </w:r>
            <w:r>
              <w:rPr>
                <w:rFonts w:hint="eastAsia" w:ascii="宋体" w:hAnsi="宋体" w:eastAsia="宋体" w:cs="宋体"/>
                <w:b/>
                <w:bCs/>
                <w:color w:val="auto"/>
                <w:sz w:val="24"/>
                <w:szCs w:val="24"/>
                <w:highlight w:val="none"/>
              </w:rPr>
              <w:t>仅作为双方签订合同的参考，为阐明各方的权利和义务，经协商可根据项目实际情况进行必要的修改和调整</w:t>
            </w:r>
            <w:r>
              <w:rPr>
                <w:rFonts w:hint="eastAsia" w:ascii="宋体" w:hAnsi="宋体" w:eastAsia="宋体" w:cs="宋体"/>
                <w:b/>
                <w:bCs/>
                <w:color w:val="auto"/>
                <w:sz w:val="24"/>
                <w:szCs w:val="24"/>
                <w:highlight w:val="none"/>
                <w:lang w:val="en-US" w:eastAsia="zh-CN"/>
              </w:rPr>
              <w:t>或更换</w:t>
            </w:r>
            <w:r>
              <w:rPr>
                <w:rFonts w:hint="eastAsia" w:ascii="宋体" w:hAnsi="宋体" w:eastAsia="宋体" w:cs="宋体"/>
                <w:b/>
                <w:bCs/>
                <w:color w:val="auto"/>
                <w:sz w:val="24"/>
                <w:szCs w:val="24"/>
                <w:highlight w:val="none"/>
              </w:rPr>
              <w:t>。但不得与</w:t>
            </w:r>
            <w:r>
              <w:rPr>
                <w:rFonts w:hint="eastAsia" w:ascii="宋体" w:hAnsi="宋体" w:eastAsia="宋体" w:cs="宋体"/>
                <w:b/>
                <w:bCs/>
                <w:color w:val="auto"/>
                <w:sz w:val="24"/>
                <w:szCs w:val="24"/>
                <w:highlight w:val="none"/>
                <w:lang w:val="en-US" w:eastAsia="zh-CN"/>
              </w:rPr>
              <w:t>采购</w:t>
            </w:r>
            <w:r>
              <w:rPr>
                <w:rFonts w:hint="eastAsia" w:ascii="宋体" w:hAnsi="宋体" w:eastAsia="宋体" w:cs="宋体"/>
                <w:b/>
                <w:bCs/>
                <w:color w:val="auto"/>
                <w:sz w:val="24"/>
                <w:szCs w:val="24"/>
                <w:highlight w:val="none"/>
              </w:rPr>
              <w:t>文件、</w:t>
            </w:r>
            <w:r>
              <w:rPr>
                <w:rFonts w:hint="eastAsia" w:ascii="宋体" w:hAnsi="宋体" w:eastAsia="宋体" w:cs="宋体"/>
                <w:b/>
                <w:bCs/>
                <w:color w:val="auto"/>
                <w:sz w:val="24"/>
                <w:szCs w:val="24"/>
                <w:highlight w:val="none"/>
                <w:lang w:val="en-US" w:eastAsia="zh-CN"/>
              </w:rPr>
              <w:t>投标</w:t>
            </w:r>
            <w:r>
              <w:rPr>
                <w:rFonts w:hint="eastAsia" w:ascii="宋体" w:hAnsi="宋体" w:eastAsia="宋体" w:cs="宋体"/>
                <w:b/>
                <w:bCs/>
                <w:color w:val="auto"/>
                <w:sz w:val="24"/>
                <w:szCs w:val="24"/>
                <w:highlight w:val="none"/>
              </w:rPr>
              <w:t>文件的实质性内容相背离。</w:t>
            </w:r>
          </w:p>
        </w:tc>
      </w:tr>
    </w:tbl>
    <w:p w14:paraId="09672C01">
      <w:pPr>
        <w:rPr>
          <w:rFonts w:hint="eastAsia" w:ascii="宋体" w:hAnsi="宋体" w:eastAsia="宋体" w:cs="宋体"/>
          <w:color w:val="000000" w:themeColor="text1"/>
          <w:highlight w:val="none"/>
          <w14:textFill>
            <w14:solidFill>
              <w14:schemeClr w14:val="tx1"/>
            </w14:solidFill>
          </w14:textFill>
        </w:rPr>
      </w:pPr>
    </w:p>
    <w:bookmarkEnd w:id="59"/>
    <w:bookmarkEnd w:id="60"/>
    <w:bookmarkEnd w:id="61"/>
    <w:bookmarkEnd w:id="62"/>
    <w:bookmarkEnd w:id="63"/>
    <w:p w14:paraId="221CA84A">
      <w:pPr>
        <w:rPr>
          <w:rFonts w:hint="eastAsia" w:ascii="宋体" w:hAnsi="宋体" w:eastAsia="宋体" w:cs="宋体"/>
          <w:b/>
          <w:bCs/>
          <w:color w:val="000000" w:themeColor="text1"/>
          <w:sz w:val="32"/>
          <w:szCs w:val="32"/>
          <w14:textFill>
            <w14:solidFill>
              <w14:schemeClr w14:val="tx1"/>
            </w14:solidFill>
          </w14:textFill>
        </w:rPr>
      </w:pPr>
      <w:bookmarkStart w:id="96" w:name="_Toc6933"/>
      <w:bookmarkStart w:id="97" w:name="_Toc26487"/>
      <w:bookmarkStart w:id="98" w:name="_Toc2819"/>
      <w:bookmarkStart w:id="99" w:name="_Toc9442"/>
      <w:r>
        <w:rPr>
          <w:rFonts w:hint="eastAsia" w:ascii="宋体" w:hAnsi="宋体" w:eastAsia="宋体" w:cs="宋体"/>
          <w:b/>
          <w:bCs/>
          <w:color w:val="000000" w:themeColor="text1"/>
          <w:sz w:val="32"/>
          <w:szCs w:val="32"/>
          <w14:textFill>
            <w14:solidFill>
              <w14:schemeClr w14:val="tx1"/>
            </w14:solidFill>
          </w14:textFill>
        </w:rPr>
        <w:br w:type="page"/>
      </w:r>
    </w:p>
    <w:p w14:paraId="29565B1E">
      <w:pPr>
        <w:snapToGrid w:val="0"/>
        <w:spacing w:line="360" w:lineRule="auto"/>
        <w:jc w:val="center"/>
        <w:outlineLvl w:val="0"/>
        <w:rPr>
          <w:rFonts w:hint="eastAsia" w:ascii="宋体" w:hAnsi="宋体" w:eastAsia="宋体" w:cs="宋体"/>
          <w:b/>
          <w:bCs/>
          <w:color w:val="000000" w:themeColor="text1"/>
          <w:sz w:val="32"/>
          <w:szCs w:val="32"/>
          <w14:textFill>
            <w14:solidFill>
              <w14:schemeClr w14:val="tx1"/>
            </w14:solidFill>
          </w14:textFill>
        </w:rPr>
      </w:pPr>
      <w:bookmarkStart w:id="100" w:name="_Toc30939"/>
      <w:r>
        <w:rPr>
          <w:rFonts w:hint="eastAsia" w:ascii="宋体" w:hAnsi="宋体" w:eastAsia="宋体" w:cs="宋体"/>
          <w:b/>
          <w:bCs/>
          <w:color w:val="000000" w:themeColor="text1"/>
          <w:sz w:val="32"/>
          <w:szCs w:val="32"/>
          <w14:textFill>
            <w14:solidFill>
              <w14:schemeClr w14:val="tx1"/>
            </w14:solidFill>
          </w14:textFill>
        </w:rPr>
        <w:t>第四章 采购需求</w:t>
      </w:r>
      <w:bookmarkEnd w:id="100"/>
    </w:p>
    <w:p w14:paraId="0CDEC189">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01" w:name="_Toc24746"/>
      <w:r>
        <w:rPr>
          <w:rFonts w:hint="eastAsia" w:ascii="宋体" w:hAnsi="宋体" w:eastAsia="宋体" w:cs="宋体"/>
          <w:b/>
          <w:bCs/>
          <w:spacing w:val="-4"/>
          <w:kern w:val="2"/>
          <w:sz w:val="24"/>
          <w:szCs w:val="24"/>
          <w:lang w:val="en-US" w:eastAsia="zh-CN" w:bidi="ar-SA"/>
        </w:rPr>
        <w:t>一、项目概况</w:t>
      </w:r>
      <w:bookmarkEnd w:id="101"/>
    </w:p>
    <w:p w14:paraId="41396E25">
      <w:pPr>
        <w:widowControl w:val="0"/>
        <w:adjustRightInd w:val="0"/>
        <w:snapToGrid w:val="0"/>
        <w:spacing w:line="360" w:lineRule="auto"/>
        <w:ind w:firstLine="480" w:firstLineChars="200"/>
        <w:jc w:val="left"/>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1、采购人：花垣县农业农村局</w:t>
      </w:r>
    </w:p>
    <w:p w14:paraId="081AF2E4">
      <w:pPr>
        <w:widowControl w:val="0"/>
        <w:adjustRightInd w:val="0"/>
        <w:snapToGrid w:val="0"/>
        <w:spacing w:line="360" w:lineRule="auto"/>
        <w:ind w:firstLine="480" w:firstLineChars="200"/>
        <w:jc w:val="left"/>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2、项目名称：初定为2026年12月20日前结课，具体时间以实际合同签订时间为准。</w:t>
      </w:r>
    </w:p>
    <w:p w14:paraId="678E7E30">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color w:val="auto"/>
          <w:kern w:val="2"/>
          <w:sz w:val="24"/>
          <w:szCs w:val="24"/>
          <w:highlight w:val="none"/>
          <w:lang w:val="en-US" w:eastAsia="zh-CN" w:bidi="ar-SA"/>
        </w:rPr>
      </w:pPr>
      <w:bookmarkStart w:id="102" w:name="_Toc11466"/>
      <w:r>
        <w:rPr>
          <w:rFonts w:hint="eastAsia" w:ascii="宋体" w:hAnsi="宋体" w:eastAsia="宋体" w:cs="宋体"/>
          <w:b/>
          <w:color w:val="auto"/>
          <w:kern w:val="2"/>
          <w:sz w:val="24"/>
          <w:szCs w:val="24"/>
          <w:highlight w:val="none"/>
          <w:lang w:val="en-US" w:eastAsia="zh-CN" w:bidi="ar-SA"/>
        </w:rPr>
        <w:t>二、采购内容</w:t>
      </w:r>
      <w:bookmarkEnd w:id="102"/>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2963"/>
        <w:gridCol w:w="883"/>
        <w:gridCol w:w="1943"/>
        <w:gridCol w:w="1366"/>
        <w:gridCol w:w="1665"/>
      </w:tblGrid>
      <w:tr w14:paraId="1A25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3" w:type="pct"/>
            <w:vAlign w:val="center"/>
          </w:tcPr>
          <w:p w14:paraId="6FC5B2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包号</w:t>
            </w:r>
          </w:p>
        </w:tc>
        <w:tc>
          <w:tcPr>
            <w:tcW w:w="1557" w:type="pct"/>
            <w:vAlign w:val="center"/>
          </w:tcPr>
          <w:p w14:paraId="021A7E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标的名称</w:t>
            </w:r>
          </w:p>
        </w:tc>
        <w:tc>
          <w:tcPr>
            <w:tcW w:w="464" w:type="pct"/>
            <w:vAlign w:val="center"/>
          </w:tcPr>
          <w:p w14:paraId="08A8A7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数量</w:t>
            </w:r>
          </w:p>
        </w:tc>
        <w:tc>
          <w:tcPr>
            <w:tcW w:w="1021" w:type="pct"/>
            <w:vAlign w:val="center"/>
          </w:tcPr>
          <w:p w14:paraId="476B1D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计划人数及课时</w:t>
            </w:r>
          </w:p>
        </w:tc>
        <w:tc>
          <w:tcPr>
            <w:tcW w:w="718" w:type="pct"/>
            <w:vAlign w:val="center"/>
          </w:tcPr>
          <w:p w14:paraId="610939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最高限价</w:t>
            </w:r>
          </w:p>
        </w:tc>
        <w:tc>
          <w:tcPr>
            <w:tcW w:w="875" w:type="pct"/>
            <w:vAlign w:val="center"/>
          </w:tcPr>
          <w:p w14:paraId="4EF3CD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培育地点（培训和实训）</w:t>
            </w:r>
          </w:p>
        </w:tc>
      </w:tr>
      <w:tr w14:paraId="7D1F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363" w:type="pct"/>
            <w:vMerge w:val="restart"/>
            <w:vAlign w:val="center"/>
          </w:tcPr>
          <w:p w14:paraId="534CD0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包1</w:t>
            </w:r>
          </w:p>
        </w:tc>
        <w:tc>
          <w:tcPr>
            <w:tcW w:w="1557" w:type="pct"/>
            <w:vAlign w:val="center"/>
          </w:tcPr>
          <w:p w14:paraId="3DDC80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粮油产能提升培训班</w:t>
            </w:r>
          </w:p>
        </w:tc>
        <w:tc>
          <w:tcPr>
            <w:tcW w:w="464" w:type="pct"/>
            <w:vAlign w:val="center"/>
          </w:tcPr>
          <w:p w14:paraId="6162F8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145EB0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50人/56个学时</w:t>
            </w:r>
          </w:p>
        </w:tc>
        <w:tc>
          <w:tcPr>
            <w:tcW w:w="718" w:type="pct"/>
            <w:vMerge w:val="restart"/>
            <w:vAlign w:val="center"/>
          </w:tcPr>
          <w:p w14:paraId="0B9CDC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420000.00元</w:t>
            </w:r>
          </w:p>
        </w:tc>
        <w:tc>
          <w:tcPr>
            <w:tcW w:w="875" w:type="pct"/>
            <w:vMerge w:val="restart"/>
            <w:vAlign w:val="center"/>
          </w:tcPr>
          <w:p w14:paraId="15342E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ascii="宋体" w:hAnsi="宋体" w:eastAsia="宋体" w:cs="宋体"/>
                <w:sz w:val="24"/>
                <w:szCs w:val="24"/>
              </w:rPr>
              <w:t>培训及实训在省内相关地区</w:t>
            </w:r>
            <w:r>
              <w:rPr>
                <w:rFonts w:hint="eastAsia" w:ascii="宋体" w:hAnsi="宋体" w:eastAsia="宋体" w:cs="宋体"/>
                <w:sz w:val="24"/>
                <w:szCs w:val="24"/>
                <w:lang w:eastAsia="zh-CN"/>
              </w:rPr>
              <w:t>（</w:t>
            </w:r>
            <w:r>
              <w:rPr>
                <w:rFonts w:hint="eastAsia" w:ascii="宋体" w:hAnsi="宋体" w:eastAsia="宋体" w:cs="宋体"/>
                <w:b/>
                <w:bCs w:val="0"/>
                <w:color w:val="auto"/>
                <w:sz w:val="24"/>
                <w:szCs w:val="24"/>
                <w:highlight w:val="none"/>
                <w:vertAlign w:val="baseline"/>
                <w:lang w:eastAsia="zh-CN"/>
              </w:rPr>
              <w:t>成交供应商必须服从培训和实训的地点安排，不得有异议。）</w:t>
            </w:r>
          </w:p>
        </w:tc>
      </w:tr>
      <w:tr w14:paraId="32FB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63" w:type="pct"/>
            <w:vMerge w:val="continue"/>
            <w:vAlign w:val="center"/>
          </w:tcPr>
          <w:p w14:paraId="4E0F8A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p>
        </w:tc>
        <w:tc>
          <w:tcPr>
            <w:tcW w:w="1557" w:type="pct"/>
            <w:vAlign w:val="center"/>
          </w:tcPr>
          <w:p w14:paraId="41A212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乡村产业带头人培训班</w:t>
            </w:r>
          </w:p>
        </w:tc>
        <w:tc>
          <w:tcPr>
            <w:tcW w:w="464" w:type="pct"/>
            <w:vAlign w:val="center"/>
          </w:tcPr>
          <w:p w14:paraId="30A64D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4F988E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50人/104个学时</w:t>
            </w:r>
          </w:p>
        </w:tc>
        <w:tc>
          <w:tcPr>
            <w:tcW w:w="718" w:type="pct"/>
            <w:vMerge w:val="continue"/>
            <w:vAlign w:val="center"/>
          </w:tcPr>
          <w:p w14:paraId="71833B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p>
        </w:tc>
        <w:tc>
          <w:tcPr>
            <w:tcW w:w="875" w:type="pct"/>
            <w:vMerge w:val="continue"/>
            <w:vAlign w:val="center"/>
          </w:tcPr>
          <w:p w14:paraId="068E0A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p>
        </w:tc>
      </w:tr>
      <w:tr w14:paraId="0C11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363" w:type="pct"/>
            <w:vMerge w:val="restart"/>
            <w:vAlign w:val="center"/>
          </w:tcPr>
          <w:p w14:paraId="4F0D77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包2</w:t>
            </w:r>
          </w:p>
        </w:tc>
        <w:tc>
          <w:tcPr>
            <w:tcW w:w="1557" w:type="pct"/>
            <w:vAlign w:val="center"/>
          </w:tcPr>
          <w:p w14:paraId="6B0464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农机手技能提升培训班</w:t>
            </w:r>
          </w:p>
        </w:tc>
        <w:tc>
          <w:tcPr>
            <w:tcW w:w="464" w:type="pct"/>
            <w:vAlign w:val="center"/>
          </w:tcPr>
          <w:p w14:paraId="6A98DF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5220F1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50人/56个学时</w:t>
            </w:r>
          </w:p>
        </w:tc>
        <w:tc>
          <w:tcPr>
            <w:tcW w:w="718" w:type="pct"/>
            <w:vMerge w:val="restart"/>
            <w:vAlign w:val="center"/>
          </w:tcPr>
          <w:p w14:paraId="1F3676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440000.00元</w:t>
            </w:r>
          </w:p>
        </w:tc>
        <w:tc>
          <w:tcPr>
            <w:tcW w:w="875" w:type="pct"/>
            <w:vMerge w:val="continue"/>
            <w:vAlign w:val="center"/>
          </w:tcPr>
          <w:p w14:paraId="593273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p>
        </w:tc>
      </w:tr>
      <w:tr w14:paraId="0F29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63" w:type="pct"/>
            <w:vMerge w:val="continue"/>
            <w:vAlign w:val="center"/>
          </w:tcPr>
          <w:p w14:paraId="7CB078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p>
        </w:tc>
        <w:tc>
          <w:tcPr>
            <w:tcW w:w="1557" w:type="pct"/>
            <w:vAlign w:val="center"/>
          </w:tcPr>
          <w:p w14:paraId="125968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农机手技能提升专题培训班</w:t>
            </w:r>
          </w:p>
        </w:tc>
        <w:tc>
          <w:tcPr>
            <w:tcW w:w="464" w:type="pct"/>
            <w:vAlign w:val="center"/>
          </w:tcPr>
          <w:p w14:paraId="14FFE8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7B35FE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50人/112个学时</w:t>
            </w:r>
          </w:p>
        </w:tc>
        <w:tc>
          <w:tcPr>
            <w:tcW w:w="718" w:type="pct"/>
            <w:vMerge w:val="continue"/>
            <w:vAlign w:val="center"/>
          </w:tcPr>
          <w:p w14:paraId="629343F6">
            <w:pPr>
              <w:keepNext w:val="0"/>
              <w:keepLines w:val="0"/>
              <w:pageBreakBefore w:val="0"/>
              <w:suppressLineNumbers w:val="0"/>
              <w:kinsoku/>
              <w:overflowPunct/>
              <w:topLinePunct w:val="0"/>
              <w:bidi w:val="0"/>
              <w:adjustRightInd w:val="0"/>
              <w:snapToGrid w:val="0"/>
              <w:spacing w:before="156" w:beforeLines="50" w:beforeAutospacing="0" w:after="0" w:afterAutospacing="0" w:line="360" w:lineRule="auto"/>
              <w:ind w:left="0" w:leftChars="0" w:right="0" w:rightChars="0"/>
              <w:jc w:val="center"/>
              <w:textAlignment w:val="auto"/>
              <w:outlineLvl w:val="9"/>
              <w:rPr>
                <w:rFonts w:hint="eastAsia" w:ascii="宋体" w:hAnsi="宋体" w:eastAsia="宋体" w:cs="宋体"/>
                <w:b/>
                <w:bCs w:val="0"/>
                <w:color w:val="auto"/>
                <w:sz w:val="24"/>
                <w:szCs w:val="24"/>
                <w:highlight w:val="none"/>
                <w:u w:val="none"/>
                <w:lang w:val="en-US" w:eastAsia="zh-CN"/>
              </w:rPr>
            </w:pPr>
          </w:p>
        </w:tc>
        <w:tc>
          <w:tcPr>
            <w:tcW w:w="875" w:type="pct"/>
            <w:vMerge w:val="continue"/>
            <w:vAlign w:val="center"/>
          </w:tcPr>
          <w:p w14:paraId="37087515">
            <w:pPr>
              <w:keepNext w:val="0"/>
              <w:keepLines w:val="0"/>
              <w:pageBreakBefore w:val="0"/>
              <w:suppressLineNumbers w:val="0"/>
              <w:kinsoku/>
              <w:overflowPunct/>
              <w:topLinePunct w:val="0"/>
              <w:bidi w:val="0"/>
              <w:adjustRightInd w:val="0"/>
              <w:snapToGrid w:val="0"/>
              <w:spacing w:before="156" w:beforeLines="50" w:beforeAutospacing="0" w:after="0" w:afterAutospacing="0" w:line="360" w:lineRule="auto"/>
              <w:ind w:left="0" w:leftChars="0" w:right="0" w:rightChars="0"/>
              <w:jc w:val="center"/>
              <w:textAlignment w:val="auto"/>
              <w:outlineLvl w:val="9"/>
              <w:rPr>
                <w:rFonts w:hint="eastAsia" w:ascii="宋体" w:hAnsi="宋体" w:eastAsia="宋体" w:cs="宋体"/>
                <w:b/>
                <w:bCs w:val="0"/>
                <w:color w:val="auto"/>
                <w:sz w:val="24"/>
                <w:szCs w:val="24"/>
                <w:highlight w:val="none"/>
                <w:u w:val="none"/>
                <w:lang w:val="en-US" w:eastAsia="zh-CN"/>
              </w:rPr>
            </w:pPr>
          </w:p>
        </w:tc>
      </w:tr>
    </w:tbl>
    <w:p w14:paraId="6F84FEB1">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val="0"/>
          <w:color w:val="auto"/>
          <w:kern w:val="2"/>
          <w:sz w:val="24"/>
          <w:szCs w:val="24"/>
          <w:highlight w:val="none"/>
          <w:lang w:val="en-US" w:eastAsia="zh-CN" w:bidi="ar-SA"/>
        </w:rPr>
      </w:pPr>
      <w:bookmarkStart w:id="103" w:name="_Toc8751"/>
      <w:r>
        <w:rPr>
          <w:rFonts w:hint="eastAsia" w:ascii="宋体" w:hAnsi="宋体" w:eastAsia="宋体" w:cs="宋体"/>
          <w:b/>
          <w:bCs w:val="0"/>
          <w:color w:val="auto"/>
          <w:kern w:val="2"/>
          <w:sz w:val="24"/>
          <w:szCs w:val="24"/>
          <w:highlight w:val="none"/>
          <w:lang w:val="en-US" w:eastAsia="zh-CN" w:bidi="ar-SA"/>
        </w:rPr>
        <w:t>三、目标任务</w:t>
      </w:r>
      <w:bookmarkEnd w:id="103"/>
    </w:p>
    <w:p w14:paraId="1B04CFC4">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围绕粮油稳产增产、智慧农机作业、农产品数智技术品牌运营三大方向分类开展培训，以提升农民综合素质和发展能力为核心，围绕粮油产能提升与新产业新业态(数智技术)发展及农业机械操作等方向，精准开展培育工作。开设4个班共200人，其中:粮油产能提升培育班50人;农机手技能提升培育班50人;乡村产业带头人培训班50人;农机手技能提升专题培育班50人。</w:t>
      </w:r>
    </w:p>
    <w:p w14:paraId="5D8D40A9">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val="0"/>
          <w:color w:val="auto"/>
          <w:kern w:val="2"/>
          <w:sz w:val="24"/>
          <w:szCs w:val="24"/>
          <w:highlight w:val="none"/>
          <w:lang w:val="en-US" w:eastAsia="zh-CN" w:bidi="ar-SA"/>
        </w:rPr>
      </w:pPr>
      <w:bookmarkStart w:id="104" w:name="_Toc18273"/>
      <w:r>
        <w:rPr>
          <w:rFonts w:hint="eastAsia" w:ascii="宋体" w:hAnsi="宋体" w:eastAsia="宋体" w:cs="宋体"/>
          <w:b/>
          <w:bCs w:val="0"/>
          <w:color w:val="auto"/>
          <w:kern w:val="2"/>
          <w:sz w:val="24"/>
          <w:szCs w:val="24"/>
          <w:highlight w:val="none"/>
          <w:lang w:val="en-US" w:eastAsia="zh-CN" w:bidi="ar-SA"/>
        </w:rPr>
        <w:t>四、培育对象遴选标准</w:t>
      </w:r>
      <w:bookmarkEnd w:id="104"/>
    </w:p>
    <w:p w14:paraId="5EC6FDBF">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参训人员年满16周岁，身体健康，从事或计划长期投身县域农业生产、产业经营、乡村创新创业，优先遴选以下四类人员:</w:t>
      </w:r>
    </w:p>
    <w:p w14:paraId="474CD66D">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2"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1.粮油产能提升培育班:</w:t>
      </w:r>
      <w:r>
        <w:rPr>
          <w:rFonts w:hint="eastAsia" w:ascii="宋体" w:hAnsi="宋体" w:eastAsia="宋体" w:cs="宋体"/>
          <w:b w:val="0"/>
          <w:bCs/>
          <w:color w:val="auto"/>
          <w:kern w:val="2"/>
          <w:sz w:val="24"/>
          <w:szCs w:val="24"/>
          <w:highlight w:val="none"/>
          <w:lang w:val="en-US" w:eastAsia="zh-CN" w:bidi="ar-SA"/>
        </w:rPr>
        <w:t>面向全县水稻、油菜、大豆、玉米规模化种植大户、粮油单产提升重点村产业骨干及一线粮油生产管护从业人员，聚焦粮油产能提质增效，吸纳意愿强、基础好的涉农产业骨干参训。</w:t>
      </w:r>
    </w:p>
    <w:p w14:paraId="7E7F770E">
      <w:pPr>
        <w:pStyle w:val="11"/>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2.农机手技能提升培育班:</w:t>
      </w:r>
      <w:r>
        <w:rPr>
          <w:rFonts w:hint="eastAsia" w:ascii="宋体" w:hAnsi="宋体" w:eastAsia="宋体" w:cs="宋体"/>
          <w:b w:val="0"/>
          <w:bCs/>
          <w:color w:val="auto"/>
          <w:kern w:val="2"/>
          <w:sz w:val="24"/>
          <w:szCs w:val="24"/>
          <w:highlight w:val="none"/>
          <w:lang w:val="en-US" w:eastAsia="zh-CN" w:bidi="ar-SA"/>
        </w:rPr>
        <w:t>面向全县农机大户、粮油社会化农机服务从业者、一线农机实操人员，重点吸纳长期从事规模化田间作业、具备农机操作基础的专业化农机从业人员。</w:t>
      </w:r>
    </w:p>
    <w:p w14:paraId="31DC62C6">
      <w:pPr>
        <w:pStyle w:val="11"/>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3.乡村产业带头人培训班:</w:t>
      </w:r>
      <w:r>
        <w:rPr>
          <w:rFonts w:hint="eastAsia" w:ascii="宋体" w:hAnsi="宋体" w:eastAsia="宋体" w:cs="宋体"/>
          <w:b w:val="0"/>
          <w:bCs/>
          <w:color w:val="auto"/>
          <w:kern w:val="2"/>
          <w:sz w:val="24"/>
          <w:szCs w:val="24"/>
          <w:highlight w:val="none"/>
          <w:lang w:val="en-US" w:eastAsia="zh-CN" w:bidi="ar-SA"/>
        </w:rPr>
        <w:t>为扎根乡村、带动农户增收的产业经营带头人，包括村集体经济负责人、合作社理事长、家庭农场主、种养大户、农机社会化服务组织负责人、涉农龙头企业经营者;乡村文旅、乡村工匠、返乡大学生、退役军人、返乡创业农民工、村两委产业骨干等新业态、青年创业能人。</w:t>
      </w:r>
    </w:p>
    <w:p w14:paraId="1D8A2892">
      <w:pPr>
        <w:pStyle w:val="59"/>
        <w:spacing w:line="360" w:lineRule="auto"/>
        <w:rPr>
          <w:rFonts w:hint="eastAsia" w:ascii="宋体" w:hAnsi="宋体" w:eastAsia="宋体" w:cs="宋体"/>
          <w:b w:val="0"/>
          <w:bCs/>
          <w:i w:val="0"/>
          <w:iCs w:val="0"/>
          <w:color w:val="auto"/>
          <w:kern w:val="2"/>
          <w:sz w:val="24"/>
          <w:szCs w:val="24"/>
          <w:highlight w:val="none"/>
          <w:lang w:val="en-US" w:eastAsia="zh-CN" w:bidi="ar-SA"/>
        </w:rPr>
      </w:pPr>
      <w:r>
        <w:rPr>
          <w:rFonts w:hint="eastAsia" w:ascii="宋体" w:hAnsi="宋体" w:eastAsia="宋体" w:cs="宋体"/>
          <w:b/>
          <w:bCs w:val="0"/>
          <w:i w:val="0"/>
          <w:iCs w:val="0"/>
          <w:color w:val="auto"/>
          <w:kern w:val="2"/>
          <w:sz w:val="24"/>
          <w:szCs w:val="24"/>
          <w:highlight w:val="none"/>
          <w:lang w:val="en-US" w:eastAsia="zh-CN" w:bidi="ar-SA"/>
        </w:rPr>
        <w:t>4.农机手技能提升专题培育班:</w:t>
      </w:r>
      <w:r>
        <w:rPr>
          <w:rFonts w:hint="eastAsia" w:ascii="宋体" w:hAnsi="宋体" w:eastAsia="宋体" w:cs="宋体"/>
          <w:b w:val="0"/>
          <w:bCs/>
          <w:i w:val="0"/>
          <w:iCs w:val="0"/>
          <w:color w:val="auto"/>
          <w:kern w:val="2"/>
          <w:sz w:val="24"/>
          <w:szCs w:val="24"/>
          <w:highlight w:val="none"/>
          <w:lang w:val="en-US" w:eastAsia="zh-CN" w:bidi="ar-SA"/>
        </w:rPr>
        <w:t>全职专业农机手、农机大户、农机专业合作社从业人员、规模化基地农机操作骨干、有志从事农机社会化服务青壮年农民。</w:t>
      </w:r>
    </w:p>
    <w:p w14:paraId="689214C6">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default" w:ascii="宋体" w:hAnsi="宋体" w:eastAsia="宋体" w:cs="宋体"/>
          <w:b/>
          <w:bCs w:val="0"/>
          <w:color w:val="auto"/>
          <w:kern w:val="2"/>
          <w:sz w:val="24"/>
          <w:szCs w:val="24"/>
          <w:highlight w:val="none"/>
          <w:lang w:val="en-US" w:eastAsia="zh-CN" w:bidi="ar-SA"/>
        </w:rPr>
      </w:pPr>
      <w:bookmarkStart w:id="105" w:name="_Toc20375"/>
      <w:r>
        <w:rPr>
          <w:rFonts w:hint="eastAsia" w:ascii="宋体" w:hAnsi="宋体" w:eastAsia="宋体" w:cs="宋体"/>
          <w:b/>
          <w:bCs w:val="0"/>
          <w:color w:val="auto"/>
          <w:kern w:val="2"/>
          <w:sz w:val="24"/>
          <w:szCs w:val="24"/>
          <w:highlight w:val="none"/>
          <w:lang w:val="en-US" w:eastAsia="zh-CN" w:bidi="ar-SA"/>
        </w:rPr>
        <w:t>五、培育内容及课时</w:t>
      </w:r>
      <w:bookmarkEnd w:id="105"/>
    </w:p>
    <w:p w14:paraId="2CAA34B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包1：</w:t>
      </w:r>
      <w:r>
        <w:rPr>
          <w:rFonts w:hint="eastAsia" w:ascii="宋体" w:hAnsi="宋体" w:eastAsia="宋体" w:cs="宋体"/>
          <w:b/>
          <w:bCs w:val="0"/>
          <w:color w:val="auto"/>
          <w:kern w:val="2"/>
          <w:sz w:val="24"/>
          <w:szCs w:val="24"/>
          <w:highlight w:val="none"/>
          <w:vertAlign w:val="baseline"/>
          <w:lang w:val="en-US" w:eastAsia="zh-CN" w:bidi="ar-SA"/>
        </w:rPr>
        <w:t>粮油产能提升培训班、乡村产业带头人培训班</w:t>
      </w:r>
      <w:r>
        <w:rPr>
          <w:rFonts w:hint="eastAsia" w:ascii="宋体" w:hAnsi="宋体" w:eastAsia="宋体" w:cs="宋体"/>
          <w:b/>
          <w:bCs w:val="0"/>
          <w:color w:val="auto"/>
          <w:kern w:val="2"/>
          <w:sz w:val="24"/>
          <w:szCs w:val="24"/>
          <w:highlight w:val="none"/>
          <w:lang w:val="en-US" w:eastAsia="zh-CN" w:bidi="ar-SA"/>
        </w:rPr>
        <w:t>(1期)。</w:t>
      </w:r>
    </w:p>
    <w:p w14:paraId="1A71D75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lang w:val="en-US" w:eastAsia="zh-CN" w:bidi="ar-SA"/>
        </w:rPr>
        <w:t>1、</w:t>
      </w:r>
      <w:r>
        <w:rPr>
          <w:rFonts w:hint="eastAsia" w:ascii="宋体" w:hAnsi="宋体" w:eastAsia="宋体" w:cs="宋体"/>
          <w:b/>
          <w:bCs w:val="0"/>
          <w:color w:val="auto"/>
          <w:kern w:val="2"/>
          <w:sz w:val="24"/>
          <w:szCs w:val="24"/>
          <w:highlight w:val="none"/>
          <w:lang w:val="en-US" w:eastAsia="zh-CN" w:bidi="ar-SA"/>
        </w:rPr>
        <w:t>粮油产能提升培育班（50人）</w:t>
      </w:r>
    </w:p>
    <w:p w14:paraId="0D436F7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:水稻、油菜、大豆、玉米规模化种植大户、粮油单产提升重点村产业骨干及一线粮油生产管护从业人的涉农产业骨干参训。</w:t>
      </w:r>
    </w:p>
    <w:p w14:paraId="2D9C9105">
      <w:pPr>
        <w:pStyle w:val="11"/>
        <w:numPr>
          <w:ilvl w:val="0"/>
          <w:numId w:val="0"/>
        </w:numPr>
        <w:spacing w:line="360" w:lineRule="auto"/>
        <w:ind w:firstLine="241" w:firstLineChars="10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面向全县水稻、油菜、大豆、玉米规模化种植大户、粮油单产提升重点村产业骨干及一线粮油生产管护从业人员，聚焦粮油产能提质增效，吸纳意愿强、基础好的涉农产业骨干参训。</w:t>
      </w:r>
    </w:p>
    <w:p w14:paraId="5029CC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以良种优选培优为核心，聚焦粮油单产提升，重点开展优良品种筛选适配、良种高产栽培、“六增两控”、病虫害绿色防控、稻田综合种养、农田防灾减灾、标准化田间管理等关键技术培训。同步配套粮食科学烘干、安全储存等产后减损技术教学，构建“良种优选+科学种植+产后保收”全流程技术体系，夯实粮油稳产增产种源根基。</w:t>
      </w:r>
    </w:p>
    <w:p w14:paraId="67D629D6">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bCs w:val="0"/>
          <w:color w:val="auto"/>
          <w:kern w:val="2"/>
          <w:sz w:val="21"/>
          <w:szCs w:val="24"/>
          <w:highlight w:val="no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乡村产业带头人培训班（50人）</w:t>
      </w:r>
    </w:p>
    <w:p w14:paraId="51E9C99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241" w:firstLineChars="1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为扎根乡村、带动农户增收的产业经营带头人，包括村集体经济负责人、合作社理事长、家庭农场主、种养大户、农机社会化服务组织负责人、市县涉农龙头企业经营者;乡村文旅、乡村工匠、返乡大学生、退役军人、返乡创业农民工、村两委产业骨干等新业态、青年创业能人。</w:t>
      </w:r>
    </w:p>
    <w:p w14:paraId="42BAEF2A">
      <w:pPr>
        <w:pStyle w:val="11"/>
        <w:numPr>
          <w:ilvl w:val="0"/>
          <w:numId w:val="0"/>
        </w:numPr>
        <w:spacing w:line="360" w:lineRule="auto"/>
        <w:ind w:firstLine="241" w:firstLineChars="10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本次培训助力乡村产业带。头人拓宽融合发展格局、提升经营管理水平、掌握品牌新媒体营销思路并熟练运用短视频直播实操技能，全方位增强产业发展综合能力。</w:t>
      </w:r>
    </w:p>
    <w:p w14:paraId="6A01DA3D">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聚焦经营管理能力与创新创业素养双提升，系统开展产业链思维构建、三产融合发展路径、“一村一品”特色打造、创业财务管理、经营主体规范化运营等管理课程;设置农产品品牌塑造、新媒体营销策划、短视频拍摄剪辑与发布运营、用户数据分析、线上推介场景搭建、推广话术设计等实操实训;同步开设农业经营法律风险防范、农耕文化与乡村价值挖掘专题，筑牢创业合规底线与文化底蕴。</w:t>
      </w:r>
    </w:p>
    <w:p w14:paraId="14A355E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包2：农机手技能提升培训班、农机手技能提升专题培训班(1期)</w:t>
      </w:r>
    </w:p>
    <w:p w14:paraId="59FC6F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b w:val="0"/>
          <w:bCs/>
          <w:color w:val="auto"/>
          <w:kern w:val="2"/>
          <w:sz w:val="21"/>
          <w:szCs w:val="24"/>
          <w:highlight w:val="none"/>
          <w:lang w:val="en-US" w:eastAsia="zh-CN" w:bidi="ar-SA"/>
        </w:rPr>
      </w:pPr>
      <w:r>
        <w:rPr>
          <w:rFonts w:hint="eastAsia" w:ascii="宋体" w:hAnsi="宋体" w:eastAsia="宋体" w:cs="宋体"/>
          <w:b w:val="0"/>
          <w:bCs/>
          <w:color w:val="auto"/>
          <w:kern w:val="2"/>
          <w:sz w:val="21"/>
          <w:szCs w:val="24"/>
          <w:highlight w:val="none"/>
          <w:lang w:val="en-US" w:eastAsia="zh-CN" w:bidi="ar-SA"/>
        </w:rPr>
        <w:t>1、</w:t>
      </w:r>
      <w:r>
        <w:rPr>
          <w:rFonts w:hint="eastAsia" w:ascii="宋体" w:hAnsi="宋体" w:eastAsia="宋体" w:cs="宋体"/>
          <w:b/>
          <w:bCs w:val="0"/>
          <w:color w:val="auto"/>
          <w:kern w:val="2"/>
          <w:sz w:val="24"/>
          <w:szCs w:val="24"/>
          <w:highlight w:val="none"/>
          <w:lang w:val="en-US" w:eastAsia="zh-CN" w:bidi="ar-SA"/>
        </w:rPr>
        <w:t>农机手技能提升培训班（50人）</w:t>
      </w:r>
    </w:p>
    <w:p w14:paraId="6CF0219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:农机大户、粮油社会化农机服务从业者、一线农机实操人员，重点吸纳长期从事规模化田间作业、具备农机操作基础的专业化农机从业人员。</w:t>
      </w:r>
    </w:p>
    <w:p w14:paraId="3627E042">
      <w:pPr>
        <w:pStyle w:val="11"/>
        <w:numPr>
          <w:ilvl w:val="0"/>
          <w:numId w:val="0"/>
        </w:numPr>
        <w:spacing w:line="360" w:lineRule="auto"/>
        <w:ind w:firstLine="241" w:firstLineChars="10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助力学员转变传统农机作业方式，树立智能农机、数字农事发展理念。熟练掌握无人机全流程实操运维及粮食烘干、机收减损等。引导学员转变传统生产观念，树立粮油全产业链融合发展理念;分类提升良种优选、稻田综合种养、产后减损、无人机智能作业等核心技能，落实“藏粮于技”;强化合规经营与质量安全意识，规范农业经营主体运营;培育一批懂技术、善经营、会管理的高素质农民与专业化农机服务人才，为全县粮油产业提质增效、农业现代化发展及乡村振兴提供坚实人才支撑。</w:t>
      </w:r>
    </w:p>
    <w:p w14:paraId="71FD8BA4">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jc w:val="left"/>
        <w:textAlignment w:val="auto"/>
        <w:outlineLvl w:val="9"/>
        <w:rPr>
          <w:rFonts w:hint="eastAsia" w:ascii="宋体" w:hAnsi="宋体" w:eastAsia="宋体" w:cs="宋体"/>
          <w:b w:val="0"/>
          <w:bCs/>
          <w:color w:val="auto"/>
          <w:kern w:val="2"/>
          <w:sz w:val="24"/>
          <w:szCs w:val="24"/>
          <w:highlight w:val="yellow"/>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以植保无人机智能实操应用为核心特色，打造数字化农机专项培训。重点开展无人机安全操作、日常维保、故障排查、农情巡查、飞防植保、精准播种施肥等全场景实操实训。配套开设机收减损、粮食机械化烘干技术教学，结合北斗定位数字化农事演练，全面提升农机手智能化、精准化作业水平。</w:t>
      </w:r>
    </w:p>
    <w:p w14:paraId="1B55A12D">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outlineLvl w:val="9"/>
        <w:rPr>
          <w:rFonts w:hint="eastAsia" w:ascii="宋体" w:hAnsi="宋体" w:eastAsia="宋体" w:cs="宋体"/>
          <w:b/>
          <w:bCs w:val="0"/>
          <w:color w:val="auto"/>
          <w:kern w:val="2"/>
          <w:sz w:val="21"/>
          <w:szCs w:val="24"/>
          <w:highlight w:val="none"/>
          <w:lang w:val="en-US" w:eastAsia="zh-CN" w:bidi="ar-SA"/>
        </w:rPr>
      </w:pPr>
      <w:r>
        <w:rPr>
          <w:rFonts w:hint="eastAsia" w:ascii="宋体" w:hAnsi="宋体" w:eastAsia="宋体" w:cs="宋体"/>
          <w:b/>
          <w:bCs w:val="0"/>
          <w:color w:val="auto"/>
          <w:kern w:val="2"/>
          <w:sz w:val="21"/>
          <w:szCs w:val="24"/>
          <w:highlight w:val="none"/>
          <w:lang w:val="en-US" w:eastAsia="zh-CN" w:bidi="ar-SA"/>
        </w:rPr>
        <w:t>2、</w:t>
      </w:r>
      <w:r>
        <w:rPr>
          <w:rFonts w:hint="eastAsia" w:ascii="宋体" w:hAnsi="宋体" w:eastAsia="宋体" w:cs="宋体"/>
          <w:b/>
          <w:bCs w:val="0"/>
          <w:color w:val="auto"/>
          <w:kern w:val="2"/>
          <w:sz w:val="24"/>
          <w:szCs w:val="24"/>
          <w:highlight w:val="none"/>
          <w:lang w:val="en-US" w:eastAsia="zh-CN" w:bidi="ar-SA"/>
        </w:rPr>
        <w:t>农机手技能提升专题培训班</w:t>
      </w:r>
      <w:r>
        <w:rPr>
          <w:rFonts w:hint="eastAsia" w:ascii="宋体" w:hAnsi="宋体" w:eastAsia="宋体" w:cs="宋体"/>
          <w:b/>
          <w:bCs w:val="0"/>
          <w:color w:val="auto"/>
          <w:kern w:val="2"/>
          <w:sz w:val="21"/>
          <w:szCs w:val="24"/>
          <w:highlight w:val="none"/>
          <w:lang w:val="en-US" w:eastAsia="zh-CN" w:bidi="ar-SA"/>
        </w:rPr>
        <w:t>50人)</w:t>
      </w:r>
    </w:p>
    <w:p w14:paraId="5676B89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1"/>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返乡入乡农民工、退役军人、涉农大中专毕业生等新农人，以及乡村治理骨干、新型农业经营主体带头人、农业服务主体带头人、乡村工匠、农村创新创业者等有志于农业产业经营与乡村创业发展的各类群体。</w:t>
      </w:r>
    </w:p>
    <w:p w14:paraId="3BE25E0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培育一批精通传统农机、熟练掌握北斗+智能无人机复合型农机技能人才，全面提升县域农机作业智能化、标准化水平;提升农机手安全操作、设备维修能力，减少农机故障与安全事故;壮大农机社会化服务队伍，高效完成全县粮油、特色作物机械化作业，助力农业降本增效。</w:t>
      </w:r>
    </w:p>
    <w:p w14:paraId="6089209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w:t>
      </w:r>
    </w:p>
    <w:p w14:paraId="34ED8C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①粮油机械化作业实操:水稻机插、机播、机收减损、油菜玉米机械化收割、粮食烘干设备操作;</w:t>
      </w:r>
    </w:p>
    <w:p w14:paraId="646169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②植保无人机全场景实训:北斗高精度定位作业、病虫害全域监测、无人机播种、施肥、吊装吊运等创新农事作业、VR数字农机模拟实训;</w:t>
      </w:r>
    </w:p>
    <w:p w14:paraId="0229A4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③农机维保与安全生产:各类农机故障排查、日常保养维修、农机安全操作规程、低空飞防安全规范、农机事故应急处置。</w:t>
      </w:r>
    </w:p>
    <w:p w14:paraId="1E145E33">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val="0"/>
          <w:color w:val="auto"/>
          <w:kern w:val="2"/>
          <w:sz w:val="24"/>
          <w:szCs w:val="24"/>
          <w:highlight w:val="none"/>
          <w:lang w:val="en-US" w:eastAsia="zh-CN" w:bidi="ar-SA"/>
        </w:rPr>
      </w:pPr>
      <w:bookmarkStart w:id="106" w:name="_Toc30656"/>
      <w:r>
        <w:rPr>
          <w:rFonts w:hint="eastAsia" w:ascii="宋体" w:hAnsi="宋体" w:eastAsia="宋体" w:cs="宋体"/>
          <w:b/>
          <w:bCs w:val="0"/>
          <w:color w:val="auto"/>
          <w:kern w:val="2"/>
          <w:sz w:val="24"/>
          <w:szCs w:val="24"/>
          <w:highlight w:val="none"/>
          <w:lang w:val="en-US" w:eastAsia="zh-CN" w:bidi="ar-SA"/>
        </w:rPr>
        <w:t>六、培训方式</w:t>
      </w:r>
      <w:bookmarkEnd w:id="106"/>
    </w:p>
    <w:p w14:paraId="4A6E6F0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1、培育课程主要通过课堂教学(包含线上线下)、实践教学、观摩交流等形式进行。鼓励培育机构创新教学方法,改进培育形式，提高教学效果。</w:t>
      </w:r>
    </w:p>
    <w:p w14:paraId="117F529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课堂教学包括线上线下集中授课。鼓励采取案例教学、参与式教学、互动式教学等形式。线上学习可采取网络直播或课件学习的方式。线上学习平台应具备完善的在线学习、直播授课、课程考核及相关统计、监测和评价功能。</w:t>
      </w:r>
    </w:p>
    <w:p w14:paraId="1815D97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3、实践教学应在与课程内容直接相关的实习实训场所或生产经营一线开展,包括场地实训、顶岗实习、跟岗见习、模拟教学、实践孵化等形式。</w:t>
      </w:r>
    </w:p>
    <w:p w14:paraId="7B5B5F36">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107" w:name="_Toc1109"/>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七、课程要求</w:t>
      </w:r>
      <w:bookmarkEnd w:id="107"/>
    </w:p>
    <w:p w14:paraId="7C0364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1、建立模块化课程体系,分为综合素养课、专业技能课、能力拓展课三类。培育机构综合考虑农时农事特点和人才培养规律，合理设计三类课程,选择集中或分时段开展。</w:t>
      </w:r>
    </w:p>
    <w:p w14:paraId="059773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综合素养课包括思想政治、政策法规、职业素养和文化素养类等课程,包含“开班第一课”。“开班第一课”应包括当年中央一号文件和农业农村部相关部署要求等内容。专业技能课应根据培育对象实际需求,紧紧围绕培育主题开设。能力拓展课由培育机构根据培育对象和培育目标自选开展、自行设计。</w:t>
      </w:r>
    </w:p>
    <w:p w14:paraId="5CD97A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3、配合重大农业灾害、动物疫病应急处置等开展的应急性培训学时要求可不受此限制。</w:t>
      </w:r>
    </w:p>
    <w:p w14:paraId="55C69BF8">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08" w:name="_Toc14619"/>
      <w:r>
        <w:rPr>
          <w:rFonts w:hint="eastAsia" w:ascii="宋体" w:hAnsi="宋体" w:eastAsia="宋体" w:cs="宋体"/>
          <w:b/>
          <w:bCs/>
          <w:spacing w:val="-4"/>
          <w:kern w:val="2"/>
          <w:sz w:val="24"/>
          <w:szCs w:val="24"/>
          <w:lang w:val="en-US" w:eastAsia="zh-CN" w:bidi="ar-SA"/>
        </w:rPr>
        <w:t>八、培育师资</w:t>
      </w:r>
      <w:bookmarkEnd w:id="108"/>
    </w:p>
    <w:p w14:paraId="3BA6BD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培育师资应具备主题培训的师资、设施、场地，具有开设相应课程的专业条件，授课符合课程主题需求,授课方式易于农民接受,教案内容通俗实用。</w:t>
      </w:r>
    </w:p>
    <w:p w14:paraId="56B97046">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09" w:name="_Toc3627"/>
      <w:r>
        <w:rPr>
          <w:rFonts w:hint="eastAsia" w:ascii="宋体" w:hAnsi="宋体" w:eastAsia="宋体" w:cs="宋体"/>
          <w:b/>
          <w:bCs/>
          <w:spacing w:val="-4"/>
          <w:kern w:val="2"/>
          <w:sz w:val="24"/>
          <w:szCs w:val="24"/>
          <w:lang w:val="en-US" w:eastAsia="zh-CN" w:bidi="ar-SA"/>
        </w:rPr>
        <w:t>九、培训教材</w:t>
      </w:r>
      <w:bookmarkEnd w:id="109"/>
      <w:r>
        <w:rPr>
          <w:rFonts w:hint="eastAsia" w:ascii="宋体" w:hAnsi="宋体" w:eastAsia="宋体" w:cs="宋体"/>
          <w:b/>
          <w:bCs/>
          <w:spacing w:val="-4"/>
          <w:kern w:val="2"/>
          <w:sz w:val="24"/>
          <w:szCs w:val="24"/>
          <w:lang w:val="en-US" w:eastAsia="zh-CN" w:bidi="ar-SA"/>
        </w:rPr>
        <w:t xml:space="preserve"> </w:t>
      </w:r>
    </w:p>
    <w:p w14:paraId="60B8A1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培育教材包括正式出版物和各级农业农村部门组织编制的培育手册。培育机构应严把教材质量关，经主管部门审核，选用规范、先进、实用的培育教材。</w:t>
      </w:r>
    </w:p>
    <w:p w14:paraId="78141154">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10" w:name="_Toc27646"/>
      <w:r>
        <w:rPr>
          <w:rFonts w:hint="eastAsia" w:ascii="宋体" w:hAnsi="宋体" w:eastAsia="宋体" w:cs="宋体"/>
          <w:b/>
          <w:bCs/>
          <w:spacing w:val="-4"/>
          <w:kern w:val="2"/>
          <w:sz w:val="24"/>
          <w:szCs w:val="24"/>
          <w:lang w:val="en-US" w:eastAsia="zh-CN" w:bidi="ar-SA"/>
        </w:rPr>
        <w:t>十、培育管理</w:t>
      </w:r>
      <w:bookmarkEnd w:id="110"/>
    </w:p>
    <w:p w14:paraId="364082E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培育机构应加强培育对象管理，要求培育对象在集中培育期间，严格遵守班级管理制度,严禁酗酒、滋事或从事可能影响学习培训的娱乐活动。</w:t>
      </w:r>
    </w:p>
    <w:p w14:paraId="039A75BA">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11" w:name="_Toc21994"/>
      <w:r>
        <w:rPr>
          <w:rFonts w:hint="eastAsia" w:ascii="宋体" w:hAnsi="宋体" w:eastAsia="宋体" w:cs="宋体"/>
          <w:b/>
          <w:bCs/>
          <w:spacing w:val="-4"/>
          <w:kern w:val="2"/>
          <w:sz w:val="24"/>
          <w:szCs w:val="24"/>
          <w:lang w:val="en-US" w:eastAsia="zh-CN" w:bidi="ar-SA"/>
        </w:rPr>
        <w:t>十一、结业证书</w:t>
      </w:r>
      <w:bookmarkEnd w:id="111"/>
    </w:p>
    <w:p w14:paraId="05A882E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培育机构根据课程考核和考勤情况,综合评价学员学习成果对完成学习任务的培育对象颁发结业证书。证书及名单要报主管部门备案。</w:t>
      </w:r>
    </w:p>
    <w:p w14:paraId="7DF837F5">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12" w:name="_Toc32425"/>
      <w:r>
        <w:rPr>
          <w:rFonts w:hint="eastAsia" w:ascii="宋体" w:hAnsi="宋体" w:eastAsia="宋体" w:cs="宋体"/>
          <w:b/>
          <w:bCs/>
          <w:spacing w:val="-4"/>
          <w:kern w:val="2"/>
          <w:sz w:val="24"/>
          <w:szCs w:val="24"/>
          <w:lang w:val="en-US" w:eastAsia="zh-CN" w:bidi="ar-SA"/>
        </w:rPr>
        <w:t>十二、跟踪服务</w:t>
      </w:r>
      <w:bookmarkEnd w:id="112"/>
    </w:p>
    <w:p w14:paraId="0B8BE20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培育机构应在课堂教学、实践教学和交流观摩全部完成后对学员开展跟踪服务，时长不超过1年，次数不少于2次。跟踪服务人数不少于培训班总人数的60%。跟踪服务形式可包括技术指导、政策推介、发展帮扶、组织交流互助、组织参加与培育主题相关的展会和技能竞赛等。</w:t>
      </w:r>
    </w:p>
    <w:p w14:paraId="2C8024C3">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color w:val="auto"/>
          <w:sz w:val="24"/>
          <w:szCs w:val="24"/>
          <w:lang w:val="en-US" w:eastAsia="zh-CN"/>
        </w:rPr>
      </w:pPr>
      <w:bookmarkStart w:id="113" w:name="_Toc16084"/>
      <w:r>
        <w:rPr>
          <w:rFonts w:hint="eastAsia" w:ascii="宋体" w:hAnsi="宋体" w:eastAsia="宋体" w:cs="宋体"/>
          <w:b/>
          <w:bCs/>
          <w:color w:val="auto"/>
          <w:sz w:val="24"/>
          <w:szCs w:val="24"/>
          <w:lang w:val="en-US" w:eastAsia="zh-CN"/>
        </w:rPr>
        <w:t>十三、培训服务费及付款方式：</w:t>
      </w:r>
      <w:bookmarkEnd w:id="113"/>
    </w:p>
    <w:p w14:paraId="7C169D7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val="en-US" w:eastAsia="zh-CN"/>
        </w:rPr>
        <w:t>支付人：花垣县</w:t>
      </w:r>
      <w:r>
        <w:rPr>
          <w:rFonts w:hint="eastAsia" w:ascii="宋体" w:hAnsi="宋体" w:eastAsia="宋体" w:cs="宋体"/>
          <w:color w:val="auto"/>
          <w:kern w:val="2"/>
          <w:sz w:val="24"/>
          <w:szCs w:val="24"/>
          <w:highlight w:val="none"/>
          <w:lang w:val="en-US" w:eastAsia="zh-CN" w:bidi="ar-SA"/>
        </w:rPr>
        <w:t>农业农村局</w:t>
      </w:r>
    </w:p>
    <w:p w14:paraId="37B1CEB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bookmarkStart w:id="114" w:name="OLE_LINK106"/>
      <w:r>
        <w:rPr>
          <w:rFonts w:hint="eastAsia" w:ascii="宋体" w:hAnsi="宋体" w:eastAsia="宋体" w:cs="宋体"/>
          <w:color w:val="auto"/>
          <w:kern w:val="2"/>
          <w:sz w:val="24"/>
          <w:szCs w:val="24"/>
          <w:highlight w:val="none"/>
          <w:lang w:val="en-US" w:eastAsia="zh-CN" w:bidi="ar-SA"/>
        </w:rPr>
        <w:t>付款方式：省级平台录入完成并审核通过，提交正式发票及相关资料后予以支付。具体支付按如下情况确定：</w:t>
      </w:r>
    </w:p>
    <w:p w14:paraId="48A0D84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1.培训结束后，乙方在规定时间内提供相关资料，经甲方审核通过，于2026年12月底前支付80%费用；</w:t>
      </w:r>
    </w:p>
    <w:p w14:paraId="5C2CE55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2.乙方按要求及时完成审计、跟踪服务、典型培育等事项，提供相关资料，经甲方验收通过，于2027年7月底前支付剩余20%费用。</w:t>
      </w:r>
    </w:p>
    <w:bookmarkEnd w:id="114"/>
    <w:p w14:paraId="0466B85E">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color w:val="auto"/>
          <w:sz w:val="24"/>
          <w:szCs w:val="24"/>
          <w:lang w:val="en-US" w:eastAsia="zh-CN"/>
        </w:rPr>
      </w:pPr>
      <w:bookmarkStart w:id="115" w:name="_Toc17740"/>
      <w:r>
        <w:rPr>
          <w:rFonts w:hint="eastAsia" w:ascii="宋体" w:hAnsi="宋体" w:eastAsia="宋体" w:cs="宋体"/>
          <w:b/>
          <w:bCs/>
          <w:color w:val="auto"/>
          <w:sz w:val="24"/>
          <w:szCs w:val="24"/>
          <w:lang w:val="en-US" w:eastAsia="zh-CN"/>
        </w:rPr>
        <w:t>十四、其他要求及说明</w:t>
      </w:r>
      <w:bookmarkEnd w:id="115"/>
    </w:p>
    <w:p w14:paraId="1EB5FA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本项目采用总价包干制。供应商的报价应包含为完成本项目所需的一切费用，包括但不限于学员遴选费用、师资劳务、专家讲课差旅费，实训基地租赁、农机、设备耗材、实操农资费，线上教学平台服务费、教材印刷、学习资料，学员集中培训食宿交通、异地观摩学习食宿交通，考核证书制作、项目档案印刷、宣传物料，保险费，跟踪服务费，税费，管理费，利润等所有与本项目有关的开支。采购人除按合同约定支付合同总价款外，不再支付任何其他费用。成交供应商不得向学员收取任何培训费、实训费、教材费等费用。</w:t>
      </w:r>
    </w:p>
    <w:p w14:paraId="7209A8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lang w:val="en-US" w:eastAsia="zh-CN"/>
        </w:rPr>
        <w:t>（二）相关要求不明确、不清晰部分均按照</w:t>
      </w:r>
      <w:r>
        <w:rPr>
          <w:rFonts w:hint="eastAsia" w:ascii="宋体" w:hAnsi="宋体" w:eastAsia="宋体" w:cs="宋体"/>
          <w:color w:val="auto"/>
          <w:sz w:val="24"/>
          <w:szCs w:val="24"/>
          <w:highlight w:val="none"/>
          <w:shd w:val="clear" w:color="auto" w:fill="FFFFFF"/>
        </w:rPr>
        <w:t>农业农村部农村社会事业促进司关于印发</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高素质农民培育项目管理工作规程(试行)》和</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高素质农民培育规范(修订)》的通知（农社综函(2025]15号）</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lang w:eastAsia="zh-CN"/>
        </w:rPr>
        <w:t>《湖南省高素质农民培育规范（试行）》和《湘西州202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年高素质农民培育工作实施方案》的通知（州农办发〔202</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lang w:eastAsia="zh-CN"/>
        </w:rPr>
        <w:t>号）</w:t>
      </w:r>
      <w:r>
        <w:rPr>
          <w:rFonts w:hint="eastAsia" w:ascii="宋体" w:hAnsi="宋体" w:eastAsia="宋体" w:cs="宋体"/>
          <w:color w:val="auto"/>
          <w:sz w:val="24"/>
          <w:szCs w:val="24"/>
          <w:highlight w:val="none"/>
          <w:shd w:val="clear" w:color="auto" w:fill="FFFFFF"/>
        </w:rPr>
        <w:t>文件要求</w:t>
      </w:r>
      <w:r>
        <w:rPr>
          <w:rFonts w:hint="eastAsia" w:ascii="宋体" w:hAnsi="宋体" w:eastAsia="宋体" w:cs="宋体"/>
          <w:color w:val="auto"/>
          <w:sz w:val="24"/>
          <w:szCs w:val="24"/>
          <w:highlight w:val="none"/>
          <w:shd w:val="clear" w:color="auto" w:fill="FFFFFF"/>
          <w:lang w:eastAsia="zh-CN"/>
        </w:rPr>
        <w:t>执行。</w:t>
      </w:r>
    </w:p>
    <w:p w14:paraId="436F5D2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shd w:val="clear" w:color="auto" w:fill="FFFFFF"/>
          <w:lang w:val="en-US" w:eastAsia="zh-CN"/>
        </w:rPr>
        <w:t>★（三）成交供应商在承办培训班时，须全程接入“农民教育培训信息管理系统”（https://ims.ngx.net.cn/state/web/common/index.html），实现培育全程可监管可追溯。</w:t>
      </w:r>
    </w:p>
    <w:p w14:paraId="27B4A5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shd w:val="clear" w:color="auto" w:fill="FFFFFF"/>
          <w:lang w:val="en-US" w:eastAsia="zh-CN"/>
        </w:rPr>
        <w:t>（四）本章采购需求，除培育地点、采购内容和培训任务按包号内容，其他要求所有包号均适用。</w:t>
      </w:r>
    </w:p>
    <w:p w14:paraId="6F8708D1">
      <w:pPr>
        <w:spacing w:line="360" w:lineRule="auto"/>
        <w:rPr>
          <w:rFonts w:hint="eastAsia" w:ascii="宋体" w:hAnsi="宋体" w:eastAsia="宋体" w:cs="宋体"/>
          <w:color w:val="auto"/>
          <w:sz w:val="24"/>
          <w:szCs w:val="24"/>
          <w:shd w:val="clear" w:color="auto" w:fill="FFFFFF"/>
          <w:lang w:val="en-US" w:eastAsia="zh-CN"/>
        </w:rPr>
      </w:pPr>
    </w:p>
    <w:p w14:paraId="729CACA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附 件 1</w:t>
      </w:r>
    </w:p>
    <w:p w14:paraId="600F5F0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01A8CE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高素质农民培育项目管理工作规程</w:t>
      </w:r>
    </w:p>
    <w:p w14:paraId="1B57355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(试行)</w:t>
      </w:r>
    </w:p>
    <w:p w14:paraId="3898B24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第一章  总    则</w:t>
      </w:r>
    </w:p>
    <w:p w14:paraId="72C0094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第一条  为加强高素质农民培育计划组织管理，提高资金使 用效率，提升培育质量效果，依据财政部《中央对地方专项转移支 付管理办法》、农业农村部《农业相关转移支付项目管理部内工作 规程》,制定本规程。</w:t>
      </w:r>
    </w:p>
    <w:p w14:paraId="4B51082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第二条  本规程适用于各级农业农村部门使用中央财政转移 支付资金开展的高素质农民培育工作。</w:t>
      </w:r>
    </w:p>
    <w:p w14:paraId="512ED8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第三条  高素质农民培育采取统一部署、分层实施、分级管 理、育用结合的方式，坚持质量导向、突出培育实效，紧密围绕农业 农村高质量发展和乡村全面振兴人才需求组织开展。</w:t>
      </w:r>
    </w:p>
    <w:p w14:paraId="20973EE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第四条  农业农村部农村社会事业促进司(以下简称“部社 会事业司”)负责高素质农民培育计划的管理和指导，制定《高素 质农民培育规范》和相关标准，对各省高素质农民培育计划实施情 况开展质量监管和总结评价。</w:t>
      </w:r>
    </w:p>
    <w:p w14:paraId="00B6CE9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省级农业农村部门负责组织培育需求摸底，分解培育任务，指导市、县级落实培育计划，组织实施本级培育，开展质量监管和总 结评价。各级农业农村部门负责本地区高素质农民培育计划组织 实施和质量管理。</w:t>
      </w:r>
    </w:p>
    <w:p w14:paraId="5EFEB71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6D1B31E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第二章  申报与下达</w:t>
      </w:r>
    </w:p>
    <w:p w14:paraId="7C455D2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第五条  高素质农民培育计划任务围绕“三农”重点领域人 才需求确定，根据农业农村领域急需紧缺人才培养需求设置相关 专题任务，每年根据实际进行调整。</w:t>
      </w:r>
    </w:p>
    <w:p w14:paraId="5F7B1A8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第六条  部社会事业司、各省农业农村部门应提前组织培育 需求摸底，为确定年度培育任务提供参考。</w:t>
      </w:r>
    </w:p>
    <w:p w14:paraId="4A6A7FD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第七条  部社会事业司提出高素质农民培育计划年度任务， 下发专题任务申报指南，组织各省申报。</w:t>
      </w:r>
    </w:p>
    <w:p w14:paraId="743BF99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各省农业农村部门按照专题任务申报指南要求，编制专题任 务申报书，报送部社会事业司。</w:t>
      </w:r>
    </w:p>
    <w:p w14:paraId="6D2C887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第八条  部社会事业司组织项目评审，将通过评审的项目纳 入项目储备库，提出专题任务分配建议，并按有关规定纳入资金测算、下达绩效任务。</w:t>
      </w:r>
    </w:p>
    <w:p w14:paraId="2DAA79F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379B2EF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第三章  组织实施</w:t>
      </w:r>
    </w:p>
    <w:p w14:paraId="3356F8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第九条  高素质农民培育计划按照制定实施方案、分解培育任务、遴选培育机构、签订培育协议、指导任务实施、开展质量监管和总结评价的程序组织实施。</w:t>
      </w:r>
    </w:p>
    <w:p w14:paraId="5ADAF42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第十条  各省农业农村部门按照财政部、农业农村部联合下 达的年度高素质农民培育计划绩效任务和农业农村部印发的培育 工作通知，制定实施方案并报部社会事业司审核备案。</w:t>
      </w:r>
    </w:p>
    <w:p w14:paraId="49A222F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第十一条  各省农业农村部门根据部社会事业司审核备案的实施方案，通过因素测算、竞争立项等方式，确定市、县绩效任务，组织市、县编制实施方案并审核。优先支持上年任务完成情况和 培育效果好的市、县承担培育任务。</w:t>
      </w:r>
    </w:p>
    <w:p w14:paraId="07C8912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第十二条  各级农业农村部门分层实施培育计划任务，分别举办本级高素质农民培训班。</w:t>
      </w:r>
    </w:p>
    <w:p w14:paraId="0095B5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本地区教育培训条件无法满足培育需求的，培训班整体或部分培训环节可采取异地委托培训或上级调训的方式开展。</w:t>
      </w:r>
    </w:p>
    <w:p w14:paraId="3060335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第十三条  各级农业农村部门应当坚持竞争择优原则遴选培育机构。</w:t>
      </w:r>
    </w:p>
    <w:p w14:paraId="60D8F16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可跨区域承担培育任务。鼓励优质公益性培育机构连续稳定承担培育任务，对承担上一年度培育任务并高质高效完成的培育机构可优先选用。承担培育任务的培育机构经确定后，要按规定履行公开公示程序。</w:t>
      </w:r>
    </w:p>
    <w:p w14:paraId="3796BDF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通过招投标形式遴选培育机构的，应将《高素质农民培育规范》有关培育机构条件的内容纳入招标条件。</w:t>
      </w:r>
    </w:p>
    <w:p w14:paraId="2373E0A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承担实践教学环节的机构应具有满足培育主题要求的场地、设施设备、实践师资等条件。</w:t>
      </w:r>
    </w:p>
    <w:p w14:paraId="207554C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第十四条  各级农业农村部门应与承担任务的培育机构签订合同或服务协议，明确培育的目标任务、完成期限、培育对象遴选方式和要求、培训方式、质量要求、资金用途和绩效目标等。培育任务内容应包含培育对象遴选、课堂教学(包含线上线下培训)、实践教学、观摩交流、跟踪服务及相应实施机构等。</w:t>
      </w:r>
    </w:p>
    <w:p w14:paraId="1C3561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第十五条  各级农业农村部门应指导本级培育机构精准遴选培育对象。高素质农民培育对象主要为新型农业经营主体带头人 和乡村振兴骨干人员。</w:t>
      </w:r>
    </w:p>
    <w:p w14:paraId="06FC560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本年度参加培育的农民，确因人才培养需要的，可在次年参加 不同主题或同一主题更高层级的培育。</w:t>
      </w:r>
    </w:p>
    <w:p w14:paraId="1680C3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第十六条  各级农业农村部门应认真审核本级培育任务开班 计划，主要审核内容包括：</w:t>
      </w:r>
    </w:p>
    <w:p w14:paraId="2CE9CF8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(一)培育主题是否符合下达任务的要求；</w:t>
      </w:r>
    </w:p>
    <w:p w14:paraId="714FF3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(二)课程和培育对象是否与培育主题一致；</w:t>
      </w:r>
    </w:p>
    <w:p w14:paraId="2412657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(三)师资选用是否满足课程要求；</w:t>
      </w:r>
    </w:p>
    <w:p w14:paraId="00FA46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(四)课堂教学(包含线上线下)、实践教学、观摩交流等培育 方式是否合理，是否有利于提高培育质量；</w:t>
      </w:r>
    </w:p>
    <w:p w14:paraId="7A8F8FB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(五)培育经费支出计划是否合理合规；</w:t>
      </w:r>
    </w:p>
    <w:p w14:paraId="4A3073E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(六)培育预期效果。</w:t>
      </w:r>
    </w:p>
    <w:p w14:paraId="3874AD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第十七条  培训开班时间和培训时长应综合考虑农时农事特点、产业发展需求和人才培养规律，同一班次可采取分段实施的方式组织培训。</w:t>
      </w:r>
    </w:p>
    <w:p w14:paraId="223DD2D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第十八条  培育师资应具备相应课程的专业条件。综合素养 课程师资原则上应来自政府及所属事业单位、大中专院校、科研院 所等公益性机构。鼓励聘请农业企业、新型农业经营主体管理人员等“土专家”以及实操经验丰富的专业人员、技术能手授课。各级农业农村部门应委派与培训班主题相符的主管单位人员讲授 “开班第一课”。跟踪服务应配备专门师资。</w:t>
      </w:r>
    </w:p>
    <w:p w14:paraId="0D2D5D8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第十九条  培育机构应建立培育档案，包括开班计划、培育对 象信息、课程及考核结果记录、资金支出票据复印件、结业证书发 放情况和其他必要培育信息。培育档案至少保存5年。</w:t>
      </w:r>
    </w:p>
    <w:p w14:paraId="2A93270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第二十条  各级农业农村部门可根据实际需要，指导培育机 构对培育对象开展跟踪服务。鼓励各级农业农村部门持续跟进培 育对象发展情况，提供技术指导、政策对接、金融帮扶和信息服务等支持。</w:t>
      </w:r>
    </w:p>
    <w:p w14:paraId="7C9C73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第二十一条  培育完成并验收合格后，培育机构应向培育对象发放结业证书，并将培育对象和结业证书档案报下达培育任务的农业农村部门备案。</w:t>
      </w:r>
    </w:p>
    <w:p w14:paraId="35CE27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11E1342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第四章  资金支出</w:t>
      </w:r>
    </w:p>
    <w:p w14:paraId="3C31B2E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第二十二条  培育经费支出应遵循节约高效原则。中央财政转移支付高素质农民培育资金可用于支付高素质农民培育计划实 施的需求摸底、课堂教学、实践教学、交流观摩、跟踪服务和总结评 价等培育环节必需费用和验收费用。不得列支招投标费用、审计费用和第三方评估费用等应从“三公”经费支出的其他费用。不得给培育对象发放补助。</w:t>
      </w:r>
    </w:p>
    <w:p w14:paraId="583429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第二十三条  培育费用原则上按照实际需求支出，具体标准由各级农业农村部门商本级财政部门确定。课堂教学日均费用一 般不高于培训地干部培训标准。实践教学和跟踪服务费用应按实际支出。</w:t>
      </w:r>
    </w:p>
    <w:p w14:paraId="3924418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第二十四条  培育费用可采取预拨、部分预拨、报账等方式支付。预拨比例由各级农业农村部门商财政部门确定。支付对象为承担任务的培育机构，相关支出、报账由培育机构具体负责。</w:t>
      </w:r>
    </w:p>
    <w:p w14:paraId="19FAA26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第二十五条  用好农业农村部转移支付管理平台，及时填报各级实施方案和资金支出信息，确保真实准确。严禁数据造假。</w:t>
      </w:r>
    </w:p>
    <w:p w14:paraId="3312F41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6314AB2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第五章  监督管理</w:t>
      </w:r>
    </w:p>
    <w:p w14:paraId="141BAF0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第二十六条  严格按照中央财政转移支付资金管理的相关规 定做好培育项目实施监管。按照《农业农村部办公厅关于进一步加强财政支农相关资金使用全链条管理的通知》要求，全面提升资金使用效能。</w:t>
      </w:r>
    </w:p>
    <w:p w14:paraId="201D94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第二十七条  部社会事业司建立常态化抽核机制，通过电话</w:t>
      </w:r>
    </w:p>
    <w:p w14:paraId="23A5E4F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回访、平台数据核实、实地核验等方式对高素质农民培育计划实施情况进行全过程监管，对于培育过程不符合本规程和《高素质 农民培育规范》的情况，及时予以纠正。委托农业农村部农民科 技教育培训中心开展质量跟踪，必要时委托第三方机构开展实 地核验。平台数据核实依据农民教育培训信息管理系统和农业农村部转移支付管理平台开展。实地核验应符合“四不两直”相关要求。</w:t>
      </w:r>
    </w:p>
    <w:p w14:paraId="0640831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第二十八条  各级农业农村部门对本级培训班和下级培育任 务实施开展质量监管，建立职责明确、分工协作的质量监管体系。</w:t>
      </w:r>
    </w:p>
    <w:p w14:paraId="5266C7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各级高素质农民培育归口主管业务部门对项目实施和资金使 用管理负主体责任和监督责任，明确项目管理目标、关键举措、时间进度和责任人，做好高素质农民培育政策公开，加强项目组织实 施和执行调度，强化项目日常实施监管。</w:t>
      </w:r>
    </w:p>
    <w:p w14:paraId="4477B3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第二十九条  各级农业农村部门应当在立项评审、实施管理和验收评价等关键环节，开展全链条项目资金监管。制定培育机构公开遴选方案和专题班评审方案，公正开展遴选评审工作。规范开展项目招投标，坚决防止围标串标等违规行为，确保优质培育机构承担任务。按照年度实施方案，加强项目实施过程指导督促，确保项目执行进度，持续提升培育质量。对本级培训班使用教材、教案进行政策把关。</w:t>
      </w:r>
    </w:p>
    <w:p w14:paraId="40EFEB8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第三十条  按照“谁使用谁负责”的原则，规范资金使用，任何单位和个人不得挤占、截留、挪用或擅自改变用途，不得跨项目 整合资金，国家另有规定的除外。对企业为主体承担的项目，要商财政部门研究创新实施机制，防范骗取套取财政支农资金风险。 地方各级农业农村部门要积极配合有关部门，严肃查处相关违规违纪违法行为，并以适当形式对培育机构进行通报、约谈。</w:t>
      </w:r>
    </w:p>
    <w:p w14:paraId="1A496AC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第三十一条  部社会事业司在监督管理中发现以下问题时，应约谈该省份农业农村部门，提出整改要求并督促落实。对拒不整改的，商部计财司暂停下一年度培育任务。</w:t>
      </w:r>
    </w:p>
    <w:p w14:paraId="7DD45AC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(一)资金随意分配、挤占挪用的；</w:t>
      </w:r>
    </w:p>
    <w:p w14:paraId="5D0663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(二)未按要求开展培育质量监管的；</w:t>
      </w:r>
    </w:p>
    <w:p w14:paraId="133CFEB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(三)多个培育班次不符合规范要求的；</w:t>
      </w:r>
    </w:p>
    <w:p w14:paraId="0C7F3F9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(四)发生多起举报、上访事件并核查属实的。</w:t>
      </w:r>
    </w:p>
    <w:p w14:paraId="5E171EB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省级农业农村部门在对市、县实施项目的监督管理中发现以上问题的，参照以上要求处理。</w:t>
      </w:r>
    </w:p>
    <w:p w14:paraId="4E1C76E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第三十二条  各级农业农村部门对存在以下情况的培育机构，应暂停或取消其实施资格，追缴项目资金，三年内不再受理培育申请。</w:t>
      </w:r>
    </w:p>
    <w:p w14:paraId="3D0F9B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(一)培育机构申报条件和培育过程弄虚作假的；</w:t>
      </w:r>
    </w:p>
    <w:p w14:paraId="5D9CFC5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(二)私自分包、转包培育任务的；</w:t>
      </w:r>
    </w:p>
    <w:p w14:paraId="455EB75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(三)超出培育完成期限时间较长仍未能完成任务的；</w:t>
      </w:r>
    </w:p>
    <w:p w14:paraId="477071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(四)培育资金使用严重违规或违反合同协议的，存在虚报冒领、骗取套取行为的；</w:t>
      </w:r>
    </w:p>
    <w:p w14:paraId="66868A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(五)培育过程中出现安全责任事故、违法违规情况的。</w:t>
      </w:r>
    </w:p>
    <w:p w14:paraId="58B85F3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4DDD8F7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第六章  总结评价</w:t>
      </w:r>
    </w:p>
    <w:p w14:paraId="7695E17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第三十三条  部社会事业司配合部计财司对各省高素质农民培育计划实施情况开展绩效管理。</w:t>
      </w:r>
    </w:p>
    <w:p w14:paraId="731BB72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第三十四条  各省农业农村部门每年1月10日前向部社会 事业司报送高素质农民培育计划实施情况年度总结。</w:t>
      </w:r>
    </w:p>
    <w:p w14:paraId="45788D9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第三十五条  部社会事业司对各省实施情况开展总结性评 价，评价结果采取适当方式进行通报，并作为确定下一年度培育任务的重要依据。</w:t>
      </w:r>
    </w:p>
    <w:p w14:paraId="3E8862C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5B04038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第七章  附    则</w:t>
      </w:r>
    </w:p>
    <w:p w14:paraId="54370DB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第三十六条  本规程所称省是指省、自治区、直辖市、计划单列市、新疆生产建设兵团以及北大荒农垦集团有限公司、广东省农垦总局。农业农村部门是指农业农村、农牧、畜牧兽医、渔业等行政主管部门。</w:t>
      </w:r>
    </w:p>
    <w:p w14:paraId="7AFD949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本规程相关规定与年度工作通知要求不一致的，按年度通知要求执行。</w:t>
      </w:r>
    </w:p>
    <w:p w14:paraId="3F0A865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第三十七条  各地农业农村部门可根据本规程，结合本地区的实际情况，制定具体实施细则。</w:t>
      </w:r>
    </w:p>
    <w:p w14:paraId="5BE54B0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第三十八条本规程由部社会事业司负责解释 。</w:t>
      </w:r>
    </w:p>
    <w:p w14:paraId="59A2D18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第三十九条本规程自印发之日起施行 。</w:t>
      </w:r>
    </w:p>
    <w:p w14:paraId="637D2B2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08C8E2A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7546935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509BDEC4">
      <w:pPr>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br w:type="page"/>
      </w:r>
    </w:p>
    <w:p w14:paraId="6412271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高素质农民培育规范(修订)</w:t>
      </w:r>
    </w:p>
    <w:p w14:paraId="168678A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799A1F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 、适用范围</w:t>
      </w:r>
    </w:p>
    <w:p w14:paraId="16E186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承担高素质农民培育任务的机构应遵循本规范执行高素质农民培育任务。</w:t>
      </w:r>
    </w:p>
    <w:p w14:paraId="08C12A5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二、培育对象</w:t>
      </w:r>
    </w:p>
    <w:p w14:paraId="6491996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培育对象应正在从事或有意愿从事农业农村领域生产、经营、 服务的农民和返乡人员，主要培育新型农业经营主体带头人和乡村振兴骨干人员。</w:t>
      </w:r>
    </w:p>
    <w:p w14:paraId="02EAE14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本年度参加培育的农民，确因人才培养需要的，可在次年参加 不同主题或同一主题更高层级的培育。</w:t>
      </w:r>
    </w:p>
    <w:p w14:paraId="4B3AF2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三、培育机构</w:t>
      </w:r>
    </w:p>
    <w:p w14:paraId="46C8A3A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申请承担培育任务的机构应当符合以下条件：</w:t>
      </w:r>
    </w:p>
    <w:p w14:paraId="6BBB2C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(一)成立3年以上，具有独立法人资格；</w:t>
      </w:r>
    </w:p>
    <w:p w14:paraId="0E0EEC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(二)具有教育、培训相关职能、资质或主营业务范围；</w:t>
      </w:r>
    </w:p>
    <w:p w14:paraId="74BE565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(三)能提供满足培育需要的教学场所及教学设施设备；</w:t>
      </w:r>
    </w:p>
    <w:p w14:paraId="6E180FA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(四)具备专职教学管理人员和与培育主题相匹配的专兼职师资 。</w:t>
      </w:r>
    </w:p>
    <w:p w14:paraId="1BB5A65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承担实践教学环节的机构应当具有满足培育主题要求的场地、设施设备、实践师资等条件。</w:t>
      </w:r>
    </w:p>
    <w:p w14:paraId="1D9C302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培育机构负责建立培训班管理制度、制定开班计划、遴选培育对象、设置培训课程、委派或聘请授课师资、优选培育教材、落实培育任务、建立培育档案、开展跟踪服务，指定专人负责培训班组织 实施，接受质量监管和核验评价。培育机构将课堂教学、实践教学 和跟踪服务的部分环节委托给其他机构实施的，应与该机构签订合作协议，明确委托内容、质量要求、完成期限等，并对培育效果负责。鼓励培训班建立临时党组织，强化党建引领。</w:t>
      </w:r>
    </w:p>
    <w:p w14:paraId="24875C6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 、开班计划</w:t>
      </w:r>
    </w:p>
    <w:p w14:paraId="25B3ED0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开班计划应包括培育主题、课程、学时、培育对象、培育形式、 师资、教材、经费支出计划和预期效果等培育全过程内容，明确班级管理相关要求，经下达培育任务的农业农村部门审核后，由培育  机构公开发布。</w:t>
      </w:r>
    </w:p>
    <w:p w14:paraId="5A8292A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培育机构应严格按照开班计划实施培育。确有必要调整开班 计划的，需经原审核部门同意。原则上每个培训班人数不超过70人，以实践教学为主的，每班不超过50人。由于交通不便、培育条 件不足或培育内容专 一 性导致培育人数较少的，每班应不少于30人。</w:t>
      </w:r>
    </w:p>
    <w:p w14:paraId="0558067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五、课程要求</w:t>
      </w:r>
    </w:p>
    <w:p w14:paraId="37D14B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建立模块化课程体系，分为综合素养课、专业技能课、能力拓展课三类。培育机构综合考虑农时农事特点和人才培养规律，合理设计三类课程，选择集中或分时段开展。</w:t>
      </w:r>
    </w:p>
    <w:p w14:paraId="53C5B9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根据培育主题实际需要确定培训班总学时，每个培训班原则上不少于40个学时(不包含报到、返程时间)。1学时为45分钟，每天不超过8个学时。</w:t>
      </w:r>
    </w:p>
    <w:p w14:paraId="2D6752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综合素养课包括思想政治、政策法规、职业素养和文化素养类 等课程，包含“开班第一课”。“开班第一课”应包括当年中央一号文件和农业农村部相关部署要求等内容。专业技能课应根据培育对象实际需求，紧紧围绕培育主题开设。能力拓展课由培育机构 根据培育对象和培育目标自选开展、自行设计。</w:t>
      </w:r>
    </w:p>
    <w:p w14:paraId="5C45B7C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原则上，综合素养课学时不低于总学时数的10%。专业技能 课学时数应不低于总学时数的70%,其中，采取实践教学的比例不低于专业技能课学时数的50%。能力拓展课学时数应不高于总学时数的20%。全部专业技能课程结束后应进行课程考核。配合重大农业灾害、动物疫病应急处置等开展的应急性培训，学时要求可不受此限制。</w:t>
      </w:r>
    </w:p>
    <w:p w14:paraId="3C995AF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六、培育形式</w:t>
      </w:r>
    </w:p>
    <w:p w14:paraId="22458E6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培育课程主要通过课堂教学(包含线上线下)、实践教学、观 摩交流等形式进行。鼓励培育机构创新教学方法，改进培育形式，提高教学效果。</w:t>
      </w:r>
    </w:p>
    <w:p w14:paraId="0A053EE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课堂教学包括线上线下集中授课。鼓励采取案例教学、参与式教学、互动式教学等形式。线上学习可采取网络直播或课件学 习的方式。线上学习平台应具备完善的在线学习、直播授课、课程 考核及相关统计、监测和评价功能。其中，线上学习学时数不超过 总学时数的15%。</w:t>
      </w:r>
    </w:p>
    <w:p w14:paraId="1F896C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实践教学应在与课程内容直接相关的实习实训场所或生产经 营一线开展，包括场地实训、顶岗实习、跟岗见习、模拟教学、实践 孵化等形式。交流观摩应选取与培育主题相符的地点或主体开展。</w:t>
      </w:r>
    </w:p>
    <w:p w14:paraId="0D5B610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七、培育师资</w:t>
      </w:r>
    </w:p>
    <w:p w14:paraId="6FEF516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培育师资应具备相应课程的专业条件，授课符合课程主题需 求，授课方式易于农民接受，教案内容通俗实用。</w:t>
      </w:r>
    </w:p>
    <w:p w14:paraId="4C4CABE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综合素养课程师资原则上应来自政府及所属事业单位、大中 专院校、科研院所等公益性机构。鼓励聘请农业企业、新型农业经 营主体管理人员等“土专家”以及实操经验丰富的专业人员、技术能手讲授实践课程。“开班第一课”应由各级农业农村部门委派与培训班主题相符的主管单位人员讲授。跟踪服务应配备专门师资 。</w:t>
      </w:r>
    </w:p>
    <w:p w14:paraId="778B196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八、培育教材</w:t>
      </w:r>
    </w:p>
    <w:p w14:paraId="5BFD96A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培育教材包括正式出版物和各级农业农村部门组织编制的培 育手册。培育机构应严把教材质量关，经主管部门审核，选用规 范、先进、实用的培育教材。</w:t>
      </w:r>
    </w:p>
    <w:p w14:paraId="0E57BF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优先选用农业农村部、教育部规划教材和各级农业农村部门 推荐教材。鼓励文字教材和视频教材配合使用。</w:t>
      </w:r>
    </w:p>
    <w:p w14:paraId="6C30834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九、资金使用</w:t>
      </w:r>
    </w:p>
    <w:p w14:paraId="07041AD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当按照相关规定和合同、协议约定的用途使用培育资金。可使用培育资金支付培育全过程环节所需费用，按照“谁使用谁负责”的原则，规范资金使用。不得擅自改变资金用途或擅自转拨资金，不得给培育对象发放补助。</w:t>
      </w:r>
    </w:p>
    <w:p w14:paraId="0D8273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十、培育对象管理</w:t>
      </w:r>
    </w:p>
    <w:p w14:paraId="0D2EB7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培育机构应加强培育对象管理，要求培育对象在集中培育期 间，严格遵守班级管理制度，严禁酗酒、滋事或从事可能影响学习 培训的娱乐活动。</w:t>
      </w:r>
    </w:p>
    <w:p w14:paraId="14BDCE9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十一、结业证书</w:t>
      </w:r>
    </w:p>
    <w:p w14:paraId="528338B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培育机构根据课程考核和考勤情况，综合评价学员学习成果， 对完成学习任务的培育对象颁发结业证书。</w:t>
      </w:r>
    </w:p>
    <w:p w14:paraId="0988ECA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十二、跟踪服务</w:t>
      </w:r>
    </w:p>
    <w:p w14:paraId="52043D7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培育机构应在课堂教学、实践教学和交流观摩全部完成后对 学员开展跟踪服务，时长不超过1年，次数不少于2次。跟踪服务 人数不少于培训班总人数的30%。跟踪服务形式可包括技术指 导、政策推介、发展帮扶、组织交流互助、组织参加与培育主题相关 的展会和技能竞赛等。</w:t>
      </w:r>
    </w:p>
    <w:p w14:paraId="2B8CBB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十三、信息档案</w:t>
      </w:r>
    </w:p>
    <w:p w14:paraId="265E9FA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培育机构应将开班计划、培育对象信息、课程、师资、跟踪服务 情况全部录入农民教育培训信息管理系统，及时更新相关培育、课 程考核和结业证书颁发情况。</w:t>
      </w:r>
    </w:p>
    <w:p w14:paraId="04C83F6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培育机构应建立培育档案，包括开班计划、培育对象信息、课程及考核结果记录、资金支出票据复印件、结业证书发放情况和其 他必要培育信息。培育档案至少保存5年。</w:t>
      </w:r>
    </w:p>
    <w:p w14:paraId="577922DC">
      <w:pPr>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br w:type="page"/>
      </w:r>
    </w:p>
    <w:p w14:paraId="7CDBD4F1">
      <w:pPr>
        <w:jc w:val="center"/>
        <w:outlineLvl w:val="0"/>
        <w:rPr>
          <w:rFonts w:hint="eastAsia" w:ascii="宋体" w:hAnsi="宋体" w:eastAsia="宋体" w:cs="宋体"/>
          <w:b/>
          <w:color w:val="000000" w:themeColor="text1"/>
          <w:kern w:val="1"/>
          <w:sz w:val="32"/>
          <w:szCs w:val="32"/>
          <w:highlight w:val="none"/>
          <w14:textFill>
            <w14:solidFill>
              <w14:schemeClr w14:val="tx1"/>
            </w14:solidFill>
          </w14:textFill>
        </w:rPr>
      </w:pPr>
      <w:bookmarkStart w:id="116" w:name="_Toc14954"/>
      <w:r>
        <w:rPr>
          <w:rFonts w:hint="eastAsia" w:ascii="宋体" w:hAnsi="宋体" w:eastAsia="宋体" w:cs="宋体"/>
          <w:b/>
          <w:color w:val="000000" w:themeColor="text1"/>
          <w:kern w:val="1"/>
          <w:sz w:val="32"/>
          <w:szCs w:val="32"/>
          <w:highlight w:val="none"/>
          <w14:textFill>
            <w14:solidFill>
              <w14:schemeClr w14:val="tx1"/>
            </w14:solidFill>
          </w14:textFill>
        </w:rPr>
        <w:t>第五章 响应文件组成</w:t>
      </w:r>
      <w:bookmarkEnd w:id="96"/>
      <w:bookmarkEnd w:id="97"/>
      <w:bookmarkEnd w:id="98"/>
      <w:bookmarkEnd w:id="99"/>
      <w:bookmarkEnd w:id="116"/>
    </w:p>
    <w:p w14:paraId="280CBB7A">
      <w:pPr>
        <w:spacing w:line="360" w:lineRule="auto"/>
        <w:rPr>
          <w:rFonts w:hint="eastAsia" w:ascii="宋体" w:hAnsi="宋体" w:eastAsia="宋体" w:cs="宋体"/>
          <w:color w:val="000000" w:themeColor="text1"/>
          <w:sz w:val="24"/>
          <w:highlight w:val="none"/>
          <w14:textFill>
            <w14:solidFill>
              <w14:schemeClr w14:val="tx1"/>
            </w14:solidFill>
          </w14:textFill>
        </w:rPr>
      </w:pPr>
    </w:p>
    <w:p w14:paraId="16772410">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供应商的响应文件应包含以下部分：</w:t>
      </w:r>
    </w:p>
    <w:p w14:paraId="5D4153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117" w:name="_Toc9276"/>
      <w:r>
        <w:rPr>
          <w:rFonts w:hint="eastAsia" w:ascii="宋体" w:hAnsi="宋体" w:eastAsia="宋体" w:cs="宋体"/>
          <w:b w:val="0"/>
          <w:bCs w:val="0"/>
          <w:color w:val="000000" w:themeColor="text1"/>
          <w:sz w:val="21"/>
          <w:szCs w:val="21"/>
          <w:highlight w:val="none"/>
          <w14:textFill>
            <w14:solidFill>
              <w14:schemeClr w14:val="tx1"/>
            </w14:solidFill>
          </w14:textFill>
        </w:rPr>
        <w:t>一、磋商响应声明</w:t>
      </w:r>
      <w:bookmarkEnd w:id="117"/>
    </w:p>
    <w:p w14:paraId="67AFAA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118" w:name="_Toc22878"/>
      <w:r>
        <w:rPr>
          <w:rFonts w:hint="eastAsia" w:ascii="宋体" w:hAnsi="宋体" w:eastAsia="宋体" w:cs="宋体"/>
          <w:b w:val="0"/>
          <w:bCs w:val="0"/>
          <w:color w:val="000000" w:themeColor="text1"/>
          <w:sz w:val="21"/>
          <w:szCs w:val="21"/>
          <w:highlight w:val="none"/>
          <w14:textFill>
            <w14:solidFill>
              <w14:schemeClr w14:val="tx1"/>
            </w14:solidFill>
          </w14:textFill>
        </w:rPr>
        <w:t>二、</w:t>
      </w:r>
      <w:bookmarkEnd w:id="118"/>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电子报价一览表</w:t>
      </w:r>
    </w:p>
    <w:p w14:paraId="2640CE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三、供应商的资格证明材料</w:t>
      </w:r>
    </w:p>
    <w:p w14:paraId="72394D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119" w:name="_Toc11482"/>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项目负责人简历表</w:t>
      </w:r>
    </w:p>
    <w:p w14:paraId="62DE19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五、</w:t>
      </w:r>
      <w:bookmarkEnd w:id="119"/>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技术或商务响应偏离表</w:t>
      </w:r>
    </w:p>
    <w:p w14:paraId="390D18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120" w:name="_Toc4973"/>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六</w:t>
      </w:r>
      <w:r>
        <w:rPr>
          <w:rFonts w:hint="eastAsia" w:ascii="宋体" w:hAnsi="宋体" w:eastAsia="宋体" w:cs="宋体"/>
          <w:b w:val="0"/>
          <w:bCs w:val="0"/>
          <w:color w:val="000000" w:themeColor="text1"/>
          <w:sz w:val="21"/>
          <w:szCs w:val="21"/>
          <w:highlight w:val="none"/>
          <w14:textFill>
            <w14:solidFill>
              <w14:schemeClr w14:val="tx1"/>
            </w14:solidFill>
          </w14:textFill>
        </w:rPr>
        <w:t>、</w:t>
      </w:r>
      <w:bookmarkEnd w:id="120"/>
      <w:bookmarkStart w:id="121" w:name="_Toc21208"/>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享受政府采购政策优惠的证明资料</w:t>
      </w:r>
    </w:p>
    <w:p w14:paraId="4F443A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七、</w:t>
      </w:r>
      <w:bookmarkEnd w:id="121"/>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首次报价</w:t>
      </w:r>
      <w:r>
        <w:rPr>
          <w:rFonts w:hint="eastAsia" w:ascii="宋体" w:hAnsi="宋体" w:eastAsia="宋体" w:cs="宋体"/>
          <w:b w:val="0"/>
          <w:bCs w:val="0"/>
          <w:color w:val="000000" w:themeColor="text1"/>
          <w:sz w:val="21"/>
          <w:szCs w:val="21"/>
          <w:highlight w:val="none"/>
          <w14:textFill>
            <w14:solidFill>
              <w14:schemeClr w14:val="tx1"/>
            </w14:solidFill>
          </w14:textFill>
        </w:rPr>
        <w:t>表</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及分项价格标</w:t>
      </w:r>
    </w:p>
    <w:p w14:paraId="15A62D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122" w:name="_Toc19565"/>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val="0"/>
          <w:bCs w:val="0"/>
          <w:color w:val="000000" w:themeColor="text1"/>
          <w:sz w:val="21"/>
          <w:szCs w:val="21"/>
          <w:highlight w:val="none"/>
          <w14:textFill>
            <w14:solidFill>
              <w14:schemeClr w14:val="tx1"/>
            </w14:solidFill>
          </w14:textFill>
        </w:rPr>
        <w:t>、</w:t>
      </w:r>
      <w:bookmarkEnd w:id="122"/>
      <w:bookmarkStart w:id="123" w:name="_Toc5620"/>
      <w:r>
        <w:rPr>
          <w:rFonts w:hint="eastAsia" w:ascii="宋体" w:hAnsi="宋体" w:eastAsia="宋体" w:cs="宋体"/>
          <w:b w:val="0"/>
          <w:bCs w:val="0"/>
          <w:color w:val="000000" w:themeColor="text1"/>
          <w:sz w:val="21"/>
          <w:szCs w:val="21"/>
          <w:highlight w:val="none"/>
          <w14:textFill>
            <w14:solidFill>
              <w14:schemeClr w14:val="tx1"/>
            </w14:solidFill>
          </w14:textFill>
        </w:rPr>
        <w:t>供应商包号选择书面确认函</w:t>
      </w:r>
    </w:p>
    <w:p w14:paraId="22787C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九、</w:t>
      </w:r>
      <w:r>
        <w:rPr>
          <w:rFonts w:hint="eastAsia" w:ascii="宋体" w:hAnsi="宋体" w:eastAsia="宋体" w:cs="宋体"/>
          <w:b w:val="0"/>
          <w:bCs w:val="0"/>
          <w:color w:val="000000" w:themeColor="text1"/>
          <w:sz w:val="21"/>
          <w:szCs w:val="21"/>
          <w:highlight w:val="none"/>
          <w14:textFill>
            <w14:solidFill>
              <w14:schemeClr w14:val="tx1"/>
            </w14:solidFill>
          </w14:textFill>
        </w:rPr>
        <w:t>供应商认为需要提供的其它资料</w:t>
      </w:r>
      <w:bookmarkEnd w:id="123"/>
    </w:p>
    <w:p w14:paraId="295B7A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124" w:name="_Toc5241"/>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十</w:t>
      </w:r>
      <w:r>
        <w:rPr>
          <w:rFonts w:hint="eastAsia" w:ascii="宋体" w:hAnsi="宋体" w:eastAsia="宋体" w:cs="宋体"/>
          <w:b w:val="0"/>
          <w:bCs w:val="0"/>
          <w:color w:val="000000" w:themeColor="text1"/>
          <w:sz w:val="21"/>
          <w:szCs w:val="21"/>
          <w:highlight w:val="none"/>
          <w14:textFill>
            <w14:solidFill>
              <w14:schemeClr w14:val="tx1"/>
            </w14:solidFill>
          </w14:textFill>
        </w:rPr>
        <w:t>、最后报价</w:t>
      </w:r>
      <w:bookmarkEnd w:id="124"/>
    </w:p>
    <w:p w14:paraId="70C50DF9">
      <w:pPr>
        <w:rPr>
          <w:rFonts w:hint="eastAsia" w:ascii="宋体" w:hAnsi="宋体" w:eastAsia="宋体" w:cs="宋体"/>
          <w:color w:val="000000" w:themeColor="text1"/>
          <w:sz w:val="24"/>
          <w:szCs w:val="24"/>
          <w:highlight w:val="none"/>
          <w14:textFill>
            <w14:solidFill>
              <w14:schemeClr w14:val="tx1"/>
            </w14:solidFill>
          </w14:textFill>
        </w:rPr>
      </w:pPr>
    </w:p>
    <w:p w14:paraId="4E6D73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注：本响应文件组成内容及格式与系统生成的电子招标文件的内容及格式不一致的，以系统生成的电子招标文件的内容及格式为准。</w:t>
      </w:r>
      <w:r>
        <w:rPr>
          <w:rFonts w:hint="eastAsia" w:ascii="宋体" w:hAnsi="宋体" w:eastAsia="宋体" w:cs="宋体"/>
          <w:color w:val="000000" w:themeColor="text1"/>
          <w:szCs w:val="21"/>
          <w:highlight w:val="none"/>
          <w14:textFill>
            <w14:solidFill>
              <w14:schemeClr w14:val="tx1"/>
            </w14:solidFill>
          </w14:textFill>
        </w:rPr>
        <w:br w:type="page"/>
      </w:r>
    </w:p>
    <w:p w14:paraId="015800B9">
      <w:pPr>
        <w:rPr>
          <w:rFonts w:hint="eastAsia" w:ascii="宋体" w:hAnsi="宋体" w:eastAsia="宋体" w:cs="宋体"/>
          <w:color w:val="000000" w:themeColor="text1"/>
          <w:highlight w:val="none"/>
          <w14:textFill>
            <w14:solidFill>
              <w14:schemeClr w14:val="tx1"/>
            </w14:solidFill>
          </w14:textFill>
        </w:rPr>
      </w:pPr>
    </w:p>
    <w:p w14:paraId="1605AA78">
      <w:pPr>
        <w:pStyle w:val="40"/>
        <w:rPr>
          <w:rFonts w:hint="eastAsia" w:ascii="宋体" w:hAnsi="宋体" w:eastAsia="宋体" w:cs="宋体"/>
          <w:color w:val="000000" w:themeColor="text1"/>
          <w:highlight w:val="none"/>
          <w14:textFill>
            <w14:solidFill>
              <w14:schemeClr w14:val="tx1"/>
            </w14:solidFill>
          </w14:textFill>
        </w:rPr>
      </w:pPr>
    </w:p>
    <w:p w14:paraId="3892A9FA">
      <w:pPr>
        <w:pStyle w:val="40"/>
        <w:rPr>
          <w:rFonts w:hint="eastAsia" w:ascii="宋体" w:hAnsi="宋体" w:eastAsia="宋体" w:cs="宋体"/>
          <w:color w:val="000000" w:themeColor="text1"/>
          <w:highlight w:val="none"/>
          <w14:textFill>
            <w14:solidFill>
              <w14:schemeClr w14:val="tx1"/>
            </w14:solidFill>
          </w14:textFill>
        </w:rPr>
      </w:pPr>
    </w:p>
    <w:p w14:paraId="42BD9E55">
      <w:pPr>
        <w:pStyle w:val="40"/>
        <w:rPr>
          <w:rFonts w:hint="eastAsia" w:ascii="宋体" w:hAnsi="宋体" w:eastAsia="宋体" w:cs="宋体"/>
          <w:color w:val="000000" w:themeColor="text1"/>
          <w:highlight w:val="none"/>
          <w14:textFill>
            <w14:solidFill>
              <w14:schemeClr w14:val="tx1"/>
            </w14:solidFill>
          </w14:textFill>
        </w:rPr>
      </w:pPr>
    </w:p>
    <w:p w14:paraId="0AF90AAF">
      <w:pPr>
        <w:pStyle w:val="21"/>
        <w:keepNext w:val="0"/>
        <w:keepLines w:val="0"/>
        <w:widowControl/>
        <w:suppressLineNumbers w:val="0"/>
        <w:spacing w:beforeAutospacing="1" w:afterAutospacing="1" w:line="384" w:lineRule="auto"/>
        <w:jc w:val="center"/>
        <w:rPr>
          <w:rFonts w:hint="eastAsia" w:ascii="宋体" w:hAnsi="宋体" w:eastAsia="宋体" w:cs="宋体"/>
          <w:b/>
          <w:bCs/>
          <w:color w:val="000000" w:themeColor="text1"/>
          <w:sz w:val="90"/>
          <w:szCs w:val="90"/>
          <w:highlight w:val="none"/>
          <w14:textFill>
            <w14:solidFill>
              <w14:schemeClr w14:val="tx1"/>
            </w14:solidFill>
          </w14:textFill>
        </w:rPr>
      </w:pPr>
      <w:r>
        <w:rPr>
          <w:rFonts w:hint="eastAsia" w:ascii="宋体" w:hAnsi="宋体" w:eastAsia="宋体" w:cs="宋体"/>
          <w:b/>
          <w:bCs/>
          <w:color w:val="000000" w:themeColor="text1"/>
          <w:sz w:val="90"/>
          <w:szCs w:val="90"/>
          <w:highlight w:val="none"/>
          <w14:textFill>
            <w14:solidFill>
              <w14:schemeClr w14:val="tx1"/>
            </w14:solidFill>
          </w14:textFill>
        </w:rPr>
        <w:t>湘西州政府采购</w:t>
      </w:r>
    </w:p>
    <w:p w14:paraId="21B83DA1">
      <w:pPr>
        <w:pStyle w:val="21"/>
        <w:keepNext w:val="0"/>
        <w:keepLines w:val="0"/>
        <w:widowControl/>
        <w:suppressLineNumbers w:val="0"/>
        <w:spacing w:beforeAutospacing="1" w:afterAutospacing="1" w:line="384" w:lineRule="auto"/>
        <w:jc w:val="center"/>
        <w:rPr>
          <w:rFonts w:hint="eastAsia" w:ascii="宋体" w:hAnsi="宋体" w:eastAsia="宋体" w:cs="宋体"/>
          <w:b/>
          <w:bCs/>
          <w:color w:val="000000" w:themeColor="text1"/>
          <w:sz w:val="90"/>
          <w:szCs w:val="90"/>
          <w:highlight w:val="none"/>
          <w14:textFill>
            <w14:solidFill>
              <w14:schemeClr w14:val="tx1"/>
            </w14:solidFill>
          </w14:textFill>
        </w:rPr>
      </w:pPr>
      <w:r>
        <w:rPr>
          <w:rFonts w:hint="eastAsia" w:ascii="宋体" w:hAnsi="宋体" w:eastAsia="宋体" w:cs="宋体"/>
          <w:b/>
          <w:bCs/>
          <w:color w:val="000000" w:themeColor="text1"/>
          <w:sz w:val="90"/>
          <w:szCs w:val="90"/>
          <w:highlight w:val="none"/>
          <w14:textFill>
            <w14:solidFill>
              <w14:schemeClr w14:val="tx1"/>
            </w14:solidFill>
          </w14:textFill>
        </w:rPr>
        <w:t>电子响应文件</w:t>
      </w:r>
    </w:p>
    <w:p w14:paraId="606B7F82">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采购项目名称：</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01949873">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采    购   人：</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161394BC">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政府采购编号：</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53DB5CA0">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采购代理机构：</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001F3C1B">
      <w:pPr>
        <w:pStyle w:val="21"/>
        <w:keepNext w:val="0"/>
        <w:keepLines w:val="0"/>
        <w:widowControl/>
        <w:suppressLineNumbers w:val="0"/>
        <w:spacing w:beforeAutospacing="1" w:afterAutospacing="1" w:line="384" w:lineRule="auto"/>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p>
    <w:p w14:paraId="2BD0BE55">
      <w:pPr>
        <w:pStyle w:val="21"/>
        <w:keepNext w:val="0"/>
        <w:keepLines w:val="0"/>
        <w:widowControl/>
        <w:suppressLineNumbers w:val="0"/>
        <w:spacing w:beforeAutospacing="1" w:afterAutospacing="1" w:line="384" w:lineRule="auto"/>
        <w:ind w:firstLine="2240" w:firstLineChars="700"/>
        <w:jc w:val="both"/>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投标人：</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66EACE35">
      <w:pPr>
        <w:pStyle w:val="21"/>
        <w:keepNext w:val="0"/>
        <w:keepLines w:val="0"/>
        <w:widowControl/>
        <w:suppressLineNumbers w:val="0"/>
        <w:spacing w:beforeAutospacing="1" w:afterAutospacing="1" w:line="384" w:lineRule="auto"/>
        <w:ind w:firstLine="2240" w:firstLineChars="700"/>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日  期：</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7255A826">
      <w:pPr>
        <w:rPr>
          <w:rFonts w:hint="eastAsia" w:ascii="宋体" w:hAnsi="宋体" w:eastAsia="宋体" w:cs="宋体"/>
          <w:b/>
          <w:bCs/>
          <w:color w:val="000000" w:themeColor="text1"/>
          <w:sz w:val="72"/>
          <w:szCs w:val="72"/>
          <w:highlight w:val="none"/>
          <w14:textFill>
            <w14:solidFill>
              <w14:schemeClr w14:val="tx1"/>
            </w14:solidFill>
          </w14:textFill>
        </w:rPr>
      </w:pPr>
      <w:r>
        <w:rPr>
          <w:rFonts w:hint="eastAsia" w:ascii="宋体" w:hAnsi="宋体" w:eastAsia="宋体" w:cs="宋体"/>
          <w:color w:val="000000" w:themeColor="text1"/>
          <w:sz w:val="27"/>
          <w:szCs w:val="27"/>
          <w:highlight w:val="none"/>
          <w14:textFill>
            <w14:solidFill>
              <w14:schemeClr w14:val="tx1"/>
            </w14:solidFill>
          </w14:textFill>
        </w:rPr>
        <w:t> </w:t>
      </w:r>
    </w:p>
    <w:p w14:paraId="4EC161CF">
      <w:pPr>
        <w:pStyle w:val="11"/>
        <w:spacing w:line="240" w:lineRule="exact"/>
        <w:rPr>
          <w:rFonts w:hint="eastAsia" w:ascii="宋体" w:hAnsi="宋体" w:eastAsia="宋体" w:cs="宋体"/>
          <w:color w:val="000000" w:themeColor="text1"/>
          <w:highlight w:val="none"/>
          <w14:textFill>
            <w14:solidFill>
              <w14:schemeClr w14:val="tx1"/>
            </w14:solidFill>
          </w14:textFill>
        </w:rPr>
      </w:pPr>
    </w:p>
    <w:p w14:paraId="540483DB">
      <w:pPr>
        <w:rPr>
          <w:rFonts w:hint="eastAsia" w:ascii="宋体" w:hAnsi="宋体" w:eastAsia="宋体" w:cs="宋体"/>
          <w:color w:val="000000" w:themeColor="text1"/>
          <w:highlight w:val="none"/>
          <w14:textFill>
            <w14:solidFill>
              <w14:schemeClr w14:val="tx1"/>
            </w14:solidFill>
          </w14:textFill>
        </w:rPr>
      </w:pPr>
    </w:p>
    <w:p w14:paraId="46CD1C54">
      <w:pPr>
        <w:rPr>
          <w:rFonts w:hint="eastAsia" w:ascii="宋体" w:hAnsi="宋体" w:eastAsia="宋体" w:cs="宋体"/>
          <w:color w:val="000000" w:themeColor="text1"/>
          <w:szCs w:val="21"/>
          <w:highlight w:val="none"/>
          <w14:textFill>
            <w14:solidFill>
              <w14:schemeClr w14:val="tx1"/>
            </w14:solidFill>
          </w14:textFill>
        </w:rPr>
      </w:pPr>
    </w:p>
    <w:p w14:paraId="0287A1F6">
      <w:pPr>
        <w:rPr>
          <w:rFonts w:hint="eastAsia" w:ascii="宋体" w:hAnsi="宋体" w:eastAsia="宋体" w:cs="宋体"/>
          <w:b/>
          <w:color w:val="000000" w:themeColor="text1"/>
          <w:sz w:val="32"/>
          <w:szCs w:val="32"/>
          <w:highlight w:val="none"/>
          <w14:textFill>
            <w14:solidFill>
              <w14:schemeClr w14:val="tx1"/>
            </w14:solidFill>
          </w14:textFill>
        </w:rPr>
      </w:pPr>
      <w:bookmarkStart w:id="125" w:name="_Toc16763"/>
      <w:r>
        <w:rPr>
          <w:rFonts w:hint="eastAsia" w:ascii="宋体" w:hAnsi="宋体" w:eastAsia="宋体" w:cs="宋体"/>
          <w:b/>
          <w:color w:val="000000" w:themeColor="text1"/>
          <w:sz w:val="32"/>
          <w:szCs w:val="32"/>
          <w:highlight w:val="none"/>
          <w14:textFill>
            <w14:solidFill>
              <w14:schemeClr w14:val="tx1"/>
            </w14:solidFill>
          </w14:textFill>
        </w:rPr>
        <w:br w:type="page"/>
      </w:r>
    </w:p>
    <w:p w14:paraId="70B70F58">
      <w:pPr>
        <w:adjustRightInd w:val="0"/>
        <w:snapToGrid w:val="0"/>
        <w:spacing w:line="480" w:lineRule="auto"/>
        <w:jc w:val="center"/>
        <w:outlineLvl w:val="1"/>
        <w:rPr>
          <w:rFonts w:hint="eastAsia" w:ascii="宋体" w:hAnsi="宋体" w:eastAsia="宋体" w:cs="宋体"/>
          <w:b/>
          <w:color w:val="000000" w:themeColor="text1"/>
          <w:sz w:val="32"/>
          <w:szCs w:val="32"/>
          <w:highlight w:val="none"/>
          <w14:textFill>
            <w14:solidFill>
              <w14:schemeClr w14:val="tx1"/>
            </w14:solidFill>
          </w14:textFill>
        </w:rPr>
      </w:pPr>
      <w:bookmarkStart w:id="126" w:name="_Toc26927"/>
      <w:r>
        <w:rPr>
          <w:rFonts w:hint="eastAsia" w:ascii="宋体" w:hAnsi="宋体" w:eastAsia="宋体" w:cs="宋体"/>
          <w:b/>
          <w:color w:val="000000" w:themeColor="text1"/>
          <w:sz w:val="32"/>
          <w:szCs w:val="32"/>
          <w:highlight w:val="none"/>
          <w14:textFill>
            <w14:solidFill>
              <w14:schemeClr w14:val="tx1"/>
            </w14:solidFill>
          </w14:textFill>
        </w:rPr>
        <w:t>一、磋商响应声明</w:t>
      </w:r>
      <w:bookmarkEnd w:id="125"/>
      <w:bookmarkEnd w:id="126"/>
    </w:p>
    <w:p w14:paraId="5DF651D2">
      <w:pPr>
        <w:keepNext w:val="0"/>
        <w:keepLines w:val="0"/>
        <w:pageBreakBefore w:val="0"/>
        <w:widowControl w:val="0"/>
        <w:kinsoku/>
        <w:wordWrap/>
        <w:overflowPunct/>
        <w:topLinePunct w:val="0"/>
        <w:autoSpaceDE/>
        <w:autoSpaceDN/>
        <w:bidi w:val="0"/>
        <w:adjustRightInd w:val="0"/>
        <w:snapToGrid w:val="0"/>
        <w:spacing w:line="48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(采购人或采购代理机构)：</w:t>
      </w:r>
    </w:p>
    <w:p w14:paraId="0C1B0555">
      <w:pPr>
        <w:keepNext w:val="0"/>
        <w:keepLines w:val="0"/>
        <w:pageBreakBefore w:val="0"/>
        <w:widowControl w:val="0"/>
        <w:kinsoku/>
        <w:wordWrap/>
        <w:overflowPunct/>
        <w:topLinePunct w:val="0"/>
        <w:autoSpaceDE/>
        <w:autoSpaceDN/>
        <w:bidi w:val="0"/>
        <w:adjustRightInd w:val="0"/>
        <w:snapToGrid w:val="0"/>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我方已仔细研究了</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14:textFill>
            <w14:solidFill>
              <w14:schemeClr w14:val="tx1"/>
            </w14:solidFill>
          </w14:textFill>
        </w:rPr>
        <w:t>项目名称)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的竞争性磋商文件（政府采购</w:t>
      </w:r>
      <w:r>
        <w:rPr>
          <w:rFonts w:hint="eastAsia" w:ascii="宋体" w:hAnsi="宋体" w:eastAsia="宋体" w:cs="宋体"/>
          <w:color w:val="000000" w:themeColor="text1"/>
          <w:sz w:val="24"/>
          <w:szCs w:val="24"/>
          <w:highlight w:val="none"/>
          <w:lang w:val="en-US" w:eastAsia="zh-CN"/>
          <w14:textFill>
            <w14:solidFill>
              <w14:schemeClr w14:val="tx1"/>
            </w14:solidFill>
          </w14:textFill>
        </w:rPr>
        <w:t>计划</w:t>
      </w:r>
      <w:r>
        <w:rPr>
          <w:rFonts w:hint="eastAsia" w:ascii="宋体" w:hAnsi="宋体" w:eastAsia="宋体" w:cs="宋体"/>
          <w:color w:val="000000" w:themeColor="text1"/>
          <w:sz w:val="24"/>
          <w:szCs w:val="24"/>
          <w:highlight w:val="none"/>
          <w14:textFill>
            <w14:solidFill>
              <w14:schemeClr w14:val="tx1"/>
            </w14:solidFill>
          </w14:textFill>
        </w:rPr>
        <w:t>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）的全部内容，知悉参加竞争性磋商的风险，我方承诺接受磋商文件的全部条款且无任何异议。</w:t>
      </w:r>
    </w:p>
    <w:p w14:paraId="3E751B15">
      <w:pPr>
        <w:pStyle w:val="15"/>
        <w:keepNext w:val="0"/>
        <w:keepLines w:val="0"/>
        <w:pageBreakBefore w:val="0"/>
        <w:widowControl w:val="0"/>
        <w:kinsoku/>
        <w:wordWrap/>
        <w:overflowPunct/>
        <w:topLinePunct w:val="0"/>
        <w:autoSpaceDE/>
        <w:autoSpaceDN/>
        <w:bidi w:val="0"/>
        <w:adjustRightInd w:val="0"/>
        <w:snapToGrid w:val="0"/>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一、我方同意在磋商文件中规定的提交首次响应文件截止时间起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60</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日内(响应文件有效期)遵守本响应文件中的承诺且在此期限期满之前均具有法律约束力。</w:t>
      </w:r>
    </w:p>
    <w:p w14:paraId="31BAE6A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二、我方提交响应文件</w:t>
      </w:r>
      <w:r>
        <w:rPr>
          <w:rFonts w:hint="eastAsia" w:ascii="宋体" w:hAnsi="宋体" w:eastAsia="宋体" w:cs="宋体"/>
          <w:color w:val="000000" w:themeColor="text1"/>
          <w:sz w:val="24"/>
          <w:szCs w:val="24"/>
          <w:highlight w:val="none"/>
          <w:lang w:val="en-US" w:eastAsia="zh-CN"/>
          <w14:textFill>
            <w14:solidFill>
              <w14:schemeClr w14:val="tx1"/>
            </w14:solidFill>
          </w14:textFill>
        </w:rPr>
        <w:t>电子文件壹份</w:t>
      </w:r>
      <w:r>
        <w:rPr>
          <w:rFonts w:hint="eastAsia" w:ascii="宋体" w:hAnsi="宋体" w:eastAsia="宋体" w:cs="宋体"/>
          <w:color w:val="000000" w:themeColor="text1"/>
          <w:sz w:val="24"/>
          <w:szCs w:val="24"/>
          <w:highlight w:val="none"/>
          <w14:textFill>
            <w14:solidFill>
              <w14:schemeClr w14:val="tx1"/>
            </w14:solidFill>
          </w14:textFill>
        </w:rPr>
        <w:t>，并保证响应文件提供的数据和资料全部内容真实、合法、准确和完整，我们对此负责，并愿承担由此引起的法律责任。</w:t>
      </w:r>
    </w:p>
    <w:p w14:paraId="6DA1D98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三、我方愿意向贵方提供任何与本项采购有关的数据、情况和技术资料。若贵方需要，我方愿意提供我方作出的一切承诺的证明资料。</w:t>
      </w:r>
    </w:p>
    <w:p w14:paraId="05ABE7E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四、我方愿意按磋商文件规定和磋商小组要求重新提交响应文件和最后报价。</w:t>
      </w:r>
    </w:p>
    <w:p w14:paraId="1203023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五、我方承诺遵守《中华人民共和国政府采购法》的有关规定，保证在获得成交资格后，按照磋商文件确定的事项签订政府采购合同，履行双方所签订的合同，并承担合同规定的责任和义务。</w:t>
      </w:r>
    </w:p>
    <w:p w14:paraId="08E75E8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六、我方在此声明： </w:t>
      </w:r>
    </w:p>
    <w:p w14:paraId="1B095C0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（一）我方与采购人或采购代理机构不存在隶属关系或者其他利害关系。</w:t>
      </w:r>
    </w:p>
    <w:p w14:paraId="0FC2463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（二）我方与参加本项目的其他供应商不存在直接控股、管理关系，或者与其他供应商法定代表人（或者负责人）为同一人。</w:t>
      </w:r>
    </w:p>
    <w:p w14:paraId="7D6CA2C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（三）我方未为本项目前期准备提供设计或咨询服务。</w:t>
      </w:r>
    </w:p>
    <w:p w14:paraId="34CFC0E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（四）我方承诺（承诺期：成立三年以上的，为提交首次响应文件截止时间前三年内；成立不足三年的，为实际时间）：</w:t>
      </w:r>
    </w:p>
    <w:p w14:paraId="74E15DA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1、我方依法缴纳了各项税费及各项社会保障资金，没有偷税、漏税及欠缴行为。</w:t>
      </w:r>
    </w:p>
    <w:p w14:paraId="7BA159D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2、我方在经营活动中没有存在下列重大违法记录：</w:t>
      </w:r>
    </w:p>
    <w:p w14:paraId="672E3A5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(1)受到刑事处罚；</w:t>
      </w:r>
    </w:p>
    <w:p w14:paraId="7294464C">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(2)受到</w:t>
      </w:r>
      <w:r>
        <w:rPr>
          <w:rFonts w:hint="eastAsia" w:ascii="宋体" w:hAnsi="宋体" w:eastAsia="宋体" w:cs="宋体"/>
          <w:color w:val="000000" w:themeColor="text1"/>
          <w:sz w:val="24"/>
          <w:szCs w:val="24"/>
          <w:highlight w:val="none"/>
          <w:lang w:eastAsia="zh-CN"/>
          <w14:textFill>
            <w14:solidFill>
              <w14:schemeClr w14:val="tx1"/>
            </w14:solidFill>
          </w14:textFill>
        </w:rPr>
        <w:t>较大</w:t>
      </w:r>
      <w:r>
        <w:rPr>
          <w:rFonts w:hint="eastAsia" w:ascii="宋体" w:hAnsi="宋体" w:eastAsia="宋体" w:cs="宋体"/>
          <w:color w:val="000000" w:themeColor="text1"/>
          <w:sz w:val="24"/>
          <w:szCs w:val="24"/>
          <w:highlight w:val="none"/>
          <w14:textFill>
            <w14:solidFill>
              <w14:schemeClr w14:val="tx1"/>
            </w14:solidFill>
          </w14:textFill>
        </w:rPr>
        <w:t>的罚款、责令停产停业、在一至三年内禁止参加政府采购活动、暂扣或者吊销许可证、暂扣或者吊销执照的行政处罚。</w:t>
      </w:r>
    </w:p>
    <w:p w14:paraId="25098BC6">
      <w:pPr>
        <w:spacing w:line="480" w:lineRule="auto"/>
        <w:rPr>
          <w:rFonts w:hint="eastAsia" w:ascii="宋体" w:hAnsi="宋体" w:eastAsia="宋体" w:cs="宋体"/>
          <w:color w:val="000000" w:themeColor="text1"/>
          <w:sz w:val="24"/>
          <w:szCs w:val="24"/>
          <w:highlight w:val="none"/>
          <w14:textFill>
            <w14:solidFill>
              <w14:schemeClr w14:val="tx1"/>
            </w14:solidFill>
          </w14:textFill>
        </w:rPr>
      </w:pPr>
    </w:p>
    <w:p w14:paraId="41B71FAC">
      <w:pPr>
        <w:adjustRightInd w:val="0"/>
        <w:snapToGrid w:val="0"/>
        <w:spacing w:line="480" w:lineRule="auto"/>
        <w:ind w:right="24"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附件1</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Cs/>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身份证明</w:t>
      </w:r>
    </w:p>
    <w:p w14:paraId="6FF6092D">
      <w:pPr>
        <w:adjustRightInd w:val="0"/>
        <w:snapToGrid w:val="0"/>
        <w:spacing w:line="480" w:lineRule="auto"/>
        <w:ind w:right="24"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Cs/>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授权书</w:t>
      </w:r>
    </w:p>
    <w:p w14:paraId="3D6F42A8">
      <w:pPr>
        <w:pStyle w:val="15"/>
        <w:adjustRightInd w:val="0"/>
        <w:snapToGrid w:val="0"/>
        <w:spacing w:line="48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320FCABF">
      <w:pPr>
        <w:pStyle w:val="15"/>
        <w:adjustRightInd w:val="0"/>
        <w:snapToGrid w:val="0"/>
        <w:spacing w:line="480" w:lineRule="auto"/>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供应商名称(盖单位章)：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7A337E21">
      <w:pPr>
        <w:adjustRightInd w:val="0"/>
        <w:snapToGrid w:val="0"/>
        <w:spacing w:line="480" w:lineRule="auto"/>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或委托代理人 (签字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8553187">
      <w:pPr>
        <w:spacing w:line="48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w:t>
      </w:r>
    </w:p>
    <w:p w14:paraId="11CC60B9">
      <w:pPr>
        <w:rPr>
          <w:rFonts w:hint="eastAsia" w:ascii="宋体" w:hAnsi="宋体" w:eastAsia="宋体" w:cs="宋体"/>
          <w:bCs/>
          <w:color w:val="000000" w:themeColor="text1"/>
          <w:szCs w:val="21"/>
          <w:highlight w:val="none"/>
          <w14:textFill>
            <w14:solidFill>
              <w14:schemeClr w14:val="tx1"/>
            </w14:solidFill>
          </w14:textFill>
        </w:rPr>
      </w:pPr>
    </w:p>
    <w:p w14:paraId="1A443D84">
      <w:pPr>
        <w:rPr>
          <w:rFonts w:hint="eastAsia" w:ascii="宋体" w:hAnsi="宋体" w:eastAsia="宋体" w:cs="宋体"/>
          <w:color w:val="000000" w:themeColor="text1"/>
          <w:sz w:val="28"/>
          <w:szCs w:val="28"/>
          <w:highlight w:val="none"/>
          <w14:textFill>
            <w14:solidFill>
              <w14:schemeClr w14:val="tx1"/>
            </w14:solidFill>
          </w14:textFill>
        </w:rPr>
      </w:pPr>
      <w:bookmarkStart w:id="127" w:name="_Toc14063"/>
      <w:r>
        <w:rPr>
          <w:rFonts w:hint="eastAsia" w:ascii="宋体" w:hAnsi="宋体" w:eastAsia="宋体" w:cs="宋体"/>
          <w:color w:val="000000" w:themeColor="text1"/>
          <w:sz w:val="28"/>
          <w:szCs w:val="28"/>
          <w:highlight w:val="none"/>
          <w14:textFill>
            <w14:solidFill>
              <w14:schemeClr w14:val="tx1"/>
            </w14:solidFill>
          </w14:textFill>
        </w:rPr>
        <w:br w:type="page"/>
      </w:r>
    </w:p>
    <w:p w14:paraId="66936AE9">
      <w:pPr>
        <w:pStyle w:val="4"/>
        <w:bidi w:val="0"/>
        <w:spacing w:line="360" w:lineRule="auto"/>
        <w:rPr>
          <w:rFonts w:hint="eastAsia" w:ascii="宋体" w:hAnsi="宋体" w:eastAsia="宋体" w:cs="宋体"/>
          <w:color w:val="000000" w:themeColor="text1"/>
          <w:sz w:val="28"/>
          <w:szCs w:val="28"/>
          <w:highlight w:val="none"/>
          <w14:textFill>
            <w14:solidFill>
              <w14:schemeClr w14:val="tx1"/>
            </w14:solidFill>
          </w14:textFill>
        </w:rPr>
      </w:pPr>
      <w:bookmarkStart w:id="128" w:name="_Toc31608"/>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1-</w:t>
      </w:r>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法定代表人</w:t>
      </w:r>
      <w:r>
        <w:rPr>
          <w:rFonts w:hint="eastAsia" w:ascii="宋体" w:hAnsi="宋体" w:eastAsia="宋体" w:cs="宋体"/>
          <w:color w:val="000000" w:themeColor="text1"/>
          <w:sz w:val="28"/>
          <w:szCs w:val="28"/>
          <w:highlight w:val="none"/>
          <w:lang w:val="en-US" w:eastAsia="zh-CN"/>
          <w14:textFill>
            <w14:solidFill>
              <w14:schemeClr w14:val="tx1"/>
            </w14:solidFill>
          </w14:textFill>
        </w:rPr>
        <w:t>（单位负责人）</w:t>
      </w:r>
      <w:r>
        <w:rPr>
          <w:rFonts w:hint="eastAsia" w:ascii="宋体" w:hAnsi="宋体" w:eastAsia="宋体" w:cs="宋体"/>
          <w:color w:val="000000" w:themeColor="text1"/>
          <w:sz w:val="28"/>
          <w:szCs w:val="28"/>
          <w:highlight w:val="none"/>
          <w14:textFill>
            <w14:solidFill>
              <w14:schemeClr w14:val="tx1"/>
            </w14:solidFill>
          </w14:textFill>
        </w:rPr>
        <w:t>身份证明</w:t>
      </w:r>
      <w:bookmarkEnd w:id="127"/>
      <w:bookmarkEnd w:id="128"/>
    </w:p>
    <w:p w14:paraId="3FC0FD9C">
      <w:pPr>
        <w:rPr>
          <w:rFonts w:hint="eastAsia" w:ascii="宋体" w:hAnsi="宋体" w:eastAsia="宋体" w:cs="宋体"/>
          <w:color w:val="000000" w:themeColor="text1"/>
          <w:sz w:val="21"/>
          <w:szCs w:val="21"/>
          <w:highlight w:val="none"/>
          <w:lang w:eastAsia="zh-CN"/>
          <w14:textFill>
            <w14:solidFill>
              <w14:schemeClr w14:val="tx1"/>
            </w14:solidFill>
          </w14:textFill>
        </w:rPr>
      </w:pPr>
    </w:p>
    <w:p w14:paraId="55C1716F">
      <w:pPr>
        <w:spacing w:line="360" w:lineRule="auto"/>
        <w:jc w:val="center"/>
        <w:outlineLvl w:val="9"/>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法定代表人</w:t>
      </w: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（单位负责人）</w:t>
      </w:r>
      <w:r>
        <w:rPr>
          <w:rFonts w:hint="eastAsia" w:ascii="宋体" w:hAnsi="宋体" w:eastAsia="宋体" w:cs="宋体"/>
          <w:b/>
          <w:bCs w:val="0"/>
          <w:color w:val="000000" w:themeColor="text1"/>
          <w:sz w:val="28"/>
          <w:szCs w:val="28"/>
          <w:highlight w:val="none"/>
          <w14:textFill>
            <w14:solidFill>
              <w14:schemeClr w14:val="tx1"/>
            </w14:solidFill>
          </w14:textFill>
        </w:rPr>
        <w:t>身份证明</w:t>
      </w:r>
    </w:p>
    <w:p w14:paraId="165EF0B7">
      <w:pPr>
        <w:rPr>
          <w:rFonts w:hint="eastAsia" w:ascii="宋体" w:hAnsi="宋体" w:eastAsia="宋体" w:cs="宋体"/>
          <w:color w:val="000000" w:themeColor="text1"/>
          <w:highlight w:val="none"/>
          <w14:textFill>
            <w14:solidFill>
              <w14:schemeClr w14:val="tx1"/>
            </w14:solidFill>
          </w14:textFill>
        </w:rPr>
      </w:pPr>
    </w:p>
    <w:p w14:paraId="665BF07F">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kern w:val="0"/>
          <w:sz w:val="24"/>
          <w:szCs w:val="24"/>
          <w:highlight w:val="none"/>
          <w14:textFill>
            <w14:solidFill>
              <w14:schemeClr w14:val="tx1"/>
            </w14:solidFill>
          </w14:textFill>
        </w:rPr>
        <w:t>名称：</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p>
    <w:p w14:paraId="3C0B244C">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统一社会信用代码：</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p>
    <w:p w14:paraId="3A72B0E3">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注册地址：</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p>
    <w:p w14:paraId="7ECCD5E0">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 xml:space="preserve">成立时间：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年</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月</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日</w:t>
      </w:r>
    </w:p>
    <w:p w14:paraId="6CED9828">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经营期限：</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p>
    <w:p w14:paraId="7FCFB195">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经营范围：主营：</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；兼营：</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p>
    <w:p w14:paraId="53693AB1">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姓名：</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 xml:space="preserve"> 性别：</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 xml:space="preserve"> 年龄：</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 xml:space="preserve"> 系</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kern w:val="0"/>
          <w:sz w:val="24"/>
          <w:szCs w:val="24"/>
          <w:highlight w:val="none"/>
          <w14:textFill>
            <w14:solidFill>
              <w14:schemeClr w14:val="tx1"/>
            </w14:solidFill>
          </w14:textFill>
        </w:rPr>
        <w:t>名称）的法定代表人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0E0432B1">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特此证明。</w:t>
      </w:r>
    </w:p>
    <w:p w14:paraId="0CF17810">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身份证复印件</w:t>
      </w:r>
    </w:p>
    <w:tbl>
      <w:tblPr>
        <w:tblStyle w:val="25"/>
        <w:tblW w:w="4893" w:type="pct"/>
        <w:jc w:val="center"/>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autofit"/>
        <w:tblCellMar>
          <w:top w:w="0" w:type="dxa"/>
          <w:left w:w="108" w:type="dxa"/>
          <w:bottom w:w="0" w:type="dxa"/>
          <w:right w:w="108" w:type="dxa"/>
        </w:tblCellMar>
      </w:tblPr>
      <w:tblGrid>
        <w:gridCol w:w="9310"/>
      </w:tblGrid>
      <w:tr w14:paraId="2B91A629">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trHeight w:val="2471" w:hRule="atLeast"/>
          <w:jc w:val="center"/>
        </w:trPr>
        <w:tc>
          <w:tcPr>
            <w:tcW w:w="5000" w:type="pct"/>
            <w:tcBorders>
              <w:top w:val="single" w:color="auto" w:sz="12" w:space="0"/>
              <w:bottom w:val="single" w:color="auto" w:sz="12" w:space="0"/>
            </w:tcBorders>
            <w:noWrap w:val="0"/>
            <w:vAlign w:val="center"/>
          </w:tcPr>
          <w:p w14:paraId="5F6C022C">
            <w:pPr>
              <w:keepNext w:val="0"/>
              <w:keepLines w:val="0"/>
              <w:pageBreakBefore w:val="0"/>
              <w:widowControl/>
              <w:kinsoku/>
              <w:wordWrap/>
              <w:overflowPunct/>
              <w:topLinePunct/>
              <w:autoSpaceDE/>
              <w:autoSpaceDN/>
              <w:bidi w:val="0"/>
              <w:adjustRightInd/>
              <w:snapToGrid/>
              <w:spacing w:line="360" w:lineRule="auto"/>
              <w:ind w:firstLine="42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kern w:val="0"/>
                <w:sz w:val="24"/>
                <w:szCs w:val="24"/>
                <w:highlight w:val="none"/>
                <w14:textFill>
                  <w14:solidFill>
                    <w14:schemeClr w14:val="tx1"/>
                  </w14:solidFill>
                </w14:textFill>
              </w:rPr>
              <w:t>身份证</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正反面</w:t>
            </w:r>
            <w:r>
              <w:rPr>
                <w:rFonts w:hint="eastAsia" w:ascii="宋体" w:hAnsi="宋体" w:eastAsia="宋体" w:cs="宋体"/>
                <w:color w:val="000000" w:themeColor="text1"/>
                <w:kern w:val="0"/>
                <w:sz w:val="24"/>
                <w:szCs w:val="24"/>
                <w:highlight w:val="none"/>
                <w14:textFill>
                  <w14:solidFill>
                    <w14:schemeClr w14:val="tx1"/>
                  </w14:solidFill>
                </w14:textFill>
              </w:rPr>
              <w:t>复印件</w:t>
            </w:r>
          </w:p>
        </w:tc>
      </w:tr>
    </w:tbl>
    <w:p w14:paraId="610868A2">
      <w:pPr>
        <w:keepNext w:val="0"/>
        <w:keepLines w:val="0"/>
        <w:pageBreakBefore w:val="0"/>
        <w:kinsoku/>
        <w:wordWrap/>
        <w:overflowPunct/>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563A8847">
      <w:pPr>
        <w:adjustRightInd w:val="0"/>
        <w:snapToGrid w:val="0"/>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3F4048CC">
      <w:pPr>
        <w:adjustRightInd w:val="0"/>
        <w:snapToGrid w:val="0"/>
        <w:spacing w:line="360" w:lineRule="auto"/>
        <w:ind w:right="58" w:rightChars="0" w:firstLine="480" w:firstLineChars="200"/>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供应商名称（盖单位章）：</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6F45E31A">
      <w:pPr>
        <w:spacing w:line="360" w:lineRule="auto"/>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46D012AF">
      <w:pPr>
        <w:spacing w:line="360" w:lineRule="auto"/>
        <w:ind w:firstLine="5040" w:firstLineChars="2400"/>
        <w:outlineLvl w:val="9"/>
        <w:rPr>
          <w:rFonts w:hint="eastAsia" w:ascii="宋体" w:hAnsi="宋体" w:eastAsia="宋体" w:cs="宋体"/>
          <w:color w:val="000000" w:themeColor="text1"/>
          <w:sz w:val="21"/>
          <w:szCs w:val="21"/>
          <w:highlight w:val="none"/>
          <w14:textFill>
            <w14:solidFill>
              <w14:schemeClr w14:val="tx1"/>
            </w14:solidFill>
          </w14:textFill>
        </w:rPr>
      </w:pPr>
    </w:p>
    <w:p w14:paraId="59F67CD8">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p>
    <w:p w14:paraId="0E967DD4">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000000" w:themeColor="text1"/>
          <w:sz w:val="21"/>
          <w:szCs w:val="21"/>
          <w:highlight w:val="none"/>
          <w:u w:val="none"/>
          <w:lang w:val="en-US" w:eastAsia="zh-CN"/>
          <w14:textFill>
            <w14:solidFill>
              <w14:schemeClr w14:val="tx1"/>
            </w14:solidFill>
          </w14:textFill>
        </w:rPr>
      </w:pPr>
    </w:p>
    <w:p w14:paraId="126A4A02">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p>
    <w:p w14:paraId="638BEE4F">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CA2D26B">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29" w:name="_Toc10680"/>
      <w:bookmarkStart w:id="130" w:name="_Toc19974"/>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1-</w:t>
      </w:r>
      <w:r>
        <w:rPr>
          <w:rFonts w:hint="eastAsia" w:ascii="宋体" w:hAnsi="宋体" w:eastAsia="宋体" w:cs="宋体"/>
          <w:color w:val="000000" w:themeColor="text1"/>
          <w:sz w:val="28"/>
          <w:szCs w:val="28"/>
          <w:highlight w:val="none"/>
          <w14:textFill>
            <w14:solidFill>
              <w14:schemeClr w14:val="tx1"/>
            </w14:solidFill>
          </w14:textFill>
        </w:rPr>
        <w:t>2</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法定代表人（单位负责人）授权书</w:t>
      </w:r>
      <w:bookmarkEnd w:id="129"/>
      <w:bookmarkEnd w:id="130"/>
    </w:p>
    <w:p w14:paraId="53256E19">
      <w:pPr>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2267E593">
      <w:pPr>
        <w:spacing w:line="360" w:lineRule="auto"/>
        <w:jc w:val="center"/>
        <w:outlineLvl w:val="9"/>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法定代表人</w:t>
      </w: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（单位负责人）</w:t>
      </w:r>
      <w:r>
        <w:rPr>
          <w:rFonts w:hint="eastAsia" w:ascii="宋体" w:hAnsi="宋体" w:eastAsia="宋体" w:cs="宋体"/>
          <w:b/>
          <w:bCs w:val="0"/>
          <w:color w:val="000000" w:themeColor="text1"/>
          <w:sz w:val="28"/>
          <w:szCs w:val="28"/>
          <w:highlight w:val="none"/>
          <w14:textFill>
            <w14:solidFill>
              <w14:schemeClr w14:val="tx1"/>
            </w14:solidFill>
          </w14:textFill>
        </w:rPr>
        <w:t>授权书</w:t>
      </w:r>
    </w:p>
    <w:p w14:paraId="69022EC9">
      <w:pPr>
        <w:rPr>
          <w:rFonts w:hint="eastAsia" w:ascii="宋体" w:hAnsi="宋体" w:eastAsia="宋体" w:cs="宋体"/>
          <w:color w:val="000000" w:themeColor="text1"/>
          <w:highlight w:val="none"/>
          <w14:textFill>
            <w14:solidFill>
              <w14:schemeClr w14:val="tx1"/>
            </w14:solidFill>
          </w14:textFill>
        </w:rPr>
      </w:pPr>
    </w:p>
    <w:p w14:paraId="1A18545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本人</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（姓名、职务）系</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kern w:val="0"/>
          <w:sz w:val="24"/>
          <w:szCs w:val="24"/>
          <w:highlight w:val="none"/>
          <w14:textFill>
            <w14:solidFill>
              <w14:schemeClr w14:val="tx1"/>
            </w14:solidFill>
          </w14:textFill>
        </w:rPr>
        <w:t>名称）的法定代表人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kern w:val="0"/>
          <w:sz w:val="24"/>
          <w:szCs w:val="24"/>
          <w:highlight w:val="none"/>
          <w14:textFill>
            <w14:solidFill>
              <w14:schemeClr w14:val="tx1"/>
            </w14:solidFill>
          </w14:textFill>
        </w:rPr>
        <w:t>，现授权</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（姓名、职务）为我方代理人。代理人根据授权，以我方名义：(1)签署、澄清、补正、修改、撤回、提交</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kern w:val="0"/>
          <w:sz w:val="24"/>
          <w:szCs w:val="24"/>
          <w:highlight w:val="none"/>
          <w14:textFill>
            <w14:solidFill>
              <w14:schemeClr w14:val="tx1"/>
            </w14:solidFill>
          </w14:textFill>
        </w:rPr>
        <w:t>项目名称、</w:t>
      </w:r>
      <w:r>
        <w:rPr>
          <w:rFonts w:hint="eastAsia" w:ascii="宋体" w:hAnsi="宋体" w:eastAsia="宋体" w:cs="宋体"/>
          <w:color w:val="000000" w:themeColor="text1"/>
          <w:sz w:val="24"/>
          <w:szCs w:val="24"/>
          <w:highlight w:val="none"/>
          <w14:textFill>
            <w14:solidFill>
              <w14:schemeClr w14:val="tx1"/>
            </w14:solidFill>
          </w14:textFill>
        </w:rPr>
        <w:t>政府采购</w:t>
      </w:r>
      <w:r>
        <w:rPr>
          <w:rFonts w:hint="eastAsia" w:ascii="宋体" w:hAnsi="宋体" w:eastAsia="宋体" w:cs="宋体"/>
          <w:color w:val="000000" w:themeColor="text1"/>
          <w:sz w:val="24"/>
          <w:szCs w:val="24"/>
          <w:highlight w:val="none"/>
          <w:lang w:val="en-US" w:eastAsia="zh-CN"/>
          <w14:textFill>
            <w14:solidFill>
              <w14:schemeClr w14:val="tx1"/>
            </w14:solidFill>
          </w14:textFill>
        </w:rPr>
        <w:t>计划</w:t>
      </w:r>
      <w:r>
        <w:rPr>
          <w:rFonts w:hint="eastAsia" w:ascii="宋体" w:hAnsi="宋体" w:eastAsia="宋体" w:cs="宋体"/>
          <w:color w:val="000000" w:themeColor="text1"/>
          <w:sz w:val="24"/>
          <w:szCs w:val="24"/>
          <w:highlight w:val="none"/>
          <w14:textFill>
            <w14:solidFill>
              <w14:schemeClr w14:val="tx1"/>
            </w14:solidFill>
          </w14:textFill>
        </w:rPr>
        <w:t>编号</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kern w:val="0"/>
          <w:sz w:val="24"/>
          <w:szCs w:val="24"/>
          <w:highlight w:val="none"/>
          <w14:textFill>
            <w14:solidFill>
              <w14:schemeClr w14:val="tx1"/>
            </w14:solidFill>
          </w14:textFill>
        </w:rPr>
        <w:t>代理编号）响应文件；(2)签署并重新提交响应文件及最后报价；(3)退出</w:t>
      </w:r>
      <w:r>
        <w:rPr>
          <w:rFonts w:hint="eastAsia" w:ascii="宋体" w:hAnsi="宋体" w:eastAsia="宋体" w:cs="宋体"/>
          <w:color w:val="000000" w:themeColor="text1"/>
          <w:sz w:val="24"/>
          <w:szCs w:val="24"/>
          <w:highlight w:val="none"/>
          <w14:textFill>
            <w14:solidFill>
              <w14:schemeClr w14:val="tx1"/>
            </w14:solidFill>
          </w14:textFill>
        </w:rPr>
        <w:t>磋商</w:t>
      </w:r>
      <w:r>
        <w:rPr>
          <w:rFonts w:hint="eastAsia" w:ascii="宋体" w:hAnsi="宋体" w:eastAsia="宋体" w:cs="宋体"/>
          <w:color w:val="000000" w:themeColor="text1"/>
          <w:kern w:val="0"/>
          <w:sz w:val="24"/>
          <w:szCs w:val="24"/>
          <w:highlight w:val="none"/>
          <w14:textFill>
            <w14:solidFill>
              <w14:schemeClr w14:val="tx1"/>
            </w14:solidFill>
          </w14:textFill>
        </w:rPr>
        <w:t>；(4)签订合同和处理有关事宜，其法律后果由我方承担。</w:t>
      </w:r>
    </w:p>
    <w:p w14:paraId="0C01C5A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委托期限：</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687535D6">
      <w:pPr>
        <w:keepNext w:val="0"/>
        <w:keepLines w:val="0"/>
        <w:pageBreakBefore w:val="0"/>
        <w:widowControl w:val="0"/>
        <w:kinsoku/>
        <w:wordWrap/>
        <w:overflowPunct/>
        <w:topLinePunct w:val="0"/>
        <w:bidi w:val="0"/>
        <w:spacing w:line="360" w:lineRule="auto"/>
        <w:ind w:firstLine="435"/>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代理人无转委托权。</w:t>
      </w:r>
    </w:p>
    <w:p w14:paraId="00FB8036">
      <w:pPr>
        <w:keepNext w:val="0"/>
        <w:keepLines w:val="0"/>
        <w:pageBreakBefore w:val="0"/>
        <w:widowControl w:val="0"/>
        <w:kinsoku/>
        <w:wordWrap/>
        <w:overflowPunct/>
        <w:topLinePunct w:val="0"/>
        <w:bidi w:val="0"/>
        <w:spacing w:line="360" w:lineRule="auto"/>
        <w:ind w:firstLine="435"/>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本授权书于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日签字生效，特此声明。</w:t>
      </w:r>
    </w:p>
    <w:p w14:paraId="743973E6">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附：委托代理人身份证复印件</w:t>
      </w:r>
    </w:p>
    <w:tbl>
      <w:tblPr>
        <w:tblStyle w:val="25"/>
        <w:tblW w:w="4858" w:type="pct"/>
        <w:jc w:val="center"/>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autofit"/>
        <w:tblCellMar>
          <w:top w:w="0" w:type="dxa"/>
          <w:left w:w="108" w:type="dxa"/>
          <w:bottom w:w="0" w:type="dxa"/>
          <w:right w:w="108" w:type="dxa"/>
        </w:tblCellMar>
      </w:tblPr>
      <w:tblGrid>
        <w:gridCol w:w="9244"/>
      </w:tblGrid>
      <w:tr w14:paraId="2213A969">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trHeight w:val="2471" w:hRule="atLeast"/>
          <w:jc w:val="center"/>
        </w:trPr>
        <w:tc>
          <w:tcPr>
            <w:tcW w:w="5000" w:type="pct"/>
            <w:tcBorders>
              <w:top w:val="single" w:color="auto" w:sz="12" w:space="0"/>
              <w:bottom w:val="single" w:color="auto" w:sz="12" w:space="0"/>
            </w:tcBorders>
            <w:noWrap w:val="0"/>
            <w:vAlign w:val="center"/>
          </w:tcPr>
          <w:p w14:paraId="20F01278">
            <w:pPr>
              <w:keepNext w:val="0"/>
              <w:keepLines w:val="0"/>
              <w:pageBreakBefore w:val="0"/>
              <w:widowControl/>
              <w:kinsoku/>
              <w:wordWrap/>
              <w:overflowPunct/>
              <w:topLinePunct/>
              <w:autoSpaceDE/>
              <w:autoSpaceDN/>
              <w:bidi w:val="0"/>
              <w:adjustRightInd/>
              <w:snapToGrid/>
              <w:spacing w:line="360" w:lineRule="auto"/>
              <w:ind w:firstLine="42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w:t>
            </w:r>
            <w:r>
              <w:rPr>
                <w:rFonts w:hint="eastAsia" w:ascii="宋体" w:hAnsi="宋体" w:eastAsia="宋体" w:cs="宋体"/>
                <w:color w:val="000000" w:themeColor="text1"/>
                <w:kern w:val="0"/>
                <w:sz w:val="24"/>
                <w:szCs w:val="24"/>
                <w:highlight w:val="none"/>
                <w14:textFill>
                  <w14:solidFill>
                    <w14:schemeClr w14:val="tx1"/>
                  </w14:solidFill>
                </w14:textFill>
              </w:rPr>
              <w:t>人身份证</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正反面</w:t>
            </w:r>
            <w:r>
              <w:rPr>
                <w:rFonts w:hint="eastAsia" w:ascii="宋体" w:hAnsi="宋体" w:eastAsia="宋体" w:cs="宋体"/>
                <w:color w:val="000000" w:themeColor="text1"/>
                <w:kern w:val="0"/>
                <w:sz w:val="24"/>
                <w:szCs w:val="24"/>
                <w:highlight w:val="none"/>
                <w14:textFill>
                  <w14:solidFill>
                    <w14:schemeClr w14:val="tx1"/>
                  </w14:solidFill>
                </w14:textFill>
              </w:rPr>
              <w:t>复印件</w:t>
            </w:r>
          </w:p>
        </w:tc>
      </w:tr>
    </w:tbl>
    <w:p w14:paraId="71B44149">
      <w:pPr>
        <w:adjustRightInd w:val="0"/>
        <w:snapToGrid w:val="0"/>
        <w:spacing w:line="360" w:lineRule="auto"/>
        <w:ind w:right="420"/>
        <w:outlineLvl w:val="9"/>
        <w:rPr>
          <w:rFonts w:hint="eastAsia" w:ascii="宋体" w:hAnsi="宋体" w:eastAsia="宋体" w:cs="宋体"/>
          <w:color w:val="000000" w:themeColor="text1"/>
          <w:sz w:val="24"/>
          <w:szCs w:val="24"/>
          <w:highlight w:val="none"/>
          <w14:textFill>
            <w14:solidFill>
              <w14:schemeClr w14:val="tx1"/>
            </w14:solidFill>
          </w14:textFill>
        </w:rPr>
      </w:pPr>
    </w:p>
    <w:p w14:paraId="1773B8AB">
      <w:pPr>
        <w:adjustRightInd w:val="0"/>
        <w:snapToGrid w:val="0"/>
        <w:spacing w:line="360" w:lineRule="auto"/>
        <w:ind w:right="420"/>
        <w:outlineLvl w:val="9"/>
        <w:rPr>
          <w:rFonts w:hint="eastAsia" w:ascii="宋体" w:hAnsi="宋体" w:eastAsia="宋体" w:cs="宋体"/>
          <w:color w:val="000000" w:themeColor="text1"/>
          <w:sz w:val="24"/>
          <w:szCs w:val="24"/>
          <w:highlight w:val="none"/>
          <w14:textFill>
            <w14:solidFill>
              <w14:schemeClr w14:val="tx1"/>
            </w14:solidFill>
          </w14:textFill>
        </w:rPr>
      </w:pPr>
    </w:p>
    <w:p w14:paraId="76EB0295">
      <w:pPr>
        <w:pStyle w:val="15"/>
        <w:adjustRightInd w:val="0"/>
        <w:snapToGrid w:val="0"/>
        <w:spacing w:line="360" w:lineRule="auto"/>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供应商名称(盖单位章)：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5DC14A0C">
      <w:pPr>
        <w:adjustRightInd w:val="0"/>
        <w:snapToGrid w:val="0"/>
        <w:spacing w:line="360" w:lineRule="auto"/>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5D0E9C4F">
      <w:pPr>
        <w:adjustRightInd w:val="0"/>
        <w:snapToGrid w:val="0"/>
        <w:spacing w:line="360" w:lineRule="auto"/>
        <w:ind w:firstLine="480" w:firstLineChars="200"/>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委托代理人（签字）：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40990E2">
      <w:pPr>
        <w:adjustRightInd w:val="0"/>
        <w:snapToGrid w:val="0"/>
        <w:spacing w:line="360" w:lineRule="auto"/>
        <w:ind w:firstLine="480" w:firstLineChars="200"/>
        <w:outlineLvl w:val="9"/>
        <w:rPr>
          <w:rFonts w:hint="default"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3BBE100">
      <w:pPr>
        <w:spacing w:line="360" w:lineRule="auto"/>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4C5320BD">
      <w:pPr>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34B4603D">
      <w:pPr>
        <w:spacing w:line="360" w:lineRule="auto"/>
        <w:outlineLvl w:val="9"/>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pPr>
    </w:p>
    <w:p w14:paraId="242182F6">
      <w:pPr>
        <w:spacing w:line="360" w:lineRule="auto"/>
        <w:ind w:firstLine="482"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t>备注：投标代表为供应商的法定代表人（单位负责人）的，不需要提供法定代表人（单位负责人）授权书。</w:t>
      </w:r>
    </w:p>
    <w:p w14:paraId="6F8586E5">
      <w:pPr>
        <w:rPr>
          <w:rFonts w:hint="eastAsia" w:ascii="宋体" w:hAnsi="宋体" w:eastAsia="宋体" w:cs="宋体"/>
          <w:color w:val="000000" w:themeColor="text1"/>
          <w:sz w:val="24"/>
          <w:szCs w:val="24"/>
          <w:highlight w:val="none"/>
          <w14:textFill>
            <w14:solidFill>
              <w14:schemeClr w14:val="tx1"/>
            </w14:solidFill>
          </w14:textFill>
        </w:rPr>
      </w:pPr>
    </w:p>
    <w:p w14:paraId="7C0D915B">
      <w:pPr>
        <w:adjustRightInd w:val="0"/>
        <w:snapToGrid w:val="0"/>
        <w:spacing w:line="360" w:lineRule="auto"/>
        <w:jc w:val="center"/>
        <w:outlineLvl w:val="1"/>
        <w:rPr>
          <w:rFonts w:hint="eastAsia" w:ascii="宋体" w:hAnsi="宋体" w:eastAsia="宋体" w:cs="宋体"/>
          <w:b/>
          <w:color w:val="000000" w:themeColor="text1"/>
          <w:sz w:val="32"/>
          <w:szCs w:val="32"/>
          <w:highlight w:val="none"/>
          <w:lang w:val="en-US" w:eastAsia="zh-CN"/>
          <w14:textFill>
            <w14:solidFill>
              <w14:schemeClr w14:val="tx1"/>
            </w14:solidFill>
          </w14:textFill>
        </w:rPr>
      </w:pPr>
      <w:bookmarkStart w:id="131" w:name="_Toc19088"/>
      <w:bookmarkStart w:id="132" w:name="_Toc31061"/>
      <w:r>
        <w:rPr>
          <w:rFonts w:hint="eastAsia" w:ascii="宋体" w:hAnsi="宋体" w:eastAsia="宋体" w:cs="宋体"/>
          <w:b/>
          <w:color w:val="000000" w:themeColor="text1"/>
          <w:sz w:val="32"/>
          <w:szCs w:val="32"/>
          <w:highlight w:val="none"/>
          <w:lang w:val="en-US" w:eastAsia="zh-CN"/>
          <w14:textFill>
            <w14:solidFill>
              <w14:schemeClr w14:val="tx1"/>
            </w14:solidFill>
          </w14:textFill>
        </w:rPr>
        <w:t>二、电子报价一览表</w:t>
      </w:r>
      <w:bookmarkEnd w:id="131"/>
    </w:p>
    <w:p w14:paraId="1268B206">
      <w:pPr>
        <w:spacing w:line="360" w:lineRule="auto"/>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标段编号:</w:t>
      </w:r>
    </w:p>
    <w:p w14:paraId="7BC9EEB3">
      <w:pPr>
        <w:spacing w:line="360" w:lineRule="auto"/>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项目名称:</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85D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2987DD9">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1A9CB760">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标题</w:t>
            </w:r>
          </w:p>
          <w:p w14:paraId="7946DACD">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tc>
        <w:tc>
          <w:tcPr>
            <w:tcW w:w="4261" w:type="dxa"/>
            <w:vAlign w:val="center"/>
          </w:tcPr>
          <w:p w14:paraId="61D009B8">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内容</w:t>
            </w:r>
          </w:p>
        </w:tc>
      </w:tr>
      <w:tr w14:paraId="5F26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3969876">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425A7690">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18960F83">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投标报价</w:t>
            </w:r>
          </w:p>
          <w:p w14:paraId="5E71218D">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1672AAFE">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tc>
        <w:tc>
          <w:tcPr>
            <w:tcW w:w="4261" w:type="dxa"/>
            <w:vAlign w:val="center"/>
          </w:tcPr>
          <w:p w14:paraId="1834CD27">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元</w:t>
            </w:r>
          </w:p>
        </w:tc>
      </w:tr>
    </w:tbl>
    <w:p w14:paraId="0526E45C">
      <w:pPr>
        <w:rPr>
          <w:rFonts w:hint="eastAsia" w:ascii="宋体" w:hAnsi="宋体" w:eastAsia="宋体" w:cs="宋体"/>
          <w:b/>
          <w:color w:val="000000" w:themeColor="text1"/>
          <w:sz w:val="32"/>
          <w:szCs w:val="32"/>
          <w:highlight w:val="none"/>
          <w:lang w:val="en-US" w:eastAsia="zh-CN"/>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br w:type="page"/>
      </w:r>
    </w:p>
    <w:p w14:paraId="5D4AC408">
      <w:pPr>
        <w:adjustRightInd w:val="0"/>
        <w:snapToGrid w:val="0"/>
        <w:spacing w:line="360" w:lineRule="auto"/>
        <w:jc w:val="center"/>
        <w:outlineLvl w:val="1"/>
        <w:rPr>
          <w:rFonts w:hint="eastAsia" w:ascii="宋体" w:hAnsi="宋体" w:eastAsia="宋体" w:cs="宋体"/>
          <w:b/>
          <w:color w:val="000000" w:themeColor="text1"/>
          <w:sz w:val="32"/>
          <w:szCs w:val="32"/>
          <w:highlight w:val="none"/>
          <w:lang w:val="en-US" w:eastAsia="zh-CN"/>
          <w14:textFill>
            <w14:solidFill>
              <w14:schemeClr w14:val="tx1"/>
            </w14:solidFill>
          </w14:textFill>
        </w:rPr>
      </w:pPr>
      <w:bookmarkStart w:id="133" w:name="_Toc1797"/>
      <w:r>
        <w:rPr>
          <w:rFonts w:hint="eastAsia" w:ascii="宋体" w:hAnsi="宋体" w:eastAsia="宋体" w:cs="宋体"/>
          <w:b/>
          <w:color w:val="000000" w:themeColor="text1"/>
          <w:sz w:val="32"/>
          <w:szCs w:val="32"/>
          <w:highlight w:val="none"/>
          <w:lang w:val="en-US" w:eastAsia="zh-CN"/>
          <w14:textFill>
            <w14:solidFill>
              <w14:schemeClr w14:val="tx1"/>
            </w14:solidFill>
          </w14:textFill>
        </w:rPr>
        <w:t>三、供应商的资格证明材料</w:t>
      </w:r>
      <w:bookmarkEnd w:id="132"/>
      <w:bookmarkEnd w:id="133"/>
    </w:p>
    <w:p w14:paraId="42C94585">
      <w:pPr>
        <w:pStyle w:val="4"/>
        <w:bidi w:val="0"/>
        <w:spacing w:line="360" w:lineRule="auto"/>
        <w:rPr>
          <w:rFonts w:hint="eastAsia" w:ascii="宋体" w:hAnsi="宋体" w:eastAsia="宋体" w:cs="宋体"/>
          <w:color w:val="000000" w:themeColor="text1"/>
          <w:sz w:val="28"/>
          <w:szCs w:val="28"/>
          <w:highlight w:val="none"/>
          <w:lang w:eastAsia="zh-CN"/>
          <w14:textFill>
            <w14:solidFill>
              <w14:schemeClr w14:val="tx1"/>
            </w14:solidFill>
          </w14:textFill>
        </w:rPr>
      </w:pPr>
      <w:bookmarkStart w:id="134" w:name="_Toc20315"/>
      <w:bookmarkStart w:id="135" w:name="_Toc25116"/>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3-1 供应商基本情况表</w:t>
      </w:r>
      <w:bookmarkEnd w:id="134"/>
      <w:bookmarkEnd w:id="135"/>
    </w:p>
    <w:p w14:paraId="2DFB6162">
      <w:pPr>
        <w:rPr>
          <w:rFonts w:hint="eastAsia" w:ascii="宋体" w:hAnsi="宋体" w:eastAsia="宋体" w:cs="宋体"/>
          <w:color w:val="000000" w:themeColor="text1"/>
          <w:highlight w:val="none"/>
          <w14:textFill>
            <w14:solidFill>
              <w14:schemeClr w14:val="tx1"/>
            </w14:solidFill>
          </w14:textFill>
        </w:rPr>
      </w:pPr>
    </w:p>
    <w:p w14:paraId="4B3FD6C1">
      <w:pPr>
        <w:adjustRightInd w:val="0"/>
        <w:snapToGrid w:val="0"/>
        <w:spacing w:line="360" w:lineRule="auto"/>
        <w:jc w:val="center"/>
        <w:outlineLvl w:val="9"/>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供应商基本情况表</w:t>
      </w:r>
    </w:p>
    <w:tbl>
      <w:tblPr>
        <w:tblStyle w:val="25"/>
        <w:tblW w:w="9063"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539"/>
        <w:gridCol w:w="484"/>
        <w:gridCol w:w="1020"/>
        <w:gridCol w:w="855"/>
        <w:gridCol w:w="585"/>
        <w:gridCol w:w="299"/>
        <w:gridCol w:w="1329"/>
        <w:gridCol w:w="1489"/>
        <w:gridCol w:w="1745"/>
      </w:tblGrid>
      <w:tr w14:paraId="77F48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41" w:type="dxa"/>
            <w:gridSpan w:val="3"/>
            <w:tcBorders>
              <w:bottom w:val="single" w:color="auto" w:sz="6" w:space="0"/>
              <w:right w:val="single" w:color="auto" w:sz="6" w:space="0"/>
            </w:tcBorders>
            <w:noWrap w:val="0"/>
            <w:vAlign w:val="center"/>
          </w:tcPr>
          <w:p w14:paraId="64B1CC4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供应商名称</w:t>
            </w:r>
          </w:p>
        </w:tc>
        <w:tc>
          <w:tcPr>
            <w:tcW w:w="4088" w:type="dxa"/>
            <w:gridSpan w:val="5"/>
            <w:tcBorders>
              <w:left w:val="single" w:color="auto" w:sz="6" w:space="0"/>
              <w:bottom w:val="single" w:color="auto" w:sz="6" w:space="0"/>
              <w:right w:val="single" w:color="auto" w:sz="6" w:space="0"/>
            </w:tcBorders>
            <w:noWrap w:val="0"/>
            <w:vAlign w:val="center"/>
          </w:tcPr>
          <w:p w14:paraId="12ED0DD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489" w:type="dxa"/>
            <w:tcBorders>
              <w:left w:val="single" w:color="auto" w:sz="6" w:space="0"/>
              <w:bottom w:val="single" w:color="auto" w:sz="6" w:space="0"/>
              <w:right w:val="single" w:color="auto" w:sz="6" w:space="0"/>
            </w:tcBorders>
            <w:noWrap w:val="0"/>
            <w:vAlign w:val="center"/>
          </w:tcPr>
          <w:p w14:paraId="66CEFF65">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（单位负责人）</w:t>
            </w:r>
          </w:p>
        </w:tc>
        <w:tc>
          <w:tcPr>
            <w:tcW w:w="1745" w:type="dxa"/>
            <w:tcBorders>
              <w:left w:val="single" w:color="auto" w:sz="6" w:space="0"/>
              <w:bottom w:val="single" w:color="auto" w:sz="6" w:space="0"/>
            </w:tcBorders>
            <w:noWrap w:val="0"/>
            <w:vAlign w:val="center"/>
          </w:tcPr>
          <w:p w14:paraId="7231E94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23EB7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41" w:type="dxa"/>
            <w:gridSpan w:val="3"/>
            <w:tcBorders>
              <w:top w:val="single" w:color="auto" w:sz="6" w:space="0"/>
              <w:bottom w:val="single" w:color="auto" w:sz="6" w:space="0"/>
              <w:right w:val="single" w:color="auto" w:sz="6" w:space="0"/>
            </w:tcBorders>
            <w:noWrap w:val="0"/>
            <w:vAlign w:val="center"/>
          </w:tcPr>
          <w:p w14:paraId="27230AA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委托代理人</w:t>
            </w:r>
          </w:p>
        </w:tc>
        <w:tc>
          <w:tcPr>
            <w:tcW w:w="4088" w:type="dxa"/>
            <w:gridSpan w:val="5"/>
            <w:tcBorders>
              <w:top w:val="single" w:color="auto" w:sz="6" w:space="0"/>
              <w:left w:val="single" w:color="auto" w:sz="6" w:space="0"/>
              <w:bottom w:val="single" w:color="auto" w:sz="6" w:space="0"/>
              <w:right w:val="single" w:color="auto" w:sz="6" w:space="0"/>
            </w:tcBorders>
            <w:noWrap w:val="0"/>
            <w:vAlign w:val="center"/>
          </w:tcPr>
          <w:p w14:paraId="53C393D3">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489" w:type="dxa"/>
            <w:tcBorders>
              <w:top w:val="single" w:color="auto" w:sz="6" w:space="0"/>
              <w:left w:val="single" w:color="auto" w:sz="6" w:space="0"/>
              <w:bottom w:val="single" w:color="auto" w:sz="6" w:space="0"/>
              <w:right w:val="single" w:color="auto" w:sz="6" w:space="0"/>
            </w:tcBorders>
            <w:noWrap w:val="0"/>
            <w:vAlign w:val="center"/>
          </w:tcPr>
          <w:p w14:paraId="3D4E1AA7">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电子邮箱</w:t>
            </w:r>
          </w:p>
        </w:tc>
        <w:tc>
          <w:tcPr>
            <w:tcW w:w="1745" w:type="dxa"/>
            <w:tcBorders>
              <w:top w:val="single" w:color="auto" w:sz="6" w:space="0"/>
              <w:left w:val="single" w:color="auto" w:sz="6" w:space="0"/>
              <w:bottom w:val="single" w:color="auto" w:sz="6" w:space="0"/>
            </w:tcBorders>
            <w:noWrap w:val="0"/>
            <w:vAlign w:val="center"/>
          </w:tcPr>
          <w:p w14:paraId="1CFA9358">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729A2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41" w:type="dxa"/>
            <w:gridSpan w:val="3"/>
            <w:tcBorders>
              <w:top w:val="single" w:color="auto" w:sz="6" w:space="0"/>
              <w:bottom w:val="single" w:color="auto" w:sz="6" w:space="0"/>
              <w:right w:val="single" w:color="auto" w:sz="6" w:space="0"/>
            </w:tcBorders>
            <w:noWrap w:val="0"/>
            <w:vAlign w:val="center"/>
          </w:tcPr>
          <w:p w14:paraId="43D607AA">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上年营业收入</w:t>
            </w:r>
          </w:p>
        </w:tc>
        <w:tc>
          <w:tcPr>
            <w:tcW w:w="4088" w:type="dxa"/>
            <w:gridSpan w:val="5"/>
            <w:tcBorders>
              <w:top w:val="single" w:color="auto" w:sz="6" w:space="0"/>
              <w:left w:val="single" w:color="auto" w:sz="6" w:space="0"/>
              <w:bottom w:val="single" w:color="auto" w:sz="6" w:space="0"/>
              <w:right w:val="single" w:color="auto" w:sz="6" w:space="0"/>
            </w:tcBorders>
            <w:noWrap w:val="0"/>
            <w:vAlign w:val="center"/>
          </w:tcPr>
          <w:p w14:paraId="7636F4EE">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489" w:type="dxa"/>
            <w:tcBorders>
              <w:top w:val="single" w:color="auto" w:sz="6" w:space="0"/>
              <w:left w:val="single" w:color="auto" w:sz="6" w:space="0"/>
              <w:bottom w:val="single" w:color="auto" w:sz="6" w:space="0"/>
              <w:right w:val="single" w:color="auto" w:sz="6" w:space="0"/>
            </w:tcBorders>
            <w:noWrap w:val="0"/>
            <w:vAlign w:val="center"/>
          </w:tcPr>
          <w:p w14:paraId="744B371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员工总人数</w:t>
            </w:r>
          </w:p>
        </w:tc>
        <w:tc>
          <w:tcPr>
            <w:tcW w:w="1745" w:type="dxa"/>
            <w:tcBorders>
              <w:top w:val="single" w:color="auto" w:sz="6" w:space="0"/>
              <w:left w:val="single" w:color="auto" w:sz="6" w:space="0"/>
              <w:bottom w:val="single" w:color="auto" w:sz="6" w:space="0"/>
            </w:tcBorders>
            <w:noWrap w:val="0"/>
            <w:vAlign w:val="center"/>
          </w:tcPr>
          <w:p w14:paraId="4A4799CA">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0BCC1F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restart"/>
            <w:tcBorders>
              <w:top w:val="single" w:color="auto" w:sz="6" w:space="0"/>
              <w:bottom w:val="single" w:color="auto" w:sz="6" w:space="0"/>
              <w:right w:val="single" w:color="auto" w:sz="6" w:space="0"/>
            </w:tcBorders>
            <w:noWrap w:val="0"/>
            <w:vAlign w:val="center"/>
          </w:tcPr>
          <w:p w14:paraId="298849B5">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营业执照</w:t>
            </w: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2F3E8F62">
            <w:pPr>
              <w:pStyle w:val="1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position w:val="-2"/>
                <w:szCs w:val="21"/>
                <w:highlight w:val="none"/>
                <w14:textFill>
                  <w14:solidFill>
                    <w14:schemeClr w14:val="tx1"/>
                  </w14:solidFill>
                </w14:textFill>
              </w:rPr>
              <w:t>统一社会信用代码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1CCAB345">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628" w:type="dxa"/>
            <w:gridSpan w:val="2"/>
            <w:tcBorders>
              <w:top w:val="single" w:color="auto" w:sz="6" w:space="0"/>
              <w:left w:val="single" w:color="auto" w:sz="6" w:space="0"/>
              <w:bottom w:val="single" w:color="auto" w:sz="6" w:space="0"/>
              <w:right w:val="single" w:color="auto" w:sz="6" w:space="0"/>
            </w:tcBorders>
            <w:noWrap w:val="0"/>
            <w:vAlign w:val="center"/>
          </w:tcPr>
          <w:p w14:paraId="42B1A37B">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注册地址</w:t>
            </w:r>
          </w:p>
        </w:tc>
        <w:tc>
          <w:tcPr>
            <w:tcW w:w="3234" w:type="dxa"/>
            <w:gridSpan w:val="2"/>
            <w:tcBorders>
              <w:top w:val="single" w:color="auto" w:sz="6" w:space="0"/>
              <w:left w:val="single" w:color="auto" w:sz="6" w:space="0"/>
              <w:bottom w:val="single" w:color="auto" w:sz="6" w:space="0"/>
            </w:tcBorders>
            <w:noWrap w:val="0"/>
            <w:vAlign w:val="center"/>
          </w:tcPr>
          <w:p w14:paraId="407AC945">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E9C8C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continue"/>
            <w:tcBorders>
              <w:top w:val="single" w:color="auto" w:sz="6" w:space="0"/>
              <w:bottom w:val="single" w:color="auto" w:sz="6" w:space="0"/>
              <w:right w:val="single" w:color="auto" w:sz="6" w:space="0"/>
            </w:tcBorders>
            <w:noWrap w:val="0"/>
            <w:vAlign w:val="center"/>
          </w:tcPr>
          <w:p w14:paraId="2B99027E">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60802ABC">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C7B23F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628" w:type="dxa"/>
            <w:gridSpan w:val="2"/>
            <w:tcBorders>
              <w:top w:val="single" w:color="auto" w:sz="6" w:space="0"/>
              <w:left w:val="single" w:color="auto" w:sz="6" w:space="0"/>
              <w:bottom w:val="single" w:color="auto" w:sz="6" w:space="0"/>
              <w:right w:val="single" w:color="auto" w:sz="6" w:space="0"/>
            </w:tcBorders>
            <w:noWrap w:val="0"/>
            <w:vAlign w:val="center"/>
          </w:tcPr>
          <w:p w14:paraId="16C37786">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发证日期</w:t>
            </w:r>
          </w:p>
        </w:tc>
        <w:tc>
          <w:tcPr>
            <w:tcW w:w="3234" w:type="dxa"/>
            <w:gridSpan w:val="2"/>
            <w:tcBorders>
              <w:top w:val="single" w:color="auto" w:sz="6" w:space="0"/>
              <w:left w:val="single" w:color="auto" w:sz="6" w:space="0"/>
              <w:bottom w:val="single" w:color="auto" w:sz="6" w:space="0"/>
            </w:tcBorders>
            <w:noWrap w:val="0"/>
            <w:vAlign w:val="center"/>
          </w:tcPr>
          <w:p w14:paraId="4AE52E92">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7C0D2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continue"/>
            <w:tcBorders>
              <w:top w:val="single" w:color="auto" w:sz="6" w:space="0"/>
              <w:bottom w:val="single" w:color="auto" w:sz="6" w:space="0"/>
              <w:right w:val="single" w:color="auto" w:sz="6" w:space="0"/>
            </w:tcBorders>
            <w:noWrap w:val="0"/>
            <w:vAlign w:val="center"/>
          </w:tcPr>
          <w:p w14:paraId="58999D5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2D9BEC9C">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营业范围（主营）</w:t>
            </w:r>
          </w:p>
        </w:tc>
        <w:tc>
          <w:tcPr>
            <w:tcW w:w="6302" w:type="dxa"/>
            <w:gridSpan w:val="6"/>
            <w:tcBorders>
              <w:top w:val="single" w:color="auto" w:sz="6" w:space="0"/>
              <w:left w:val="single" w:color="auto" w:sz="6" w:space="0"/>
              <w:bottom w:val="single" w:color="auto" w:sz="6" w:space="0"/>
            </w:tcBorders>
            <w:noWrap w:val="0"/>
            <w:vAlign w:val="center"/>
          </w:tcPr>
          <w:p w14:paraId="215846FC">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253A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continue"/>
            <w:tcBorders>
              <w:top w:val="single" w:color="auto" w:sz="6" w:space="0"/>
              <w:bottom w:val="single" w:color="auto" w:sz="6" w:space="0"/>
              <w:right w:val="single" w:color="auto" w:sz="6" w:space="0"/>
            </w:tcBorders>
            <w:noWrap w:val="0"/>
            <w:vAlign w:val="center"/>
          </w:tcPr>
          <w:p w14:paraId="4F874641">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326EAD87">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营业范围（兼营）</w:t>
            </w:r>
          </w:p>
        </w:tc>
        <w:tc>
          <w:tcPr>
            <w:tcW w:w="6302" w:type="dxa"/>
            <w:gridSpan w:val="6"/>
            <w:tcBorders>
              <w:top w:val="single" w:color="auto" w:sz="6" w:space="0"/>
              <w:left w:val="single" w:color="auto" w:sz="6" w:space="0"/>
              <w:bottom w:val="single" w:color="auto" w:sz="6" w:space="0"/>
            </w:tcBorders>
            <w:noWrap w:val="0"/>
            <w:vAlign w:val="center"/>
          </w:tcPr>
          <w:p w14:paraId="5B8CF343">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AA450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1" w:type="dxa"/>
            <w:gridSpan w:val="4"/>
            <w:tcBorders>
              <w:top w:val="single" w:color="auto" w:sz="6" w:space="0"/>
              <w:bottom w:val="single" w:color="auto" w:sz="6" w:space="0"/>
              <w:right w:val="single" w:color="auto" w:sz="6" w:space="0"/>
            </w:tcBorders>
            <w:noWrap w:val="0"/>
            <w:vAlign w:val="center"/>
          </w:tcPr>
          <w:p w14:paraId="79856486">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基本账户开户行及账号</w:t>
            </w:r>
          </w:p>
        </w:tc>
        <w:tc>
          <w:tcPr>
            <w:tcW w:w="6302" w:type="dxa"/>
            <w:gridSpan w:val="6"/>
            <w:tcBorders>
              <w:top w:val="single" w:color="auto" w:sz="6" w:space="0"/>
              <w:left w:val="single" w:color="auto" w:sz="6" w:space="0"/>
              <w:bottom w:val="single" w:color="auto" w:sz="6" w:space="0"/>
            </w:tcBorders>
            <w:noWrap w:val="0"/>
            <w:vAlign w:val="center"/>
          </w:tcPr>
          <w:p w14:paraId="56117ED1">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CDC8D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1" w:type="dxa"/>
            <w:gridSpan w:val="4"/>
            <w:tcBorders>
              <w:top w:val="single" w:color="auto" w:sz="6" w:space="0"/>
              <w:bottom w:val="single" w:color="auto" w:sz="6" w:space="0"/>
              <w:right w:val="single" w:color="auto" w:sz="6" w:space="0"/>
            </w:tcBorders>
            <w:noWrap w:val="0"/>
            <w:vAlign w:val="center"/>
          </w:tcPr>
          <w:p w14:paraId="704AB338">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税务登记机关</w:t>
            </w:r>
          </w:p>
        </w:tc>
        <w:tc>
          <w:tcPr>
            <w:tcW w:w="6302" w:type="dxa"/>
            <w:gridSpan w:val="6"/>
            <w:tcBorders>
              <w:top w:val="single" w:color="auto" w:sz="6" w:space="0"/>
              <w:left w:val="single" w:color="auto" w:sz="6" w:space="0"/>
              <w:bottom w:val="single" w:color="auto" w:sz="6" w:space="0"/>
            </w:tcBorders>
            <w:noWrap w:val="0"/>
            <w:vAlign w:val="center"/>
          </w:tcPr>
          <w:p w14:paraId="0CED43C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B91E8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6" w:type="dxa"/>
            <w:gridSpan w:val="5"/>
            <w:tcBorders>
              <w:top w:val="single" w:color="auto" w:sz="6" w:space="0"/>
              <w:bottom w:val="single" w:color="auto" w:sz="6" w:space="0"/>
              <w:right w:val="single" w:color="auto" w:sz="6" w:space="0"/>
            </w:tcBorders>
            <w:noWrap w:val="0"/>
            <w:vAlign w:val="center"/>
          </w:tcPr>
          <w:p w14:paraId="39113F6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D52615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等级</w:t>
            </w: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874EB00">
            <w:pPr>
              <w:keepNext w:val="0"/>
              <w:keepLines w:val="0"/>
              <w:pageBreakBefore w:val="0"/>
              <w:widowControl w:val="0"/>
              <w:kinsoku/>
              <w:wordWrap/>
              <w:overflowPunct/>
              <w:topLinePunct/>
              <w:autoSpaceDE/>
              <w:autoSpaceDN/>
              <w:bidi w:val="0"/>
              <w:adjustRightInd/>
              <w:snapToGrid/>
              <w:spacing w:line="360" w:lineRule="exact"/>
              <w:jc w:val="center"/>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发证机关</w:t>
            </w:r>
          </w:p>
        </w:tc>
        <w:tc>
          <w:tcPr>
            <w:tcW w:w="3234" w:type="dxa"/>
            <w:gridSpan w:val="2"/>
            <w:tcBorders>
              <w:top w:val="single" w:color="auto" w:sz="6" w:space="0"/>
              <w:left w:val="single" w:color="auto" w:sz="6" w:space="0"/>
              <w:bottom w:val="single" w:color="auto" w:sz="6" w:space="0"/>
            </w:tcBorders>
            <w:noWrap w:val="0"/>
            <w:vAlign w:val="center"/>
          </w:tcPr>
          <w:p w14:paraId="5263145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有效期</w:t>
            </w:r>
          </w:p>
        </w:tc>
      </w:tr>
      <w:tr w14:paraId="051D6D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05109DC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1972919">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83B4C1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29E625CE">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505F6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326CDED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EF68A8C">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E1B9C2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631331B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76ADE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156169D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18DC67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6273D3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6271522A">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F5558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57A4F4D7">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2DE1406">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5D2D113">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69A853E6">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67C46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1257" w:type="dxa"/>
            <w:gridSpan w:val="2"/>
            <w:tcBorders>
              <w:top w:val="single" w:color="auto" w:sz="6" w:space="0"/>
              <w:right w:val="single" w:color="auto" w:sz="6" w:space="0"/>
            </w:tcBorders>
            <w:noWrap w:val="0"/>
            <w:vAlign w:val="center"/>
          </w:tcPr>
          <w:p w14:paraId="7181A09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备注</w:t>
            </w:r>
          </w:p>
        </w:tc>
        <w:tc>
          <w:tcPr>
            <w:tcW w:w="7806" w:type="dxa"/>
            <w:gridSpan w:val="8"/>
            <w:tcBorders>
              <w:top w:val="single" w:color="auto" w:sz="6" w:space="0"/>
              <w:left w:val="single" w:color="auto" w:sz="6" w:space="0"/>
            </w:tcBorders>
            <w:noWrap w:val="0"/>
            <w:vAlign w:val="center"/>
          </w:tcPr>
          <w:p w14:paraId="43E04FD1">
            <w:pPr>
              <w:topLinePunct/>
              <w:spacing w:line="440" w:lineRule="exact"/>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上述资质证书</w:t>
            </w:r>
            <w:r>
              <w:rPr>
                <w:rFonts w:hint="eastAsia" w:ascii="宋体" w:hAnsi="宋体" w:eastAsia="宋体" w:cs="宋体"/>
                <w:color w:val="000000" w:themeColor="text1"/>
                <w:sz w:val="21"/>
                <w:szCs w:val="21"/>
                <w:highlight w:val="none"/>
                <w14:textFill>
                  <w14:solidFill>
                    <w14:schemeClr w14:val="tx1"/>
                  </w14:solidFill>
                </w14:textFill>
              </w:rPr>
              <w:t>复印件</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等（如有）</w:t>
            </w:r>
          </w:p>
        </w:tc>
      </w:tr>
    </w:tbl>
    <w:p w14:paraId="1915E9A8">
      <w:pPr>
        <w:outlineLvl w:val="9"/>
        <w:rPr>
          <w:rFonts w:hint="eastAsia" w:ascii="宋体" w:hAnsi="宋体" w:eastAsia="宋体" w:cs="宋体"/>
          <w:color w:val="000000" w:themeColor="text1"/>
          <w:szCs w:val="21"/>
          <w:highlight w:val="none"/>
          <w14:textFill>
            <w14:solidFill>
              <w14:schemeClr w14:val="tx1"/>
            </w14:solidFill>
          </w14:textFill>
        </w:rPr>
      </w:pPr>
    </w:p>
    <w:p w14:paraId="0F1D301B">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73AE0183">
      <w:pPr>
        <w:pStyle w:val="4"/>
        <w:keepNext w:val="0"/>
        <w:keepLines w:val="0"/>
        <w:pageBreakBefore w:val="0"/>
        <w:widowControl/>
        <w:kinsoku/>
        <w:wordWrap/>
        <w:overflowPunct/>
        <w:topLinePunct w:val="0"/>
        <w:autoSpaceDE/>
        <w:autoSpaceDN/>
        <w:bidi w:val="0"/>
        <w:adjustRightInd/>
        <w:snapToGrid/>
        <w:spacing w:before="161" w:beforeLines="50" w:line="360" w:lineRule="auto"/>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36" w:name="_Toc366"/>
      <w:bookmarkStart w:id="137" w:name="_Toc28910"/>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3-2 </w:t>
      </w:r>
      <w:r>
        <w:rPr>
          <w:rFonts w:hint="eastAsia" w:ascii="宋体" w:hAnsi="宋体" w:eastAsia="宋体" w:cs="宋体"/>
          <w:b/>
          <w:bCs/>
          <w:color w:val="000000" w:themeColor="text1"/>
          <w:spacing w:val="-20"/>
          <w:sz w:val="28"/>
          <w:szCs w:val="28"/>
          <w:highlight w:val="none"/>
          <w:lang w:val="en-US" w:eastAsia="zh-CN"/>
          <w14:textFill>
            <w14:solidFill>
              <w14:schemeClr w14:val="tx1"/>
            </w14:solidFill>
          </w14:textFill>
        </w:rPr>
        <w:t>法人或者其他组织的营业执照等主体资格证明文件，自然人的身份证明</w:t>
      </w:r>
      <w:bookmarkEnd w:id="136"/>
      <w:bookmarkEnd w:id="137"/>
    </w:p>
    <w:p w14:paraId="357B6399">
      <w:pPr>
        <w:rPr>
          <w:rFonts w:hint="eastAsia" w:ascii="宋体" w:hAnsi="宋体" w:eastAsia="宋体" w:cs="宋体"/>
          <w:color w:val="000000" w:themeColor="text1"/>
          <w:highlight w:val="none"/>
          <w14:textFill>
            <w14:solidFill>
              <w14:schemeClr w14:val="tx1"/>
            </w14:solidFill>
          </w14:textFill>
        </w:rPr>
      </w:pPr>
    </w:p>
    <w:p w14:paraId="7F41539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000000" w:themeColor="text1"/>
          <w:spacing w:val="-6"/>
          <w:sz w:val="28"/>
          <w:szCs w:val="28"/>
          <w:highlight w:val="none"/>
          <w14:textFill>
            <w14:solidFill>
              <w14:schemeClr w14:val="tx1"/>
            </w14:solidFill>
          </w14:textFill>
        </w:rPr>
      </w:pPr>
      <w:r>
        <w:rPr>
          <w:rFonts w:hint="eastAsia" w:ascii="宋体" w:hAnsi="宋体" w:eastAsia="宋体" w:cs="宋体"/>
          <w:b/>
          <w:bCs/>
          <w:color w:val="000000" w:themeColor="text1"/>
          <w:spacing w:val="-6"/>
          <w:sz w:val="30"/>
          <w:szCs w:val="30"/>
          <w:highlight w:val="none"/>
          <w14:textFill>
            <w14:solidFill>
              <w14:schemeClr w14:val="tx1"/>
            </w14:solidFill>
          </w14:textFill>
        </w:rPr>
        <w:t>法人或者其他组织的营业执照等主体资格证明文件，自然人的身份证明</w:t>
      </w:r>
    </w:p>
    <w:p w14:paraId="4F955907">
      <w:pPr>
        <w:rPr>
          <w:rFonts w:hint="eastAsia" w:ascii="宋体" w:hAnsi="宋体" w:eastAsia="宋体" w:cs="宋体"/>
          <w:color w:val="000000" w:themeColor="text1"/>
          <w:highlight w:val="none"/>
          <w14:textFill>
            <w14:solidFill>
              <w14:schemeClr w14:val="tx1"/>
            </w14:solidFill>
          </w14:textFill>
        </w:rPr>
      </w:pPr>
    </w:p>
    <w:p w14:paraId="12B717A7">
      <w:pPr>
        <w:adjustRightInd w:val="0"/>
        <w:snapToGrid w:val="0"/>
        <w:spacing w:line="360" w:lineRule="auto"/>
        <w:ind w:firstLine="422" w:firstLineChars="200"/>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备注</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）供应商为法人的，应提交营业执照或法人登记证书的复印件；</w:t>
      </w:r>
    </w:p>
    <w:p w14:paraId="7A7333ED">
      <w:pPr>
        <w:adjustRightInd w:val="0"/>
        <w:snapToGrid w:val="0"/>
        <w:spacing w:line="360" w:lineRule="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（2）</w:t>
      </w:r>
      <w:r>
        <w:rPr>
          <w:rFonts w:hint="eastAsia" w:ascii="宋体" w:hAnsi="宋体" w:eastAsia="宋体" w:cs="宋体"/>
          <w:color w:val="000000" w:themeColor="text1"/>
          <w:sz w:val="21"/>
          <w:szCs w:val="21"/>
          <w:highlight w:val="none"/>
          <w:lang w:eastAsia="zh-CN"/>
          <w14:textFill>
            <w14:solidFill>
              <w14:schemeClr w14:val="tx1"/>
            </w14:solidFill>
          </w14:textFill>
        </w:rPr>
        <w:t>供应商为非法人组织的，应提交依法登记证书复印件；</w:t>
      </w:r>
    </w:p>
    <w:p w14:paraId="561BB857">
      <w:pPr>
        <w:adjustRightInd w:val="0"/>
        <w:snapToGrid w:val="0"/>
        <w:spacing w:line="360" w:lineRule="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（3）</w:t>
      </w:r>
      <w:r>
        <w:rPr>
          <w:rFonts w:hint="eastAsia" w:ascii="宋体" w:hAnsi="宋体" w:eastAsia="宋体" w:cs="宋体"/>
          <w:color w:val="000000" w:themeColor="text1"/>
          <w:sz w:val="21"/>
          <w:szCs w:val="21"/>
          <w:highlight w:val="none"/>
          <w:lang w:eastAsia="zh-CN"/>
          <w14:textFill>
            <w14:solidFill>
              <w14:schemeClr w14:val="tx1"/>
            </w14:solidFill>
          </w14:textFill>
        </w:rPr>
        <w:t>供应商为个体工商户的，应提交个体工商户营业执照复印件；</w:t>
      </w:r>
    </w:p>
    <w:p w14:paraId="42B26DAD">
      <w:pPr>
        <w:adjustRightInd w:val="0"/>
        <w:snapToGrid w:val="0"/>
        <w:spacing w:line="360" w:lineRule="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（4）</w:t>
      </w:r>
      <w:r>
        <w:rPr>
          <w:rFonts w:hint="eastAsia" w:ascii="宋体" w:hAnsi="宋体" w:eastAsia="宋体" w:cs="宋体"/>
          <w:color w:val="000000" w:themeColor="text1"/>
          <w:sz w:val="21"/>
          <w:szCs w:val="21"/>
          <w:highlight w:val="none"/>
          <w:lang w:eastAsia="zh-CN"/>
          <w14:textFill>
            <w14:solidFill>
              <w14:schemeClr w14:val="tx1"/>
            </w14:solidFill>
          </w14:textFill>
        </w:rPr>
        <w:t>供应商为自然人的，应提交自然人的身份证明复印件。</w:t>
      </w:r>
    </w:p>
    <w:p w14:paraId="619625B8">
      <w:pPr>
        <w:adjustRightInd w:val="0"/>
        <w:snapToGrid w:val="0"/>
        <w:spacing w:line="360" w:lineRule="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65DDB32">
      <w:pPr>
        <w:pStyle w:val="11"/>
        <w:rPr>
          <w:rFonts w:hint="eastAsia" w:ascii="宋体" w:hAnsi="宋体" w:eastAsia="宋体" w:cs="宋体"/>
          <w:color w:val="000000" w:themeColor="text1"/>
          <w:sz w:val="28"/>
          <w:szCs w:val="28"/>
          <w:highlight w:val="none"/>
          <w14:textFill>
            <w14:solidFill>
              <w14:schemeClr w14:val="tx1"/>
            </w14:solidFill>
          </w14:textFill>
        </w:rPr>
      </w:pPr>
    </w:p>
    <w:p w14:paraId="04054AAA">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17A4DD1B">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38743F8E">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0E0E43ED">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5ABCB505">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5DBAE3A5">
      <w:pPr>
        <w:spacing w:line="480" w:lineRule="exact"/>
        <w:ind w:right="23" w:rightChars="11"/>
        <w:outlineLvl w:val="9"/>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br w:type="page"/>
      </w:r>
    </w:p>
    <w:p w14:paraId="369710EB">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38" w:name="_Toc32097"/>
      <w:bookmarkStart w:id="139" w:name="_Toc2292"/>
      <w:r>
        <w:rPr>
          <w:rFonts w:hint="eastAsia" w:ascii="宋体" w:hAnsi="宋体" w:eastAsia="宋体" w:cs="宋体"/>
          <w:color w:val="000000" w:themeColor="text1"/>
          <w:sz w:val="28"/>
          <w:szCs w:val="28"/>
          <w:highlight w:val="none"/>
          <w:lang w:val="en-US" w:eastAsia="zh-CN"/>
          <w14:textFill>
            <w14:solidFill>
              <w14:schemeClr w14:val="tx1"/>
            </w14:solidFill>
          </w14:textFill>
        </w:rPr>
        <w:t>附件3-3 湖南省政府采购供应商资格承诺函(格式)</w:t>
      </w:r>
      <w:bookmarkEnd w:id="138"/>
      <w:bookmarkEnd w:id="139"/>
    </w:p>
    <w:p w14:paraId="0356633F">
      <w:pPr>
        <w:rPr>
          <w:rFonts w:hint="eastAsia" w:ascii="宋体" w:hAnsi="宋体" w:eastAsia="宋体" w:cs="宋体"/>
          <w:color w:val="000000" w:themeColor="text1"/>
          <w:highlight w:val="none"/>
          <w14:textFill>
            <w14:solidFill>
              <w14:schemeClr w14:val="tx1"/>
            </w14:solidFill>
          </w14:textFill>
        </w:rPr>
      </w:pPr>
    </w:p>
    <w:p w14:paraId="6845DC2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b/>
          <w:bCs/>
          <w:color w:val="000000" w:themeColor="text1"/>
          <w:spacing w:val="-6"/>
          <w:sz w:val="30"/>
          <w:szCs w:val="30"/>
          <w:highlight w:val="none"/>
          <w14:textFill>
            <w14:solidFill>
              <w14:schemeClr w14:val="tx1"/>
            </w14:solidFill>
          </w14:textFill>
        </w:rPr>
      </w:pPr>
      <w:r>
        <w:rPr>
          <w:rFonts w:hint="eastAsia" w:ascii="宋体" w:hAnsi="宋体" w:eastAsia="宋体" w:cs="宋体"/>
          <w:b/>
          <w:bCs/>
          <w:color w:val="000000" w:themeColor="text1"/>
          <w:spacing w:val="-6"/>
          <w:sz w:val="30"/>
          <w:szCs w:val="30"/>
          <w:highlight w:val="none"/>
          <w14:textFill>
            <w14:solidFill>
              <w14:schemeClr w14:val="tx1"/>
            </w14:solidFill>
          </w14:textFill>
        </w:rPr>
        <w:t>湖南省政府采购供应商资格承诺函(格式)</w:t>
      </w:r>
    </w:p>
    <w:p w14:paraId="44FC0581">
      <w:pPr>
        <w:widowControl/>
        <w:spacing w:before="156" w:beforeLines="50"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本公司</w:t>
      </w:r>
      <w:r>
        <w:rPr>
          <w:rFonts w:hint="eastAsia" w:ascii="宋体" w:hAnsi="宋体" w:eastAsia="宋体" w:cs="宋体"/>
          <w:color w:val="000000" w:themeColor="text1"/>
          <w:sz w:val="24"/>
          <w:szCs w:val="24"/>
          <w:highlight w:val="none"/>
          <w:lang w:val="en-US" w:eastAsia="zh-CN"/>
          <w14:textFill>
            <w14:solidFill>
              <w14:schemeClr w14:val="tx1"/>
            </w14:solidFill>
          </w14:textFill>
        </w:rPr>
        <w:t>具有</w:t>
      </w:r>
      <w:r>
        <w:rPr>
          <w:rFonts w:hint="eastAsia" w:ascii="宋体" w:hAnsi="宋体" w:eastAsia="宋体" w:cs="宋体"/>
          <w:color w:val="000000" w:themeColor="text1"/>
          <w:sz w:val="24"/>
          <w:szCs w:val="24"/>
          <w:highlight w:val="none"/>
          <w14:textFill>
            <w14:solidFill>
              <w14:schemeClr w14:val="tx1"/>
            </w14:solidFill>
          </w14:textFill>
        </w:rPr>
        <w:t>独立承担民事责任、具有良好的商业信誉和健全的财务会计制度、依法缴纳税收和社会保障资金,在前三年的经营活动中无重大违法记录,未列入严重失信行为名单,符合政府采购供应商的基本资格要求。</w:t>
      </w:r>
    </w:p>
    <w:p w14:paraId="4B80CFC0">
      <w:pPr>
        <w:widowControl/>
        <w:spacing w:before="156" w:beforeLines="50"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按照《政府采购促进中小企业发展管理办法》(财库〔2020〕46号),本公司企业规模为: </w:t>
      </w:r>
    </w:p>
    <w:p w14:paraId="5E3254E4">
      <w:pPr>
        <w:widowControl/>
        <w:spacing w:before="156" w:beforeLines="50"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大型□    中型□    小型□    微型□。</w:t>
      </w:r>
    </w:p>
    <w:p w14:paraId="794E59E2">
      <w:pPr>
        <w:shd w:val="clear" w:color="auto" w:fill="FFFFFF"/>
        <w:kinsoku w:val="0"/>
        <w:autoSpaceDE w:val="0"/>
        <w:autoSpaceDN w:val="0"/>
        <w:adjustRightInd w:val="0"/>
        <w:snapToGrid w:val="0"/>
        <w:spacing w:line="360" w:lineRule="auto"/>
        <w:ind w:firstLine="480" w:firstLineChars="200"/>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bookmarkStart w:id="140" w:name="_Toc13776"/>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6201B76">
      <w:pPr>
        <w:shd w:val="clear" w:color="auto" w:fill="FFFFFF"/>
        <w:kinsoku w:val="0"/>
        <w:autoSpaceDE w:val="0"/>
        <w:autoSpaceDN w:val="0"/>
        <w:adjustRightInd w:val="0"/>
        <w:snapToGrid w:val="0"/>
        <w:spacing w:line="360" w:lineRule="auto"/>
        <w:ind w:firstLine="42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 按照《政府采购促进中小企业发展管理办法 》（财库〔2020〕46号），本公司企业规模为：大型□  中型□  小型□  微型□</w:t>
      </w:r>
    </w:p>
    <w:p w14:paraId="74739183">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w:t>
      </w:r>
    </w:p>
    <w:p w14:paraId="27D135FB">
      <w:pPr>
        <w:shd w:val="clear" w:color="auto" w:fill="FFFFFF"/>
        <w:kinsoku w:val="0"/>
        <w:autoSpaceDE w:val="0"/>
        <w:autoSpaceDN w:val="0"/>
        <w:adjustRightInd w:val="0"/>
        <w:snapToGrid w:val="0"/>
        <w:spacing w:line="360" w:lineRule="auto"/>
        <w:ind w:firstLine="3840" w:firstLineChars="160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公司（单位）名称（盖章）：</w:t>
      </w:r>
    </w:p>
    <w:p w14:paraId="1B2F676E">
      <w:pPr>
        <w:shd w:val="clear" w:color="auto" w:fill="FFFFFF"/>
        <w:kinsoku w:val="0"/>
        <w:autoSpaceDE w:val="0"/>
        <w:autoSpaceDN w:val="0"/>
        <w:adjustRightInd w:val="0"/>
        <w:snapToGrid w:val="0"/>
        <w:spacing w:line="360" w:lineRule="auto"/>
        <w:ind w:left="4639" w:leftChars="266" w:hanging="4080" w:hangingChars="170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                                                   年   月  日</w:t>
      </w:r>
    </w:p>
    <w:tbl>
      <w:tblPr>
        <w:tblStyle w:val="25"/>
        <w:tblW w:w="0" w:type="auto"/>
        <w:tblInd w:w="0" w:type="dxa"/>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Layout w:type="autofit"/>
        <w:tblCellMar>
          <w:top w:w="0" w:type="dxa"/>
          <w:left w:w="108" w:type="dxa"/>
          <w:bottom w:w="0" w:type="dxa"/>
          <w:right w:w="108" w:type="dxa"/>
        </w:tblCellMar>
      </w:tblPr>
      <w:tblGrid>
        <w:gridCol w:w="2448"/>
        <w:gridCol w:w="6531"/>
      </w:tblGrid>
      <w:tr w14:paraId="7980F09E">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56E00B98">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分项名称</w:t>
            </w:r>
          </w:p>
        </w:tc>
        <w:tc>
          <w:tcPr>
            <w:tcW w:w="6531" w:type="dxa"/>
            <w:noWrap w:val="0"/>
            <w:vAlign w:val="center"/>
          </w:tcPr>
          <w:p w14:paraId="21F5492A">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内容</w:t>
            </w:r>
          </w:p>
        </w:tc>
      </w:tr>
      <w:tr w14:paraId="7B6448D2">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82" w:hRule="atLeast"/>
        </w:trPr>
        <w:tc>
          <w:tcPr>
            <w:tcW w:w="2448" w:type="dxa"/>
            <w:noWrap w:val="0"/>
            <w:vAlign w:val="center"/>
          </w:tcPr>
          <w:p w14:paraId="0CA7DB9A">
            <w:pPr>
              <w:widowControl/>
              <w:kinsoku w:val="0"/>
              <w:topLinePunct/>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kern w:val="0"/>
                <w:szCs w:val="24"/>
                <w:highlight w:val="none"/>
                <w:shd w:val="clear" w:color="auto" w:fill="FFFFFF"/>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统一社会信用代码</w:t>
            </w:r>
          </w:p>
        </w:tc>
        <w:tc>
          <w:tcPr>
            <w:tcW w:w="6531" w:type="dxa"/>
            <w:noWrap w:val="0"/>
            <w:vAlign w:val="center"/>
          </w:tcPr>
          <w:p w14:paraId="619EB170">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1AF1273B">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0AE8B18E">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注册登记机构</w:t>
            </w:r>
          </w:p>
        </w:tc>
        <w:tc>
          <w:tcPr>
            <w:tcW w:w="6531" w:type="dxa"/>
            <w:noWrap w:val="0"/>
            <w:vAlign w:val="top"/>
          </w:tcPr>
          <w:p w14:paraId="341275E4">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53FBC810">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49FC4122">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日  期</w:t>
            </w:r>
          </w:p>
        </w:tc>
        <w:tc>
          <w:tcPr>
            <w:tcW w:w="6531" w:type="dxa"/>
            <w:noWrap w:val="0"/>
            <w:vAlign w:val="top"/>
          </w:tcPr>
          <w:p w14:paraId="39A509CF">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04A09A77">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3AF06E09">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有效期</w:t>
            </w:r>
          </w:p>
        </w:tc>
        <w:tc>
          <w:tcPr>
            <w:tcW w:w="6531" w:type="dxa"/>
            <w:noWrap w:val="0"/>
            <w:vAlign w:val="top"/>
          </w:tcPr>
          <w:p w14:paraId="61BB131F">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18C8FC6">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2391CE6F">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注册资本</w:t>
            </w:r>
          </w:p>
        </w:tc>
        <w:tc>
          <w:tcPr>
            <w:tcW w:w="6531" w:type="dxa"/>
            <w:noWrap w:val="0"/>
            <w:vAlign w:val="top"/>
          </w:tcPr>
          <w:p w14:paraId="21E0048C">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1FDD73B">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23B98136">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地  址</w:t>
            </w:r>
          </w:p>
        </w:tc>
        <w:tc>
          <w:tcPr>
            <w:tcW w:w="6531" w:type="dxa"/>
            <w:noWrap w:val="0"/>
            <w:vAlign w:val="top"/>
          </w:tcPr>
          <w:p w14:paraId="03F01813">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76A232B">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7B307441">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经济行业</w:t>
            </w:r>
          </w:p>
        </w:tc>
        <w:tc>
          <w:tcPr>
            <w:tcW w:w="6531" w:type="dxa"/>
            <w:noWrap w:val="0"/>
            <w:vAlign w:val="top"/>
          </w:tcPr>
          <w:p w14:paraId="08A33808">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758ABA1">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30" w:hRule="atLeast"/>
        </w:trPr>
        <w:tc>
          <w:tcPr>
            <w:tcW w:w="2448" w:type="dxa"/>
            <w:noWrap w:val="0"/>
            <w:vAlign w:val="center"/>
          </w:tcPr>
          <w:p w14:paraId="708CC9F3">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经济性质</w:t>
            </w:r>
          </w:p>
        </w:tc>
        <w:tc>
          <w:tcPr>
            <w:tcW w:w="6531" w:type="dxa"/>
            <w:noWrap w:val="0"/>
            <w:vAlign w:val="top"/>
          </w:tcPr>
          <w:p w14:paraId="5B1A6C71">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bl>
    <w:p w14:paraId="4346306A">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p w14:paraId="62D5C64F">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法定代表人（负责人）姓名（签字或印章）：</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550EA790">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身份证号：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5DD26E20">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手机号：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xml:space="preserve"> </w:t>
      </w:r>
    </w:p>
    <w:p w14:paraId="045053CE">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授权代表人姓名（签字或印章）：</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50308979">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身份证号：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4B430514">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手机号：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12DDBF3B">
      <w:pP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pPr>
    </w:p>
    <w:p w14:paraId="6BD9FB14">
      <w:pPr>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br w:type="page"/>
      </w:r>
    </w:p>
    <w:p w14:paraId="27D24FD4">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41" w:name="_Toc30895"/>
      <w:r>
        <w:rPr>
          <w:rFonts w:hint="eastAsia" w:ascii="宋体" w:hAnsi="宋体" w:eastAsia="宋体" w:cs="宋体"/>
          <w:color w:val="000000" w:themeColor="text1"/>
          <w:sz w:val="28"/>
          <w:szCs w:val="28"/>
          <w:highlight w:val="none"/>
          <w:lang w:val="en-US" w:eastAsia="zh-CN"/>
          <w14:textFill>
            <w14:solidFill>
              <w14:schemeClr w14:val="tx1"/>
            </w14:solidFill>
          </w14:textFill>
        </w:rPr>
        <w:t>附件3-4供应商信用信息查询</w:t>
      </w:r>
      <w:bookmarkEnd w:id="141"/>
    </w:p>
    <w:p w14:paraId="489AFB34">
      <w:p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提供未</w:t>
      </w:r>
      <w:r>
        <w:rPr>
          <w:rFonts w:hint="eastAsia" w:ascii="宋体" w:hAnsi="宋体" w:eastAsia="宋体" w:cs="宋体"/>
          <w:color w:val="000000" w:themeColor="text1"/>
          <w:sz w:val="24"/>
          <w:szCs w:val="24"/>
          <w:highlight w:val="none"/>
          <w:lang w:val="zh-CN" w:eastAsia="zh-CN"/>
          <w14:textFill>
            <w14:solidFill>
              <w14:schemeClr w14:val="tx1"/>
            </w14:solidFill>
          </w14:textFill>
        </w:rPr>
        <w:t>被“信用中国”</w:t>
      </w:r>
      <w:r>
        <w:rPr>
          <w:rFonts w:hint="eastAsia" w:ascii="宋体" w:hAnsi="宋体" w:eastAsia="宋体" w:cs="宋体"/>
          <w:color w:val="000000" w:themeColor="text1"/>
          <w:sz w:val="24"/>
          <w:szCs w:val="24"/>
          <w:highlight w:val="none"/>
          <w:lang w:val="en-US" w:eastAsia="zh-CN"/>
          <w14:textFill>
            <w14:solidFill>
              <w14:schemeClr w14:val="tx1"/>
            </w14:solidFill>
          </w14:textFill>
        </w:rPr>
        <w:t>网站</w:t>
      </w:r>
      <w:r>
        <w:rPr>
          <w:rFonts w:hint="eastAsia" w:ascii="宋体" w:hAnsi="宋体" w:eastAsia="宋体" w:cs="宋体"/>
          <w:color w:val="000000" w:themeColor="text1"/>
          <w:sz w:val="24"/>
          <w:szCs w:val="24"/>
          <w:highlight w:val="none"/>
          <w:lang w:val="zh-CN" w:eastAsia="zh-CN"/>
          <w14:textFill>
            <w14:solidFill>
              <w14:schemeClr w14:val="tx1"/>
            </w14:solidFill>
          </w14:textFill>
        </w:rPr>
        <w:t>列入失信被执行人和重大税收违法</w:t>
      </w:r>
      <w:r>
        <w:rPr>
          <w:rFonts w:hint="eastAsia" w:ascii="宋体" w:hAnsi="宋体" w:eastAsia="宋体" w:cs="宋体"/>
          <w:color w:val="000000" w:themeColor="text1"/>
          <w:sz w:val="24"/>
          <w:szCs w:val="24"/>
          <w:highlight w:val="none"/>
          <w:lang w:val="en-US" w:eastAsia="zh-CN"/>
          <w14:textFill>
            <w14:solidFill>
              <w14:schemeClr w14:val="tx1"/>
            </w14:solidFill>
          </w14:textFill>
        </w:rPr>
        <w:t>失信主体</w:t>
      </w:r>
      <w:r>
        <w:rPr>
          <w:rFonts w:hint="eastAsia" w:ascii="宋体" w:hAnsi="宋体" w:eastAsia="宋体" w:cs="宋体"/>
          <w:color w:val="000000" w:themeColor="text1"/>
          <w:sz w:val="24"/>
          <w:szCs w:val="24"/>
          <w:highlight w:val="none"/>
          <w:lang w:val="zh-CN"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未</w:t>
      </w:r>
      <w:r>
        <w:rPr>
          <w:rFonts w:hint="eastAsia" w:ascii="宋体" w:hAnsi="宋体" w:eastAsia="宋体" w:cs="宋体"/>
          <w:color w:val="000000" w:themeColor="text1"/>
          <w:sz w:val="24"/>
          <w:szCs w:val="24"/>
          <w:highlight w:val="none"/>
          <w:lang w:val="zh-CN" w:eastAsia="zh-CN"/>
          <w14:textFill>
            <w14:solidFill>
              <w14:schemeClr w14:val="tx1"/>
            </w14:solidFill>
          </w14:textFill>
        </w:rPr>
        <w:t>被“中国政府采购网”列入政府采购严重违法失信行为记录</w:t>
      </w:r>
      <w:r>
        <w:rPr>
          <w:rFonts w:hint="eastAsia" w:ascii="宋体" w:hAnsi="宋体" w:eastAsia="宋体" w:cs="宋体"/>
          <w:color w:val="000000" w:themeColor="text1"/>
          <w:sz w:val="24"/>
          <w:szCs w:val="24"/>
          <w:highlight w:val="none"/>
          <w:lang w:val="en-US" w:eastAsia="zh-CN"/>
          <w14:textFill>
            <w14:solidFill>
              <w14:schemeClr w14:val="tx1"/>
            </w14:solidFill>
          </w14:textFill>
        </w:rPr>
        <w:t>截图证明。</w:t>
      </w:r>
    </w:p>
    <w:p w14:paraId="2983BEDE">
      <w:pPr>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0AF75ABF">
      <w:pP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br w:type="page"/>
      </w:r>
    </w:p>
    <w:p w14:paraId="021218F5">
      <w:pPr>
        <w:numPr>
          <w:ilvl w:val="0"/>
          <w:numId w:val="0"/>
        </w:numPr>
        <w:adjustRightInd w:val="0"/>
        <w:snapToGrid w:val="0"/>
        <w:spacing w:line="360" w:lineRule="auto"/>
        <w:jc w:val="center"/>
        <w:outlineLvl w:val="1"/>
        <w:rPr>
          <w:rFonts w:hint="eastAsia" w:ascii="宋体" w:hAnsi="宋体" w:eastAsia="宋体" w:cs="宋体"/>
          <w:b/>
          <w:color w:val="000000" w:themeColor="text1"/>
          <w:sz w:val="32"/>
          <w:szCs w:val="32"/>
          <w:highlight w:val="none"/>
          <w:lang w:val="en-US" w:eastAsia="zh-CN"/>
          <w14:textFill>
            <w14:solidFill>
              <w14:schemeClr w14:val="tx1"/>
            </w14:solidFill>
          </w14:textFill>
        </w:rPr>
      </w:pPr>
      <w:bookmarkStart w:id="142" w:name="_Toc2114"/>
      <w: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t>四、</w:t>
      </w:r>
      <w:r>
        <w:rPr>
          <w:rFonts w:hint="eastAsia" w:ascii="宋体" w:hAnsi="宋体" w:eastAsia="宋体" w:cs="宋体"/>
          <w:b/>
          <w:color w:val="000000" w:themeColor="text1"/>
          <w:sz w:val="32"/>
          <w:szCs w:val="32"/>
          <w:highlight w:val="none"/>
          <w:lang w:val="en-US" w:eastAsia="zh-CN"/>
          <w14:textFill>
            <w14:solidFill>
              <w14:schemeClr w14:val="tx1"/>
            </w14:solidFill>
          </w14:textFill>
        </w:rPr>
        <w:t>项目负责人简历表</w:t>
      </w:r>
      <w:bookmarkEnd w:id="142"/>
      <w:r>
        <w:rPr>
          <w:rFonts w:hint="eastAsia" w:ascii="宋体" w:hAnsi="宋体" w:eastAsia="宋体" w:cs="宋体"/>
          <w:b/>
          <w:color w:val="000000" w:themeColor="text1"/>
          <w:sz w:val="32"/>
          <w:szCs w:val="32"/>
          <w:highlight w:val="none"/>
          <w:lang w:val="en-US" w:eastAsia="zh-CN"/>
          <w14:textFill>
            <w14:solidFill>
              <w14:schemeClr w14:val="tx1"/>
            </w14:solidFill>
          </w14:textFill>
        </w:rPr>
        <w:t xml:space="preserve"> </w:t>
      </w:r>
    </w:p>
    <w:tbl>
      <w:tblPr>
        <w:tblStyle w:val="25"/>
        <w:tblW w:w="487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329"/>
        <w:gridCol w:w="884"/>
        <w:gridCol w:w="2834"/>
        <w:gridCol w:w="1475"/>
        <w:gridCol w:w="1210"/>
        <w:gridCol w:w="1535"/>
      </w:tblGrid>
      <w:tr w14:paraId="3FD15E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1194" w:type="pct"/>
            <w:gridSpan w:val="2"/>
            <w:noWrap w:val="0"/>
            <w:vAlign w:val="center"/>
          </w:tcPr>
          <w:p w14:paraId="7959EB33">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p>
        </w:tc>
        <w:tc>
          <w:tcPr>
            <w:tcW w:w="1529" w:type="pct"/>
            <w:noWrap w:val="0"/>
            <w:vAlign w:val="center"/>
          </w:tcPr>
          <w:p w14:paraId="2FA29D7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4FDE8F4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性 别</w:t>
            </w:r>
          </w:p>
        </w:tc>
        <w:tc>
          <w:tcPr>
            <w:tcW w:w="826" w:type="pct"/>
            <w:noWrap w:val="0"/>
            <w:vAlign w:val="center"/>
          </w:tcPr>
          <w:p w14:paraId="1AE7B4D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6A0BF8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1194" w:type="pct"/>
            <w:gridSpan w:val="2"/>
            <w:noWrap w:val="0"/>
            <w:vAlign w:val="center"/>
          </w:tcPr>
          <w:p w14:paraId="1ABE8D3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职 务</w:t>
            </w:r>
          </w:p>
        </w:tc>
        <w:tc>
          <w:tcPr>
            <w:tcW w:w="1529" w:type="pct"/>
            <w:noWrap w:val="0"/>
            <w:vAlign w:val="center"/>
          </w:tcPr>
          <w:p w14:paraId="51A8D8D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1C6C672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职 称</w:t>
            </w:r>
          </w:p>
        </w:tc>
        <w:tc>
          <w:tcPr>
            <w:tcW w:w="826" w:type="pct"/>
            <w:noWrap w:val="0"/>
            <w:vAlign w:val="center"/>
          </w:tcPr>
          <w:p w14:paraId="6A3D91D1">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6A2923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1194" w:type="pct"/>
            <w:gridSpan w:val="2"/>
            <w:noWrap w:val="0"/>
            <w:vAlign w:val="center"/>
          </w:tcPr>
          <w:p w14:paraId="53C2639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毕业学校、专业</w:t>
            </w:r>
          </w:p>
        </w:tc>
        <w:tc>
          <w:tcPr>
            <w:tcW w:w="3805" w:type="pct"/>
            <w:gridSpan w:val="4"/>
            <w:noWrap w:val="0"/>
            <w:vAlign w:val="center"/>
          </w:tcPr>
          <w:p w14:paraId="65C7ACF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FE41F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1194" w:type="pct"/>
            <w:gridSpan w:val="2"/>
            <w:noWrap w:val="0"/>
            <w:vAlign w:val="center"/>
          </w:tcPr>
          <w:p w14:paraId="75B89E9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身份证号</w:t>
            </w:r>
          </w:p>
        </w:tc>
        <w:tc>
          <w:tcPr>
            <w:tcW w:w="1529" w:type="pct"/>
            <w:noWrap w:val="0"/>
            <w:vAlign w:val="center"/>
          </w:tcPr>
          <w:p w14:paraId="0F299CA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42FE7BA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拟在本合同任职</w:t>
            </w:r>
          </w:p>
        </w:tc>
        <w:tc>
          <w:tcPr>
            <w:tcW w:w="826" w:type="pct"/>
            <w:noWrap w:val="0"/>
            <w:vAlign w:val="center"/>
          </w:tcPr>
          <w:p w14:paraId="3D5D20EB">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421309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1194" w:type="pct"/>
            <w:gridSpan w:val="2"/>
            <w:noWrap w:val="0"/>
            <w:vAlign w:val="center"/>
          </w:tcPr>
          <w:p w14:paraId="3527F591">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执业资格证</w:t>
            </w:r>
          </w:p>
        </w:tc>
        <w:tc>
          <w:tcPr>
            <w:tcW w:w="1529" w:type="pct"/>
            <w:noWrap w:val="0"/>
            <w:vAlign w:val="center"/>
          </w:tcPr>
          <w:p w14:paraId="3CF9D201">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39EBBFC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执业资格证书号</w:t>
            </w:r>
          </w:p>
        </w:tc>
        <w:tc>
          <w:tcPr>
            <w:tcW w:w="826" w:type="pct"/>
            <w:noWrap w:val="0"/>
            <w:vAlign w:val="center"/>
          </w:tcPr>
          <w:p w14:paraId="0364B104">
            <w:pPr>
              <w:rPr>
                <w:rFonts w:hint="eastAsia" w:ascii="宋体" w:hAnsi="宋体" w:eastAsia="宋体" w:cs="宋体"/>
                <w:color w:val="000000" w:themeColor="text1"/>
                <w:sz w:val="24"/>
                <w:szCs w:val="24"/>
                <w:highlight w:val="none"/>
                <w14:textFill>
                  <w14:solidFill>
                    <w14:schemeClr w14:val="tx1"/>
                  </w14:solidFill>
                </w14:textFill>
              </w:rPr>
            </w:pPr>
          </w:p>
        </w:tc>
      </w:tr>
      <w:tr w14:paraId="48157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5000" w:type="pct"/>
            <w:gridSpan w:val="6"/>
            <w:noWrap w:val="0"/>
            <w:vAlign w:val="center"/>
          </w:tcPr>
          <w:p w14:paraId="151905B2">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近三年承担项目情况</w:t>
            </w:r>
          </w:p>
        </w:tc>
      </w:tr>
      <w:tr w14:paraId="1FCB2B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0" w:hRule="exact"/>
          <w:jc w:val="center"/>
        </w:trPr>
        <w:tc>
          <w:tcPr>
            <w:tcW w:w="717" w:type="pct"/>
            <w:noWrap w:val="0"/>
            <w:vAlign w:val="center"/>
          </w:tcPr>
          <w:p w14:paraId="4F2AA55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p>
        </w:tc>
        <w:tc>
          <w:tcPr>
            <w:tcW w:w="2006" w:type="pct"/>
            <w:gridSpan w:val="2"/>
            <w:noWrap w:val="0"/>
            <w:vAlign w:val="center"/>
          </w:tcPr>
          <w:p w14:paraId="24B98EC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类似项目名称</w:t>
            </w:r>
          </w:p>
        </w:tc>
        <w:tc>
          <w:tcPr>
            <w:tcW w:w="796" w:type="pct"/>
            <w:noWrap w:val="0"/>
            <w:vAlign w:val="center"/>
          </w:tcPr>
          <w:p w14:paraId="55E50F3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担任职务</w:t>
            </w:r>
          </w:p>
        </w:tc>
        <w:tc>
          <w:tcPr>
            <w:tcW w:w="1479" w:type="pct"/>
            <w:gridSpan w:val="2"/>
            <w:noWrap w:val="0"/>
            <w:vAlign w:val="center"/>
          </w:tcPr>
          <w:p w14:paraId="184CD53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项目单位名称及电话</w:t>
            </w:r>
          </w:p>
        </w:tc>
      </w:tr>
      <w:tr w14:paraId="249700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7A2F6D6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5FC5C7E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05394FC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1EF8601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0455A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5A88C4D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5B3AC99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575D046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2E12786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296300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686E0814">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20597A4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5F8B7DDC">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7E271E84">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4B946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6D76EE4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3759527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3E6DD5C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4570863B">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3FD7B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76277F34">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7C72673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2B17E70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2CE74853">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B1C7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3333232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40EDCF2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175C5C4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0F602E3C">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047EF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469A8C1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056F384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765FC8A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1D0F0A3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4B7D8E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481A480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0FAC006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27B54BA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0D6890A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EA31D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2F71AFE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62B524A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0BE413F5">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5BE865F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366ECEF9">
      <w:pPr>
        <w:rPr>
          <w:rFonts w:hint="eastAsia" w:ascii="宋体" w:hAnsi="宋体" w:eastAsia="宋体" w:cs="宋体"/>
          <w:color w:val="000000" w:themeColor="text1"/>
          <w:highlight w:val="none"/>
          <w:lang w:val="en-US" w:eastAsia="zh-CN"/>
          <w14:textFill>
            <w14:solidFill>
              <w14:schemeClr w14:val="tx1"/>
            </w14:solidFill>
          </w14:textFill>
        </w:rPr>
      </w:pPr>
    </w:p>
    <w:p w14:paraId="533F5768">
      <w:pPr>
        <w:spacing w:line="360" w:lineRule="auto"/>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注：</w:t>
      </w:r>
      <w:r>
        <w:rPr>
          <w:rFonts w:hint="eastAsia" w:ascii="宋体" w:hAnsi="宋体" w:eastAsia="宋体" w:cs="宋体"/>
          <w:color w:val="000000" w:themeColor="text1"/>
          <w:sz w:val="24"/>
          <w:szCs w:val="24"/>
          <w:highlight w:val="none"/>
          <w14:textFill>
            <w14:solidFill>
              <w14:schemeClr w14:val="tx1"/>
            </w14:solidFill>
          </w14:textFill>
        </w:rPr>
        <w:t>附主要人员证书</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指项目负责人</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、社保证明、类似项目证明资料等（如有）。</w:t>
      </w:r>
    </w:p>
    <w:p w14:paraId="2AF541E7">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41141B6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1DD4719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w:t>
      </w:r>
      <w:r>
        <w:rPr>
          <w:rFonts w:hint="eastAsia" w:ascii="宋体" w:hAnsi="宋体" w:eastAsia="宋体" w:cs="宋体"/>
          <w:color w:val="000000" w:themeColor="text1"/>
          <w:sz w:val="24"/>
          <w:szCs w:val="24"/>
          <w:highlight w:val="none"/>
          <w14:textFill>
            <w14:solidFill>
              <w14:schemeClr w14:val="tx1"/>
            </w14:solidFill>
          </w14:textFill>
        </w:rPr>
        <w:t>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1191D9F">
      <w:p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1CCA7DBE">
      <w:pPr>
        <w:ind w:firstLine="480" w:firstLineChars="20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bookmarkEnd w:id="140"/>
    <w:p w14:paraId="240BFC92">
      <w:pPr>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bookmarkStart w:id="143" w:name="_Toc31025"/>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2A83EE42">
      <w:pPr>
        <w:numPr>
          <w:ilvl w:val="0"/>
          <w:numId w:val="0"/>
        </w:numPr>
        <w:adjustRightInd w:val="0"/>
        <w:snapToGrid w:val="0"/>
        <w:spacing w:line="360" w:lineRule="auto"/>
        <w:jc w:val="center"/>
        <w:outlineLvl w:val="1"/>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bookmarkStart w:id="144" w:name="_Toc10310"/>
      <w:r>
        <w:rPr>
          <w:rFonts w:hint="eastAsia" w:ascii="宋体" w:hAnsi="宋体" w:eastAsia="宋体" w:cs="宋体"/>
          <w:b/>
          <w:bCs/>
          <w:color w:val="000000" w:themeColor="text1"/>
          <w:sz w:val="32"/>
          <w:szCs w:val="32"/>
          <w:highlight w:val="none"/>
          <w:lang w:val="en-US" w:eastAsia="zh-CN"/>
          <w14:textFill>
            <w14:solidFill>
              <w14:schemeClr w14:val="tx1"/>
            </w14:solidFill>
          </w14:textFill>
        </w:rPr>
        <w:t>五、</w:t>
      </w:r>
      <w:bookmarkEnd w:id="143"/>
      <w:r>
        <w:rPr>
          <w:rFonts w:hint="eastAsia" w:ascii="宋体" w:hAnsi="宋体" w:eastAsia="宋体" w:cs="宋体"/>
          <w:b/>
          <w:bCs/>
          <w:color w:val="000000" w:themeColor="text1"/>
          <w:sz w:val="32"/>
          <w:szCs w:val="32"/>
          <w:highlight w:val="none"/>
          <w:lang w:val="en-US" w:eastAsia="zh-CN"/>
          <w14:textFill>
            <w14:solidFill>
              <w14:schemeClr w14:val="tx1"/>
            </w14:solidFill>
          </w14:textFill>
        </w:rPr>
        <w:t>技术或商务响应偏离表</w:t>
      </w:r>
      <w:bookmarkEnd w:id="144"/>
    </w:p>
    <w:p w14:paraId="172A2E16">
      <w:pPr>
        <w:adjustRightInd w:val="0"/>
        <w:snapToGrid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项目名称：</w:t>
      </w:r>
    </w:p>
    <w:tbl>
      <w:tblPr>
        <w:tblStyle w:val="25"/>
        <w:tblW w:w="926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769"/>
        <w:gridCol w:w="1820"/>
        <w:gridCol w:w="1850"/>
        <w:gridCol w:w="1251"/>
        <w:gridCol w:w="816"/>
      </w:tblGrid>
      <w:tr w14:paraId="6968A0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9266" w:type="dxa"/>
            <w:gridSpan w:val="6"/>
            <w:tcBorders>
              <w:tl2br w:val="nil"/>
              <w:tr2bl w:val="nil"/>
            </w:tcBorders>
            <w:noWrap w:val="0"/>
            <w:vAlign w:val="center"/>
          </w:tcPr>
          <w:p w14:paraId="0CD7F3D1">
            <w:pPr>
              <w:adjustRightInd w:val="0"/>
              <w:snapToGrid w:val="0"/>
              <w:spacing w:line="360" w:lineRule="auto"/>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对本项目</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技术/商务</w:t>
            </w:r>
            <w:r>
              <w:rPr>
                <w:rFonts w:hint="eastAsia" w:ascii="宋体" w:hAnsi="宋体" w:eastAsia="宋体" w:cs="宋体"/>
                <w:b/>
                <w:color w:val="000000" w:themeColor="text1"/>
                <w:sz w:val="24"/>
                <w:szCs w:val="24"/>
                <w:highlight w:val="none"/>
                <w14:textFill>
                  <w14:solidFill>
                    <w14:schemeClr w14:val="tx1"/>
                  </w14:solidFill>
                </w14:textFill>
              </w:rPr>
              <w:t>条款的偏离情况（请进行勾选</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打</w:t>
            </w:r>
            <w:r>
              <w:rPr>
                <w:rFonts w:hint="eastAsia" w:ascii="宋体" w:hAnsi="宋体" w:eastAsia="宋体" w:cs="宋体"/>
                <w:b/>
                <w:color w:val="000000" w:themeColor="text1"/>
                <w:sz w:val="24"/>
                <w:szCs w:val="24"/>
                <w:highlight w:val="none"/>
                <w:lang w:eastAsia="zh-CN"/>
                <w14:textFill>
                  <w14:solidFill>
                    <w14:schemeClr w14:val="tx1"/>
                  </w14:solidFill>
                </w14:textFill>
              </w:rPr>
              <w:t>“√”</w:t>
            </w:r>
            <w:r>
              <w:rPr>
                <w:rFonts w:hint="eastAsia" w:ascii="宋体" w:hAnsi="宋体" w:eastAsia="宋体" w:cs="宋体"/>
                <w:b/>
                <w:color w:val="000000" w:themeColor="text1"/>
                <w:sz w:val="24"/>
                <w:szCs w:val="24"/>
                <w:highlight w:val="none"/>
                <w14:textFill>
                  <w14:solidFill>
                    <w14:schemeClr w14:val="tx1"/>
                  </w14:solidFill>
                </w14:textFill>
              </w:rPr>
              <w:t>）：</w:t>
            </w:r>
          </w:p>
          <w:p w14:paraId="3175D652">
            <w:pPr>
              <w:adjustRightInd w:val="0"/>
              <w:snapToGrid w:val="0"/>
              <w:spacing w:line="360" w:lineRule="auto"/>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sym w:font="Wingdings" w:char="00A8"/>
            </w:r>
            <w:r>
              <w:rPr>
                <w:rFonts w:hint="eastAsia" w:ascii="宋体" w:hAnsi="宋体" w:eastAsia="宋体" w:cs="宋体"/>
                <w:b/>
                <w:color w:val="000000" w:themeColor="text1"/>
                <w:sz w:val="24"/>
                <w:szCs w:val="24"/>
                <w:highlight w:val="none"/>
                <w14:textFill>
                  <w14:solidFill>
                    <w14:schemeClr w14:val="tx1"/>
                  </w14:solidFill>
                </w14:textFill>
              </w:rPr>
              <w:t>无偏离</w:t>
            </w:r>
            <w:r>
              <w:rPr>
                <w:rFonts w:hint="eastAsia" w:ascii="宋体" w:hAnsi="宋体" w:eastAsia="宋体" w:cs="宋体"/>
                <w:color w:val="000000" w:themeColor="text1"/>
                <w:sz w:val="24"/>
                <w:szCs w:val="24"/>
                <w:highlight w:val="none"/>
                <w14:textFill>
                  <w14:solidFill>
                    <w14:schemeClr w14:val="tx1"/>
                  </w14:solidFill>
                </w14:textFill>
              </w:rPr>
              <w:t>（如无偏离，仅勾选无偏离即可）</w:t>
            </w:r>
          </w:p>
          <w:p w14:paraId="6B883040">
            <w:pPr>
              <w:adjustRightInd w:val="0"/>
              <w:snapToGrid w:val="0"/>
              <w:spacing w:line="360" w:lineRule="auto"/>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sym w:font="Wingdings" w:char="00A8"/>
            </w:r>
            <w:r>
              <w:rPr>
                <w:rFonts w:hint="eastAsia" w:ascii="宋体" w:hAnsi="宋体" w:eastAsia="宋体" w:cs="宋体"/>
                <w:b/>
                <w:color w:val="000000" w:themeColor="text1"/>
                <w:sz w:val="24"/>
                <w:szCs w:val="24"/>
                <w:highlight w:val="none"/>
                <w14:textFill>
                  <w14:solidFill>
                    <w14:schemeClr w14:val="tx1"/>
                  </w14:solidFill>
                </w14:textFill>
              </w:rPr>
              <w:t>有偏离</w:t>
            </w:r>
            <w:r>
              <w:rPr>
                <w:rFonts w:hint="eastAsia" w:ascii="宋体" w:hAnsi="宋体" w:eastAsia="宋体" w:cs="宋体"/>
                <w:color w:val="000000" w:themeColor="text1"/>
                <w:sz w:val="24"/>
                <w:szCs w:val="24"/>
                <w:highlight w:val="none"/>
                <w14:textFill>
                  <w14:solidFill>
                    <w14:schemeClr w14:val="tx1"/>
                  </w14:solidFill>
                </w14:textFill>
              </w:rPr>
              <w:t>（如有偏离，则应在本表中对偏离项逐一列明）</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r>
      <w:tr w14:paraId="479C43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l2br w:val="nil"/>
              <w:tr2bl w:val="nil"/>
            </w:tcBorders>
            <w:noWrap w:val="0"/>
            <w:vAlign w:val="center"/>
          </w:tcPr>
          <w:p w14:paraId="0E003E1A">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2769" w:type="dxa"/>
            <w:tcBorders>
              <w:tl2br w:val="nil"/>
              <w:tr2bl w:val="nil"/>
            </w:tcBorders>
            <w:noWrap w:val="0"/>
            <w:vAlign w:val="center"/>
          </w:tcPr>
          <w:p w14:paraId="685A860B">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lang w:val="en-US" w:eastAsia="zh-CN"/>
                <w14:textFill>
                  <w14:solidFill>
                    <w14:schemeClr w14:val="tx1"/>
                  </w14:solidFill>
                </w14:textFill>
              </w:rPr>
              <w:t>章节条款号</w:t>
            </w:r>
          </w:p>
        </w:tc>
        <w:tc>
          <w:tcPr>
            <w:tcW w:w="1820" w:type="dxa"/>
            <w:tcBorders>
              <w:tl2br w:val="nil"/>
              <w:tr2bl w:val="nil"/>
            </w:tcBorders>
            <w:noWrap w:val="0"/>
            <w:vAlign w:val="center"/>
          </w:tcPr>
          <w:p w14:paraId="23F7BE13">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要求</w:t>
            </w:r>
          </w:p>
        </w:tc>
        <w:tc>
          <w:tcPr>
            <w:tcW w:w="1850" w:type="dxa"/>
            <w:tcBorders>
              <w:tl2br w:val="nil"/>
              <w:tr2bl w:val="nil"/>
            </w:tcBorders>
            <w:noWrap w:val="0"/>
            <w:vAlign w:val="center"/>
          </w:tcPr>
          <w:p w14:paraId="3742ECEE">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文件内容</w:t>
            </w:r>
          </w:p>
        </w:tc>
        <w:tc>
          <w:tcPr>
            <w:tcW w:w="1251" w:type="dxa"/>
            <w:tcBorders>
              <w:tl2br w:val="nil"/>
              <w:tr2bl w:val="nil"/>
            </w:tcBorders>
            <w:noWrap w:val="0"/>
            <w:vAlign w:val="center"/>
          </w:tcPr>
          <w:p w14:paraId="483315E1">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偏离情况</w:t>
            </w:r>
          </w:p>
        </w:tc>
        <w:tc>
          <w:tcPr>
            <w:tcW w:w="816" w:type="dxa"/>
            <w:tcBorders>
              <w:tl2br w:val="nil"/>
              <w:tr2bl w:val="nil"/>
            </w:tcBorders>
            <w:noWrap w:val="0"/>
            <w:vAlign w:val="center"/>
          </w:tcPr>
          <w:p w14:paraId="204D7157">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说明</w:t>
            </w:r>
          </w:p>
        </w:tc>
      </w:tr>
      <w:tr w14:paraId="6549F1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l2br w:val="nil"/>
              <w:tr2bl w:val="nil"/>
            </w:tcBorders>
            <w:noWrap w:val="0"/>
            <w:vAlign w:val="center"/>
          </w:tcPr>
          <w:p w14:paraId="0ED4530B">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769" w:type="dxa"/>
            <w:tcBorders>
              <w:tl2br w:val="nil"/>
              <w:tr2bl w:val="nil"/>
            </w:tcBorders>
            <w:noWrap w:val="0"/>
            <w:vAlign w:val="center"/>
          </w:tcPr>
          <w:p w14:paraId="59F1502D">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20" w:type="dxa"/>
            <w:tcBorders>
              <w:tl2br w:val="nil"/>
              <w:tr2bl w:val="nil"/>
            </w:tcBorders>
            <w:noWrap w:val="0"/>
            <w:vAlign w:val="center"/>
          </w:tcPr>
          <w:p w14:paraId="22359196">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50" w:type="dxa"/>
            <w:tcBorders>
              <w:tl2br w:val="nil"/>
              <w:tr2bl w:val="nil"/>
            </w:tcBorders>
            <w:noWrap w:val="0"/>
            <w:vAlign w:val="center"/>
          </w:tcPr>
          <w:p w14:paraId="04EFD31E">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251" w:type="dxa"/>
            <w:tcBorders>
              <w:tl2br w:val="nil"/>
              <w:tr2bl w:val="nil"/>
            </w:tcBorders>
            <w:noWrap w:val="0"/>
            <w:vAlign w:val="center"/>
          </w:tcPr>
          <w:p w14:paraId="7E6C94A3">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816" w:type="dxa"/>
            <w:tcBorders>
              <w:tl2br w:val="nil"/>
              <w:tr2bl w:val="nil"/>
            </w:tcBorders>
            <w:noWrap w:val="0"/>
            <w:vAlign w:val="center"/>
          </w:tcPr>
          <w:p w14:paraId="6871F408">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37866B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l2br w:val="nil"/>
              <w:tr2bl w:val="nil"/>
            </w:tcBorders>
            <w:noWrap w:val="0"/>
            <w:vAlign w:val="center"/>
          </w:tcPr>
          <w:p w14:paraId="5562BC57">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769" w:type="dxa"/>
            <w:tcBorders>
              <w:tl2br w:val="nil"/>
              <w:tr2bl w:val="nil"/>
            </w:tcBorders>
            <w:noWrap w:val="0"/>
            <w:vAlign w:val="center"/>
          </w:tcPr>
          <w:p w14:paraId="2807EA2E">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20" w:type="dxa"/>
            <w:tcBorders>
              <w:tl2br w:val="nil"/>
              <w:tr2bl w:val="nil"/>
            </w:tcBorders>
            <w:noWrap w:val="0"/>
            <w:vAlign w:val="center"/>
          </w:tcPr>
          <w:p w14:paraId="4046BD00">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50" w:type="dxa"/>
            <w:tcBorders>
              <w:tl2br w:val="nil"/>
              <w:tr2bl w:val="nil"/>
            </w:tcBorders>
            <w:noWrap w:val="0"/>
            <w:vAlign w:val="center"/>
          </w:tcPr>
          <w:p w14:paraId="7DD83AB3">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251" w:type="dxa"/>
            <w:tcBorders>
              <w:tl2br w:val="nil"/>
              <w:tr2bl w:val="nil"/>
            </w:tcBorders>
            <w:noWrap w:val="0"/>
            <w:vAlign w:val="center"/>
          </w:tcPr>
          <w:p w14:paraId="77CD4DFC">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816" w:type="dxa"/>
            <w:tcBorders>
              <w:tl2br w:val="nil"/>
              <w:tr2bl w:val="nil"/>
            </w:tcBorders>
            <w:noWrap w:val="0"/>
            <w:vAlign w:val="center"/>
          </w:tcPr>
          <w:p w14:paraId="57EE0867">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24537C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266" w:type="dxa"/>
            <w:gridSpan w:val="6"/>
            <w:tcBorders>
              <w:tl2br w:val="nil"/>
              <w:tr2bl w:val="nil"/>
            </w:tcBorders>
            <w:noWrap w:val="0"/>
            <w:vAlign w:val="center"/>
          </w:tcPr>
          <w:p w14:paraId="62A89935">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color w:val="000000" w:themeColor="text1"/>
                <w:sz w:val="24"/>
                <w:szCs w:val="24"/>
                <w:highlight w:val="none"/>
                <w14:textFill>
                  <w14:solidFill>
                    <w14:schemeClr w14:val="tx1"/>
                  </w14:solidFill>
                </w14:textFill>
              </w:rPr>
              <w:t>保证：除本</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b/>
                <w:color w:val="000000" w:themeColor="text1"/>
                <w:sz w:val="24"/>
                <w:szCs w:val="24"/>
                <w:highlight w:val="none"/>
                <w14:textFill>
                  <w14:solidFill>
                    <w14:schemeClr w14:val="tx1"/>
                  </w14:solidFill>
                </w14:textFill>
              </w:rPr>
              <w:t>商务条款偏离表列出的偏离外，我单位对</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lang w:eastAsia="zh-CN"/>
                <w14:textFill>
                  <w14:solidFill>
                    <w14:schemeClr w14:val="tx1"/>
                  </w14:solidFill>
                </w14:textFill>
              </w:rPr>
              <w:t>文件</w:t>
            </w:r>
            <w:r>
              <w:rPr>
                <w:rFonts w:hint="eastAsia" w:ascii="宋体" w:hAnsi="宋体" w:eastAsia="宋体" w:cs="宋体"/>
                <w:b/>
                <w:color w:val="000000" w:themeColor="text1"/>
                <w:sz w:val="24"/>
                <w:szCs w:val="24"/>
                <w:highlight w:val="none"/>
                <w14:textFill>
                  <w14:solidFill>
                    <w14:schemeClr w14:val="tx1"/>
                  </w14:solidFill>
                </w14:textFill>
              </w:rPr>
              <w:t>的其他</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b/>
                <w:color w:val="000000" w:themeColor="text1"/>
                <w:sz w:val="24"/>
                <w:szCs w:val="24"/>
                <w:highlight w:val="none"/>
                <w14:textFill>
                  <w14:solidFill>
                    <w14:schemeClr w14:val="tx1"/>
                  </w14:solidFill>
                </w14:textFill>
              </w:rPr>
              <w:t>商务条款完全响应，无偏离。</w:t>
            </w:r>
          </w:p>
        </w:tc>
      </w:tr>
    </w:tbl>
    <w:p w14:paraId="41BFD67A">
      <w:pPr>
        <w:rPr>
          <w:rFonts w:hint="eastAsia" w:ascii="宋体" w:hAnsi="宋体" w:eastAsia="宋体" w:cs="宋体"/>
          <w:color w:val="000000" w:themeColor="text1"/>
          <w:sz w:val="24"/>
          <w:szCs w:val="24"/>
          <w:highlight w:val="none"/>
          <w14:textFill>
            <w14:solidFill>
              <w14:schemeClr w14:val="tx1"/>
            </w14:solidFill>
          </w14:textFill>
        </w:rPr>
      </w:pPr>
    </w:p>
    <w:p w14:paraId="5AC4E39C">
      <w:pPr>
        <w:keepNext w:val="0"/>
        <w:keepLines w:val="0"/>
        <w:pageBreakBefore w:val="0"/>
        <w:widowControl w:val="0"/>
        <w:kinsoku/>
        <w:wordWrap/>
        <w:overflowPunct/>
        <w:topLinePunct w:val="0"/>
        <w:autoSpaceDE/>
        <w:autoSpaceDN/>
        <w:bidi w:val="0"/>
        <w:adjustRightInd w:val="0"/>
        <w:snapToGrid w:val="0"/>
        <w:spacing w:before="20" w:line="360" w:lineRule="auto"/>
        <w:ind w:left="0" w:leftChars="0" w:firstLine="482" w:firstLineChars="200"/>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备</w:t>
      </w:r>
      <w:r>
        <w:rPr>
          <w:rFonts w:hint="eastAsia" w:ascii="宋体" w:hAnsi="宋体" w:eastAsia="宋体" w:cs="宋体"/>
          <w:b/>
          <w:bCs w:val="0"/>
          <w:color w:val="000000" w:themeColor="text1"/>
          <w:sz w:val="24"/>
          <w:szCs w:val="24"/>
          <w:highlight w:val="none"/>
          <w14:textFill>
            <w14:solidFill>
              <w14:schemeClr w14:val="tx1"/>
            </w14:solidFill>
          </w14:textFill>
        </w:rPr>
        <w:t>注：</w:t>
      </w:r>
    </w:p>
    <w:p w14:paraId="1C68B7F2">
      <w:pPr>
        <w:keepNext w:val="0"/>
        <w:keepLines w:val="0"/>
        <w:pageBreakBefore w:val="0"/>
        <w:widowControl w:val="0"/>
        <w:kinsoku/>
        <w:wordWrap/>
        <w:overflowPunct/>
        <w:topLinePunct w:val="0"/>
        <w:autoSpaceDE/>
        <w:autoSpaceDN/>
        <w:bidi w:val="0"/>
        <w:adjustRightInd w:val="0"/>
        <w:snapToGrid w:val="0"/>
        <w:spacing w:before="20" w:line="360" w:lineRule="auto"/>
        <w:ind w:left="0" w:leftChars="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应根据</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b/>
          <w:bCs/>
          <w:color w:val="000000" w:themeColor="text1"/>
          <w:sz w:val="24"/>
          <w:szCs w:val="24"/>
          <w:highlight w:val="none"/>
          <w:lang w:eastAsia="zh-CN"/>
          <w14:textFill>
            <w14:solidFill>
              <w14:schemeClr w14:val="tx1"/>
            </w14:solidFill>
          </w14:textFill>
        </w:rPr>
        <w:t>第二章“</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z w:val="24"/>
          <w:szCs w:val="24"/>
          <w:highlight w:val="none"/>
          <w:lang w:eastAsia="zh-CN"/>
          <w14:textFill>
            <w14:solidFill>
              <w14:schemeClr w14:val="tx1"/>
            </w14:solidFill>
          </w14:textFill>
        </w:rPr>
        <w:t>须知前附表”、</w:t>
      </w:r>
      <w:r>
        <w:rPr>
          <w:rFonts w:hint="eastAsia" w:ascii="宋体" w:hAnsi="宋体" w:eastAsia="宋体" w:cs="宋体"/>
          <w:b/>
          <w:bCs/>
          <w:color w:val="000000" w:themeColor="text1"/>
          <w:sz w:val="24"/>
          <w:szCs w:val="24"/>
          <w:highlight w:val="none"/>
          <w14:textFill>
            <w14:solidFill>
              <w14:schemeClr w14:val="tx1"/>
            </w14:solidFill>
          </w14:textFill>
        </w:rPr>
        <w:t>第</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sz w:val="24"/>
          <w:szCs w:val="24"/>
          <w:highlight w:val="none"/>
          <w14:textFill>
            <w14:solidFill>
              <w14:schemeClr w14:val="tx1"/>
            </w14:solidFill>
          </w14:textFill>
        </w:rPr>
        <w:t>章“</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合同草案条款</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和第四章“采购需求”</w:t>
      </w:r>
      <w:r>
        <w:rPr>
          <w:rFonts w:hint="eastAsia" w:ascii="宋体" w:hAnsi="宋体" w:eastAsia="宋体" w:cs="宋体"/>
          <w:color w:val="000000" w:themeColor="text1"/>
          <w:sz w:val="24"/>
          <w:szCs w:val="24"/>
          <w:highlight w:val="none"/>
          <w14:textFill>
            <w14:solidFill>
              <w14:schemeClr w14:val="tx1"/>
            </w14:solidFill>
          </w14:textFill>
        </w:rPr>
        <w:t>填写本表；</w:t>
      </w:r>
    </w:p>
    <w:p w14:paraId="5D38F358">
      <w:pPr>
        <w:keepNext w:val="0"/>
        <w:keepLines w:val="0"/>
        <w:pageBreakBefore w:val="0"/>
        <w:widowControl w:val="0"/>
        <w:kinsoku/>
        <w:wordWrap/>
        <w:overflowPunct/>
        <w:topLinePunct w:val="0"/>
        <w:autoSpaceDE/>
        <w:autoSpaceDN/>
        <w:bidi w:val="0"/>
        <w:adjustRightInd w:val="0"/>
        <w:snapToGrid w:val="0"/>
        <w:spacing w:before="20" w:line="360" w:lineRule="auto"/>
        <w:ind w:left="0" w:leftChars="0" w:firstLine="482" w:firstLineChars="200"/>
        <w:textAlignment w:val="auto"/>
        <w:rPr>
          <w:rFonts w:hint="eastAsia" w:ascii="宋体" w:hAnsi="宋体" w:eastAsia="宋体" w:cs="宋体"/>
          <w:b/>
          <w:color w:val="000000" w:themeColor="text1"/>
          <w:sz w:val="24"/>
          <w:szCs w:val="24"/>
          <w:highlight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szCs w:val="24"/>
          <w:highlight w:val="none"/>
          <w14:textFill>
            <w14:solidFill>
              <w14:schemeClr w14:val="tx1"/>
            </w14:solidFill>
          </w14:textFill>
        </w:rPr>
        <w:t>如果对</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lang w:eastAsia="zh-CN"/>
          <w14:textFill>
            <w14:solidFill>
              <w14:schemeClr w14:val="tx1"/>
            </w14:solidFill>
          </w14:textFill>
        </w:rPr>
        <w:t>文件第二章“</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lang w:eastAsia="zh-CN"/>
          <w14:textFill>
            <w14:solidFill>
              <w14:schemeClr w14:val="tx1"/>
            </w14:solidFill>
          </w14:textFill>
        </w:rPr>
        <w:t>须知前附表”、</w:t>
      </w:r>
      <w:r>
        <w:rPr>
          <w:rFonts w:hint="eastAsia" w:ascii="宋体" w:hAnsi="宋体" w:eastAsia="宋体" w:cs="宋体"/>
          <w:b/>
          <w:color w:val="000000" w:themeColor="text1"/>
          <w:sz w:val="24"/>
          <w:szCs w:val="24"/>
          <w:highlight w:val="none"/>
          <w14:textFill>
            <w14:solidFill>
              <w14:schemeClr w14:val="tx1"/>
            </w14:solidFill>
          </w14:textFill>
        </w:rPr>
        <w:t>第</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b/>
          <w:color w:val="000000" w:themeColor="text1"/>
          <w:sz w:val="24"/>
          <w:szCs w:val="24"/>
          <w:highlight w:val="none"/>
          <w14:textFill>
            <w14:solidFill>
              <w14:schemeClr w14:val="tx1"/>
            </w14:solidFill>
          </w14:textFill>
        </w:rPr>
        <w:t>章“</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合同草案条款</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和第四章“采购需求”</w:t>
      </w:r>
      <w:r>
        <w:rPr>
          <w:rFonts w:hint="eastAsia" w:ascii="宋体" w:hAnsi="宋体" w:eastAsia="宋体" w:cs="宋体"/>
          <w:b/>
          <w:color w:val="000000" w:themeColor="text1"/>
          <w:sz w:val="24"/>
          <w:szCs w:val="24"/>
          <w:highlight w:val="none"/>
          <w14:textFill>
            <w14:solidFill>
              <w14:schemeClr w14:val="tx1"/>
            </w14:solidFill>
          </w14:textFill>
        </w:rPr>
        <w:t>的响应有偏离，应将偏离条款逐条如实应答，并在偏离说明栏作出说明</w:t>
      </w:r>
      <w:r>
        <w:rPr>
          <w:rFonts w:hint="eastAsia" w:ascii="宋体" w:hAnsi="宋体" w:eastAsia="宋体" w:cs="宋体"/>
          <w:b/>
          <w:color w:val="000000" w:themeColor="text1"/>
          <w:sz w:val="24"/>
          <w:szCs w:val="24"/>
          <w:highlight w:val="none"/>
          <w:lang w:eastAsia="zh-CN"/>
          <w14:textFill>
            <w14:solidFill>
              <w14:schemeClr w14:val="tx1"/>
            </w14:solidFill>
          </w14:textFill>
        </w:rPr>
        <w:t>。</w:t>
      </w:r>
    </w:p>
    <w:p w14:paraId="718556B6">
      <w:pPr>
        <w:adjustRightInd w:val="0"/>
        <w:snapToGrid w:val="0"/>
        <w:spacing w:before="50"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3.如不提供此表，则视为</w:t>
      </w:r>
      <w:r>
        <w:rPr>
          <w:rFonts w:hint="eastAsia" w:ascii="宋体" w:hAnsi="宋体" w:eastAsia="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不满足</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所有</w:t>
      </w:r>
      <w:r>
        <w:rPr>
          <w:rFonts w:hint="eastAsia" w:ascii="宋体" w:hAnsi="宋体" w:eastAsia="宋体" w:cs="宋体"/>
          <w:color w:val="000000" w:themeColor="text1"/>
          <w:sz w:val="24"/>
          <w:szCs w:val="24"/>
          <w:highlight w:val="none"/>
          <w:lang w:eastAsia="zh-CN"/>
          <w14:textFill>
            <w14:solidFill>
              <w14:schemeClr w14:val="tx1"/>
            </w14:solidFill>
          </w14:textFill>
        </w:rPr>
        <w:t>商务</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color w:val="000000" w:themeColor="text1"/>
          <w:sz w:val="24"/>
          <w:szCs w:val="24"/>
          <w:highlight w:val="none"/>
          <w14:textFill>
            <w14:solidFill>
              <w14:schemeClr w14:val="tx1"/>
            </w14:solidFill>
          </w14:textFill>
        </w:rPr>
        <w:t>条款要求，其</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无效</w:t>
      </w:r>
      <w:r>
        <w:rPr>
          <w:rFonts w:hint="eastAsia" w:ascii="宋体" w:hAnsi="宋体" w:eastAsia="宋体" w:cs="宋体"/>
          <w:color w:val="000000" w:themeColor="text1"/>
          <w:sz w:val="24"/>
          <w:szCs w:val="24"/>
          <w:highlight w:val="none"/>
          <w14:textFill>
            <w14:solidFill>
              <w14:schemeClr w14:val="tx1"/>
            </w14:solidFill>
          </w14:textFill>
        </w:rPr>
        <w:t>。</w:t>
      </w:r>
    </w:p>
    <w:p w14:paraId="6A880734">
      <w:pPr>
        <w:adjustRightInd w:val="0"/>
        <w:snapToGrid w:val="0"/>
        <w:spacing w:before="50"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4.在采购人与成交供应商签订合同时，如成交供应商未在响应文件“</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技术或商务响应偏离表</w:t>
      </w:r>
      <w:r>
        <w:rPr>
          <w:rFonts w:hint="eastAsia" w:ascii="宋体" w:hAnsi="宋体" w:eastAsia="宋体" w:cs="宋体"/>
          <w:color w:val="000000" w:themeColor="text1"/>
          <w:sz w:val="24"/>
          <w:szCs w:val="24"/>
          <w:highlight w:val="none"/>
          <w14:textFill>
            <w14:solidFill>
              <w14:schemeClr w14:val="tx1"/>
            </w14:solidFill>
          </w14:textFill>
        </w:rPr>
        <w:t>”中列出偏离说明，无论已发生或即将发生任何情形，均视为完全符合磋商文件要求，并写入合同。若成交供应商在合同签订前，以上述事项为借口而不履行合同签订手续及执行合同，则视作拒绝与采购人签订合同。</w:t>
      </w:r>
    </w:p>
    <w:p w14:paraId="6D3CC7F3">
      <w:pPr>
        <w:adjustRightInd w:val="0"/>
        <w:snapToGrid w:val="0"/>
        <w:spacing w:before="72" w:beforeLines="30" w:line="360" w:lineRule="auto"/>
        <w:ind w:firstLine="720" w:firstLineChars="300"/>
        <w:rPr>
          <w:rFonts w:hint="eastAsia" w:ascii="宋体" w:hAnsi="宋体" w:eastAsia="宋体" w:cs="宋体"/>
          <w:color w:val="000000" w:themeColor="text1"/>
          <w:sz w:val="24"/>
          <w:szCs w:val="24"/>
          <w:highlight w:val="none"/>
          <w14:textFill>
            <w14:solidFill>
              <w14:schemeClr w14:val="tx1"/>
            </w14:solidFill>
          </w14:textFill>
        </w:rPr>
      </w:pPr>
    </w:p>
    <w:p w14:paraId="10F72EB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w:t>
      </w:r>
      <w:r>
        <w:rPr>
          <w:rFonts w:hint="eastAsia" w:ascii="宋体" w:hAnsi="宋体" w:eastAsia="宋体" w:cs="宋体"/>
          <w:color w:val="000000" w:themeColor="text1"/>
          <w:sz w:val="24"/>
          <w:szCs w:val="24"/>
          <w:highlight w:val="none"/>
          <w14:textFill>
            <w14:solidFill>
              <w14:schemeClr w14:val="tx1"/>
            </w14:solidFill>
          </w14:textFill>
        </w:rPr>
        <w:t>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091211E">
      <w:p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5BA3BE2F">
      <w:pPr>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br w:type="page"/>
      </w:r>
    </w:p>
    <w:p w14:paraId="78BAC160">
      <w:pPr>
        <w:numPr>
          <w:ilvl w:val="0"/>
          <w:numId w:val="0"/>
        </w:numPr>
        <w:adjustRightInd w:val="0"/>
        <w:snapToGrid w:val="0"/>
        <w:spacing w:line="360" w:lineRule="auto"/>
        <w:jc w:val="center"/>
        <w:outlineLvl w:val="1"/>
        <w:rPr>
          <w:rFonts w:hint="eastAsia" w:ascii="宋体" w:hAnsi="宋体" w:eastAsia="宋体" w:cs="宋体"/>
          <w:color w:val="000000" w:themeColor="text1"/>
          <w:highlight w:val="none"/>
          <w14:textFill>
            <w14:solidFill>
              <w14:schemeClr w14:val="tx1"/>
            </w14:solidFill>
          </w14:textFill>
        </w:rPr>
      </w:pPr>
      <w:bookmarkStart w:id="145" w:name="_Toc21882"/>
      <w:bookmarkStart w:id="146" w:name="_Toc11305"/>
      <w:bookmarkStart w:id="147" w:name="_Toc8813"/>
      <w: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t>六、</w:t>
      </w:r>
      <w:bookmarkEnd w:id="145"/>
      <w:bookmarkEnd w:id="146"/>
      <w:r>
        <w:rPr>
          <w:rFonts w:hint="eastAsia" w:ascii="宋体" w:hAnsi="宋体" w:eastAsia="宋体" w:cs="宋体"/>
          <w:b/>
          <w:bCs/>
          <w:color w:val="000000" w:themeColor="text1"/>
          <w:kern w:val="0"/>
          <w:sz w:val="30"/>
          <w:szCs w:val="30"/>
          <w:highlight w:val="none"/>
          <w:lang w:val="en-US" w:eastAsia="zh-CN" w:bidi="ar"/>
          <w14:textFill>
            <w14:solidFill>
              <w14:schemeClr w14:val="tx1"/>
            </w14:solidFill>
          </w14:textFill>
        </w:rPr>
        <w:t>享受政府采购政策优惠的证明资料</w:t>
      </w:r>
      <w:bookmarkEnd w:id="147"/>
    </w:p>
    <w:p w14:paraId="1CAEAD52">
      <w:pPr>
        <w:rPr>
          <w:rFonts w:hint="eastAsia" w:ascii="宋体" w:hAnsi="宋体" w:eastAsia="宋体" w:cs="宋体"/>
          <w:color w:val="000000" w:themeColor="text1"/>
          <w:highlight w:val="none"/>
          <w14:textFill>
            <w14:solidFill>
              <w14:schemeClr w14:val="tx1"/>
            </w14:solidFill>
          </w14:textFill>
        </w:rPr>
      </w:pPr>
    </w:p>
    <w:p w14:paraId="59A90FB2">
      <w:pPr>
        <w:widowControl/>
        <w:adjustRightInd w:val="0"/>
        <w:snapToGrid w:val="0"/>
        <w:spacing w:line="360" w:lineRule="auto"/>
        <w:outlineLvl w:val="2"/>
        <w:rPr>
          <w:rFonts w:hint="eastAsia" w:ascii="宋体" w:hAnsi="宋体" w:eastAsia="宋体" w:cs="宋体"/>
          <w:color w:val="000000" w:themeColor="text1"/>
          <w:szCs w:val="21"/>
          <w:highlight w:val="none"/>
          <w14:textFill>
            <w14:solidFill>
              <w14:schemeClr w14:val="tx1"/>
            </w14:solidFill>
          </w14:textFill>
        </w:rPr>
      </w:pPr>
      <w:bookmarkStart w:id="148" w:name="_Toc26846"/>
      <w:bookmarkStart w:id="149" w:name="_Toc4623"/>
      <w:r>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t xml:space="preserve">附件6-1 中小企业声明函 </w:t>
      </w:r>
      <w:r>
        <w:rPr>
          <w:rFonts w:hint="eastAsia" w:ascii="宋体" w:hAnsi="宋体" w:eastAsia="宋体" w:cs="宋体"/>
          <w:b/>
          <w:bCs/>
          <w:color w:val="000000" w:themeColor="text1"/>
          <w:kern w:val="0"/>
          <w:sz w:val="24"/>
          <w:highlight w:val="none"/>
          <w14:textFill>
            <w14:solidFill>
              <w14:schemeClr w14:val="tx1"/>
            </w14:solidFill>
          </w14:textFill>
        </w:rPr>
        <w:t> </w:t>
      </w:r>
      <w:bookmarkEnd w:id="148"/>
      <w:bookmarkEnd w:id="149"/>
      <w:r>
        <w:rPr>
          <w:rFonts w:hint="eastAsia" w:ascii="宋体" w:hAnsi="宋体" w:eastAsia="宋体" w:cs="宋体"/>
          <w:color w:val="000000" w:themeColor="text1"/>
          <w:szCs w:val="21"/>
          <w:highlight w:val="none"/>
          <w14:textFill>
            <w14:solidFill>
              <w14:schemeClr w14:val="tx1"/>
            </w14:solidFill>
          </w14:textFill>
        </w:rPr>
        <w:t xml:space="preserve"> </w:t>
      </w:r>
    </w:p>
    <w:p w14:paraId="65048E98">
      <w:pPr>
        <w:pStyle w:val="11"/>
        <w:spacing w:before="100" w:line="231" w:lineRule="auto"/>
        <w:ind w:left="3582"/>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中小企业声明函</w:t>
      </w:r>
    </w:p>
    <w:p w14:paraId="41546752">
      <w:pPr>
        <w:spacing w:line="413" w:lineRule="auto"/>
        <w:rPr>
          <w:rFonts w:hint="eastAsia" w:ascii="宋体" w:hAnsi="宋体" w:eastAsia="宋体" w:cs="宋体"/>
          <w:color w:val="000000" w:themeColor="text1"/>
          <w:sz w:val="21"/>
          <w14:textFill>
            <w14:solidFill>
              <w14:schemeClr w14:val="tx1"/>
            </w14:solidFill>
          </w14:textFill>
        </w:rPr>
      </w:pPr>
    </w:p>
    <w:p w14:paraId="5FA2DB07">
      <w:pPr>
        <w:pStyle w:val="11"/>
        <w:spacing w:before="78" w:line="360" w:lineRule="auto"/>
        <w:ind w:left="50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本公司（联合体）郑重声明，根据《政府采购促进中小企业发展管理办法》（财库</w:t>
      </w:r>
      <w:r>
        <w:rPr>
          <w:rFonts w:hint="eastAsia" w:ascii="宋体" w:hAnsi="宋体" w:eastAsia="宋体" w:cs="宋体"/>
          <w:color w:val="000000" w:themeColor="text1"/>
          <w:spacing w:val="-6"/>
          <w:sz w:val="24"/>
          <w:szCs w:val="24"/>
          <w14:textFill>
            <w14:solidFill>
              <w14:schemeClr w14:val="tx1"/>
            </w14:solidFill>
          </w14:textFill>
        </w:rPr>
        <w:t>[2020]46</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号）的规定，本公司（联合体</w:t>
      </w:r>
      <w:r>
        <w:rPr>
          <w:rFonts w:hint="eastAsia" w:ascii="宋体" w:hAnsi="宋体" w:eastAsia="宋体" w:cs="宋体"/>
          <w:color w:val="000000" w:themeColor="text1"/>
          <w:spacing w:val="-7"/>
          <w:sz w:val="24"/>
          <w:szCs w:val="24"/>
          <w14:textFill>
            <w14:solidFill>
              <w14:schemeClr w14:val="tx1"/>
            </w14:solidFill>
          </w14:textFill>
        </w:rPr>
        <w:t>）</w:t>
      </w:r>
      <w:r>
        <w:rPr>
          <w:rFonts w:hint="eastAsia" w:ascii="宋体" w:hAnsi="宋体" w:eastAsia="宋体" w:cs="宋体"/>
          <w:b/>
          <w:bCs/>
          <w:color w:val="000000" w:themeColor="text1"/>
          <w:spacing w:val="-7"/>
          <w:sz w:val="24"/>
          <w:szCs w:val="24"/>
          <w14:textFill>
            <w14:solidFill>
              <w14:schemeClr w14:val="tx1"/>
            </w14:solidFill>
          </w14:textFill>
        </w:rPr>
        <w:t>（</w:t>
      </w:r>
      <w:r>
        <w:rPr>
          <w:rFonts w:hint="eastAsia" w:ascii="宋体" w:hAnsi="宋体" w:eastAsia="宋体" w:cs="宋体"/>
          <w:b/>
          <w:bCs/>
          <w:color w:val="000000" w:themeColor="text1"/>
          <w:spacing w:val="-6"/>
          <w:sz w:val="24"/>
          <w:szCs w:val="24"/>
          <w14:textFill>
            <w14:solidFill>
              <w14:schemeClr w14:val="tx1"/>
            </w14:solidFill>
          </w14:textFill>
        </w:rPr>
        <w:t>请进行勾选打“</w:t>
      </w:r>
      <w:r>
        <w:rPr>
          <w:rFonts w:hint="eastAsia" w:ascii="宋体" w:hAnsi="宋体" w:eastAsia="宋体" w:cs="宋体"/>
          <w:color w:val="000000" w:themeColor="text1"/>
          <w:spacing w:val="-53"/>
          <w:sz w:val="24"/>
          <w:szCs w:val="24"/>
          <w14:textFill>
            <w14:solidFill>
              <w14:schemeClr w14:val="tx1"/>
            </w14:solidFill>
          </w14:textFill>
        </w:rPr>
        <w:t xml:space="preserve"> </w:t>
      </w:r>
      <w:r>
        <w:rPr>
          <w:rFonts w:hint="eastAsia" w:ascii="宋体" w:hAnsi="宋体" w:eastAsia="宋体" w:cs="宋体"/>
          <w:b/>
          <w:bCs/>
          <w:color w:val="000000" w:themeColor="text1"/>
          <w:spacing w:val="-6"/>
          <w:sz w:val="24"/>
          <w:szCs w:val="24"/>
          <w14:textFill>
            <w14:solidFill>
              <w14:schemeClr w14:val="tx1"/>
            </w14:solidFill>
          </w14:textFill>
        </w:rPr>
        <w:t>√</w:t>
      </w:r>
      <w:r>
        <w:rPr>
          <w:rFonts w:hint="eastAsia" w:ascii="宋体" w:hAnsi="宋体" w:eastAsia="宋体" w:cs="宋体"/>
          <w:color w:val="000000" w:themeColor="text1"/>
          <w:spacing w:val="-86"/>
          <w:sz w:val="24"/>
          <w:szCs w:val="24"/>
          <w14:textFill>
            <w14:solidFill>
              <w14:schemeClr w14:val="tx1"/>
            </w14:solidFill>
          </w14:textFill>
        </w:rPr>
        <w:t xml:space="preserve"> </w:t>
      </w:r>
      <w:r>
        <w:rPr>
          <w:rFonts w:hint="eastAsia" w:ascii="宋体" w:hAnsi="宋体" w:eastAsia="宋体" w:cs="宋体"/>
          <w:b/>
          <w:bCs/>
          <w:color w:val="000000" w:themeColor="text1"/>
          <w:spacing w:val="-6"/>
          <w:sz w:val="24"/>
          <w:szCs w:val="24"/>
          <w14:textFill>
            <w14:solidFill>
              <w14:schemeClr w14:val="tx1"/>
            </w14:solidFill>
          </w14:textFill>
        </w:rPr>
        <w:t>”)</w:t>
      </w:r>
      <w:r>
        <w:rPr>
          <w:rFonts w:hint="eastAsia" w:ascii="宋体" w:hAnsi="宋体" w:eastAsia="宋体" w:cs="宋体"/>
          <w:color w:val="000000" w:themeColor="text1"/>
          <w:spacing w:val="66"/>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w:t>
      </w:r>
    </w:p>
    <w:p w14:paraId="65666B89">
      <w:pPr>
        <w:pStyle w:val="11"/>
        <w:spacing w:before="170" w:line="360" w:lineRule="auto"/>
        <w:ind w:left="50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6"/>
          <w:sz w:val="24"/>
          <w:szCs w:val="24"/>
          <w14:textFill>
            <w14:solidFill>
              <w14:schemeClr w14:val="tx1"/>
            </w14:solidFill>
          </w14:textFill>
        </w:rPr>
        <w:t>不属于符合条件的小型、微型企业。</w:t>
      </w:r>
    </w:p>
    <w:p w14:paraId="1A729856">
      <w:pPr>
        <w:pStyle w:val="11"/>
        <w:spacing w:before="160" w:line="360" w:lineRule="auto"/>
        <w:ind w:left="17" w:firstLine="48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1"/>
          <w:sz w:val="24"/>
          <w:szCs w:val="24"/>
          <w14:textFill>
            <w14:solidFill>
              <w14:schemeClr w14:val="tx1"/>
            </w14:solidFill>
          </w14:textFill>
        </w:rPr>
        <w:t>属于符合条件的小型、微型企业，</w:t>
      </w:r>
      <w:r>
        <w:rPr>
          <w:rFonts w:hint="eastAsia" w:ascii="宋体" w:hAnsi="宋体" w:eastAsia="宋体" w:cs="宋体"/>
          <w:color w:val="000000" w:themeColor="text1"/>
          <w:spacing w:val="1"/>
          <w:sz w:val="24"/>
          <w:szCs w:val="24"/>
          <w14:textFill>
            <w14:solidFill>
              <w14:schemeClr w14:val="tx1"/>
            </w14:solidFill>
          </w14:textFill>
        </w:rPr>
        <w:t>参加</w:t>
      </w:r>
      <w:r>
        <w:rPr>
          <w:rFonts w:hint="eastAsia" w:ascii="宋体" w:hAnsi="宋体" w:eastAsia="宋体" w:cs="宋体"/>
          <w:color w:val="000000" w:themeColor="text1"/>
          <w:spacing w:val="18"/>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
          <w:sz w:val="24"/>
          <w:szCs w:val="24"/>
          <w:u w:val="single" w:color="auto"/>
          <w14:textFill>
            <w14:solidFill>
              <w14:schemeClr w14:val="tx1"/>
            </w14:solidFill>
          </w14:textFill>
        </w:rPr>
        <w:t>（项目名称）</w:t>
      </w:r>
      <w:r>
        <w:rPr>
          <w:rFonts w:hint="eastAsia" w:ascii="宋体" w:hAnsi="宋体" w:eastAsia="宋体" w:cs="宋体"/>
          <w:color w:val="000000" w:themeColor="text1"/>
          <w:spacing w:val="1"/>
          <w:sz w:val="24"/>
          <w:szCs w:val="24"/>
          <w14:textFill>
            <w14:solidFill>
              <w14:schemeClr w14:val="tx1"/>
            </w14:solidFill>
          </w14:textFill>
        </w:rPr>
        <w:t>采购活动，工程的施</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8"/>
          <w:sz w:val="24"/>
          <w:szCs w:val="24"/>
          <w14:textFill>
            <w14:solidFill>
              <w14:schemeClr w14:val="tx1"/>
            </w14:solidFill>
          </w14:textFill>
        </w:rPr>
        <w:t>工单位全部为符合政策要求的中小企业（或</w:t>
      </w:r>
      <w:r>
        <w:rPr>
          <w:rFonts w:hint="eastAsia" w:ascii="宋体" w:hAnsi="宋体" w:eastAsia="宋体" w:cs="宋体"/>
          <w:color w:val="000000" w:themeColor="text1"/>
          <w:spacing w:val="-9"/>
          <w:sz w:val="24"/>
          <w:szCs w:val="24"/>
          <w14:textFill>
            <w14:solidFill>
              <w14:schemeClr w14:val="tx1"/>
            </w14:solidFill>
          </w14:textFill>
        </w:rPr>
        <w:t>者：服务全部由符合政策要求的中小企业承接）。</w:t>
      </w:r>
      <w:r>
        <w:rPr>
          <w:rFonts w:hint="eastAsia" w:ascii="宋体" w:hAnsi="宋体" w:eastAsia="宋体" w:cs="宋体"/>
          <w:color w:val="000000" w:themeColor="text1"/>
          <w:sz w:val="24"/>
          <w:szCs w:val="24"/>
          <w14:textFill>
            <w14:solidFill>
              <w14:schemeClr w14:val="tx1"/>
            </w14:solidFill>
          </w14:textFill>
        </w:rPr>
        <w:t xml:space="preserve"> 相关企业（含联合体中的中小企业、签订分包意向协议的中</w:t>
      </w:r>
      <w:r>
        <w:rPr>
          <w:rFonts w:hint="eastAsia" w:ascii="宋体" w:hAnsi="宋体" w:eastAsia="宋体" w:cs="宋体"/>
          <w:color w:val="000000" w:themeColor="text1"/>
          <w:spacing w:val="-1"/>
          <w:sz w:val="24"/>
          <w:szCs w:val="24"/>
          <w14:textFill>
            <w14:solidFill>
              <w14:schemeClr w14:val="tx1"/>
            </w14:solidFill>
          </w14:textFill>
        </w:rPr>
        <w:t>小企业）的具体情况如下：</w:t>
      </w:r>
    </w:p>
    <w:p w14:paraId="2609343A">
      <w:pPr>
        <w:pStyle w:val="11"/>
        <w:spacing w:before="174" w:line="360" w:lineRule="auto"/>
        <w:ind w:left="25" w:right="204" w:firstLine="48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1.</w:t>
      </w:r>
      <w:r>
        <w:rPr>
          <w:rFonts w:hint="eastAsia" w:ascii="宋体" w:hAnsi="宋体" w:eastAsia="宋体" w:cs="宋体"/>
          <w:color w:val="000000" w:themeColor="text1"/>
          <w:spacing w:val="38"/>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2"/>
          <w:sz w:val="24"/>
          <w:szCs w:val="24"/>
          <w:u w:val="single" w:color="auto"/>
          <w14:textFill>
            <w14:solidFill>
              <w14:schemeClr w14:val="tx1"/>
            </w14:solidFill>
          </w14:textFill>
        </w:rPr>
        <w:t>（标的名称</w:t>
      </w:r>
      <w:r>
        <w:rPr>
          <w:rFonts w:hint="eastAsia" w:ascii="宋体" w:hAnsi="宋体" w:eastAsia="宋体" w:cs="宋体"/>
          <w:color w:val="000000" w:themeColor="text1"/>
          <w:spacing w:val="-3"/>
          <w:sz w:val="24"/>
          <w:szCs w:val="24"/>
          <w:u w:val="single" w:color="auto"/>
          <w14:textFill>
            <w14:solidFill>
              <w14:schemeClr w14:val="tx1"/>
            </w14:solidFill>
          </w14:textFill>
        </w:rPr>
        <w:t>）</w:t>
      </w:r>
      <w:r>
        <w:rPr>
          <w:rFonts w:hint="eastAsia" w:ascii="宋体" w:hAnsi="宋体" w:eastAsia="宋体" w:cs="宋体"/>
          <w:color w:val="000000" w:themeColor="text1"/>
          <w:spacing w:val="-3"/>
          <w:sz w:val="24"/>
          <w:szCs w:val="24"/>
          <w14:textFill>
            <w14:solidFill>
              <w14:schemeClr w14:val="tx1"/>
            </w14:solidFill>
          </w14:textFill>
        </w:rPr>
        <w:t>，</w:t>
      </w:r>
      <w:r>
        <w:rPr>
          <w:rFonts w:hint="eastAsia" w:ascii="宋体" w:hAnsi="宋体" w:eastAsia="宋体" w:cs="宋体"/>
          <w:color w:val="000000" w:themeColor="text1"/>
          <w:spacing w:val="-2"/>
          <w:sz w:val="24"/>
          <w:szCs w:val="24"/>
          <w14:textFill>
            <w14:solidFill>
              <w14:schemeClr w14:val="tx1"/>
            </w14:solidFill>
          </w14:textFill>
        </w:rPr>
        <w:t>属于</w:t>
      </w:r>
      <w:r>
        <w:rPr>
          <w:rFonts w:hint="eastAsia" w:ascii="宋体" w:hAnsi="宋体" w:eastAsia="宋体" w:cs="宋体"/>
          <w:color w:val="000000" w:themeColor="text1"/>
          <w:spacing w:val="37"/>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2"/>
          <w:sz w:val="24"/>
          <w:szCs w:val="24"/>
          <w:u w:val="single" w:color="auto"/>
          <w14:textFill>
            <w14:solidFill>
              <w14:schemeClr w14:val="tx1"/>
            </w14:solidFill>
          </w14:textFill>
        </w:rPr>
        <w:t>（采购文件中明确的所属行业</w:t>
      </w:r>
      <w:r>
        <w:rPr>
          <w:rFonts w:hint="eastAsia" w:ascii="宋体" w:hAnsi="宋体" w:eastAsia="宋体" w:cs="宋体"/>
          <w:color w:val="000000" w:themeColor="text1"/>
          <w:spacing w:val="-3"/>
          <w:sz w:val="24"/>
          <w:szCs w:val="24"/>
          <w:u w:val="single" w:color="auto"/>
          <w14:textFill>
            <w14:solidFill>
              <w14:schemeClr w14:val="tx1"/>
            </w14:solidFill>
          </w14:textFill>
        </w:rPr>
        <w:t>）</w:t>
      </w:r>
      <w:r>
        <w:rPr>
          <w:rFonts w:hint="eastAsia" w:ascii="宋体" w:hAnsi="宋体" w:eastAsia="宋体" w:cs="宋体"/>
          <w:color w:val="000000" w:themeColor="text1"/>
          <w:spacing w:val="-3"/>
          <w:sz w:val="24"/>
          <w:szCs w:val="24"/>
          <w14:textFill>
            <w14:solidFill>
              <w14:schemeClr w14:val="tx1"/>
            </w14:solidFill>
          </w14:textFill>
        </w:rPr>
        <w:t>；</w:t>
      </w:r>
      <w:r>
        <w:rPr>
          <w:rFonts w:hint="eastAsia" w:ascii="宋体" w:hAnsi="宋体" w:eastAsia="宋体" w:cs="宋体"/>
          <w:color w:val="000000" w:themeColor="text1"/>
          <w:spacing w:val="-2"/>
          <w:sz w:val="24"/>
          <w:szCs w:val="24"/>
          <w14:textFill>
            <w14:solidFill>
              <w14:schemeClr w14:val="tx1"/>
            </w14:solidFill>
          </w14:textFill>
        </w:rPr>
        <w:t>承建（承接）企业</w:t>
      </w:r>
      <w:r>
        <w:rPr>
          <w:rFonts w:hint="eastAsia" w:ascii="宋体" w:hAnsi="宋体" w:eastAsia="宋体" w:cs="宋体"/>
          <w:color w:val="000000" w:themeColor="text1"/>
          <w:spacing w:val="2"/>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为</w:t>
      </w:r>
      <w:r>
        <w:rPr>
          <w:rFonts w:hint="eastAsia" w:ascii="宋体" w:hAnsi="宋体" w:eastAsia="宋体" w:cs="宋体"/>
          <w:color w:val="000000" w:themeColor="text1"/>
          <w:spacing w:val="36"/>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2"/>
          <w:sz w:val="24"/>
          <w:szCs w:val="24"/>
          <w:u w:val="single" w:color="auto"/>
          <w14:textFill>
            <w14:solidFill>
              <w14:schemeClr w14:val="tx1"/>
            </w14:solidFill>
          </w14:textFill>
        </w:rPr>
        <w:t>（企业名称</w:t>
      </w:r>
      <w:r>
        <w:rPr>
          <w:rFonts w:hint="eastAsia" w:ascii="宋体" w:hAnsi="宋体" w:eastAsia="宋体" w:cs="宋体"/>
          <w:color w:val="000000" w:themeColor="text1"/>
          <w:spacing w:val="-7"/>
          <w:sz w:val="24"/>
          <w:szCs w:val="24"/>
          <w:u w:val="single" w:color="auto"/>
          <w14:textFill>
            <w14:solidFill>
              <w14:schemeClr w14:val="tx1"/>
            </w14:solidFill>
          </w14:textFill>
        </w:rPr>
        <w:t>）</w:t>
      </w:r>
      <w:r>
        <w:rPr>
          <w:rFonts w:hint="eastAsia" w:ascii="宋体" w:hAnsi="宋体" w:eastAsia="宋体" w:cs="宋体"/>
          <w:color w:val="000000" w:themeColor="text1"/>
          <w:spacing w:val="-7"/>
          <w:sz w:val="24"/>
          <w:szCs w:val="24"/>
          <w14:textFill>
            <w14:solidFill>
              <w14:schemeClr w14:val="tx1"/>
            </w14:solidFill>
          </w14:textFill>
        </w:rPr>
        <w:t>，</w:t>
      </w:r>
      <w:r>
        <w:rPr>
          <w:rFonts w:hint="eastAsia" w:ascii="宋体" w:hAnsi="宋体" w:eastAsia="宋体" w:cs="宋体"/>
          <w:color w:val="000000" w:themeColor="text1"/>
          <w:spacing w:val="-2"/>
          <w:sz w:val="24"/>
          <w:szCs w:val="24"/>
          <w14:textFill>
            <w14:solidFill>
              <w14:schemeClr w14:val="tx1"/>
            </w14:solidFill>
          </w14:textFill>
        </w:rPr>
        <w:t>从业人员</w:t>
      </w:r>
      <w:r>
        <w:rPr>
          <w:rFonts w:hint="eastAsia" w:ascii="宋体" w:hAnsi="宋体" w:eastAsia="宋体" w:cs="宋体"/>
          <w:color w:val="000000" w:themeColor="text1"/>
          <w:spacing w:val="-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14"/>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 xml:space="preserve">人，营业收入为 </w:t>
      </w:r>
      <w:r>
        <w:rPr>
          <w:rFonts w:hint="eastAsia" w:ascii="宋体" w:hAnsi="宋体" w:eastAsia="宋体" w:cs="宋体"/>
          <w:color w:val="000000" w:themeColor="text1"/>
          <w:spacing w:val="-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3"/>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2"/>
          <w:sz w:val="24"/>
          <w:szCs w:val="24"/>
          <w14:textFill>
            <w14:solidFill>
              <w14:schemeClr w14:val="tx1"/>
            </w14:solidFill>
          </w14:textFill>
        </w:rPr>
        <w:t xml:space="preserve"> </w:t>
      </w:r>
      <w:r>
        <w:rPr>
          <w:rFonts w:hint="eastAsia" w:ascii="宋体" w:hAnsi="宋体" w:eastAsia="宋体" w:cs="宋体"/>
          <w:color w:val="000000" w:themeColor="text1"/>
          <w:spacing w:val="-3"/>
          <w:sz w:val="24"/>
          <w:szCs w:val="24"/>
          <w14:textFill>
            <w14:solidFill>
              <w14:schemeClr w14:val="tx1"/>
            </w14:solidFill>
          </w14:textFill>
        </w:rPr>
        <w:t>万元，资产总额为</w:t>
      </w:r>
      <w:r>
        <w:rPr>
          <w:rFonts w:hint="eastAsia" w:ascii="宋体" w:hAnsi="宋体" w:eastAsia="宋体" w:cs="宋体"/>
          <w:color w:val="000000" w:themeColor="text1"/>
          <w:spacing w:val="-3"/>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2"/>
          <w:sz w:val="24"/>
          <w:szCs w:val="24"/>
          <w14:textFill>
            <w14:solidFill>
              <w14:schemeClr w14:val="tx1"/>
            </w14:solidFill>
          </w14:textFill>
        </w:rPr>
        <w:t xml:space="preserve"> </w:t>
      </w:r>
      <w:r>
        <w:rPr>
          <w:rFonts w:hint="eastAsia" w:ascii="宋体" w:hAnsi="宋体" w:eastAsia="宋体" w:cs="宋体"/>
          <w:color w:val="000000" w:themeColor="text1"/>
          <w:spacing w:val="-3"/>
          <w:sz w:val="24"/>
          <w:szCs w:val="24"/>
          <w14:textFill>
            <w14:solidFill>
              <w14:schemeClr w14:val="tx1"/>
            </w14:solidFill>
          </w14:textFill>
        </w:rPr>
        <w:t>万元，属</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于</w:t>
      </w:r>
      <w:r>
        <w:rPr>
          <w:rFonts w:hint="eastAsia" w:ascii="宋体" w:hAnsi="宋体" w:eastAsia="宋体" w:cs="宋体"/>
          <w:color w:val="000000" w:themeColor="text1"/>
          <w:spacing w:val="-1"/>
          <w:sz w:val="24"/>
          <w:szCs w:val="24"/>
          <w:u w:val="single" w:color="auto"/>
          <w14:textFill>
            <w14:solidFill>
              <w14:schemeClr w14:val="tx1"/>
            </w14:solidFill>
          </w14:textFill>
        </w:rPr>
        <w:t xml:space="preserve">    （中型企业、小型企业、微型企业</w:t>
      </w:r>
      <w:r>
        <w:rPr>
          <w:rFonts w:hint="eastAsia" w:ascii="宋体" w:hAnsi="宋体" w:eastAsia="宋体" w:cs="宋体"/>
          <w:color w:val="000000" w:themeColor="text1"/>
          <w:sz w:val="24"/>
          <w:szCs w:val="24"/>
          <w:u w:val="single" w:color="auto"/>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w:t>
      </w:r>
    </w:p>
    <w:p w14:paraId="16EEEA38">
      <w:pPr>
        <w:pStyle w:val="11"/>
        <w:spacing w:line="360" w:lineRule="auto"/>
        <w:ind w:left="36" w:right="204" w:firstLine="491"/>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以上企业，不属于大企业的分支机构，不存在控股股东为大企业的情形，也不存在与</w:t>
      </w:r>
      <w:r>
        <w:rPr>
          <w:rFonts w:hint="eastAsia" w:ascii="宋体" w:hAnsi="宋体" w:eastAsia="宋体" w:cs="宋体"/>
          <w:color w:val="000000" w:themeColor="text1"/>
          <w:spacing w:val="7"/>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大企业的负责人为同一人的情形。</w:t>
      </w:r>
    </w:p>
    <w:p w14:paraId="32C42CCF">
      <w:pPr>
        <w:pStyle w:val="11"/>
        <w:spacing w:line="360" w:lineRule="auto"/>
        <w:ind w:left="50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本企业对上述声明内容的真实性负责。如有虚假，将依法承担相应责任。</w:t>
      </w:r>
    </w:p>
    <w:p w14:paraId="1CD3AFE8">
      <w:pPr>
        <w:spacing w:line="283" w:lineRule="auto"/>
        <w:rPr>
          <w:rFonts w:hint="eastAsia" w:ascii="宋体" w:hAnsi="宋体" w:eastAsia="宋体" w:cs="宋体"/>
          <w:color w:val="000000" w:themeColor="text1"/>
          <w:sz w:val="21"/>
          <w14:textFill>
            <w14:solidFill>
              <w14:schemeClr w14:val="tx1"/>
            </w14:solidFill>
          </w14:textFill>
        </w:rPr>
      </w:pPr>
    </w:p>
    <w:p w14:paraId="575ECE9E">
      <w:pPr>
        <w:pStyle w:val="11"/>
        <w:spacing w:before="79" w:line="225" w:lineRule="auto"/>
        <w:ind w:left="424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企业名称（盖单位公章</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color="auto"/>
          <w14:textFill>
            <w14:solidFill>
              <w14:schemeClr w14:val="tx1"/>
            </w14:solidFill>
          </w14:textFill>
        </w:rPr>
        <w:t xml:space="preserve">              </w:t>
      </w:r>
    </w:p>
    <w:p w14:paraId="170F7D13">
      <w:pPr>
        <w:pStyle w:val="11"/>
        <w:spacing w:before="175" w:line="224" w:lineRule="auto"/>
        <w:ind w:left="4291"/>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7"/>
          <w:sz w:val="24"/>
          <w:szCs w:val="24"/>
          <w14:textFill>
            <w14:solidFill>
              <w14:schemeClr w14:val="tx1"/>
            </w14:solidFill>
          </w14:textFill>
        </w:rPr>
        <w:t>日</w:t>
      </w:r>
      <w:r>
        <w:rPr>
          <w:rFonts w:hint="eastAsia" w:ascii="宋体" w:hAnsi="宋体" w:eastAsia="宋体" w:cs="宋体"/>
          <w:color w:val="000000" w:themeColor="text1"/>
          <w:spacing w:val="9"/>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期：</w:t>
      </w:r>
      <w:r>
        <w:rPr>
          <w:rFonts w:hint="eastAsia" w:ascii="宋体" w:hAnsi="宋体" w:eastAsia="宋体" w:cs="宋体"/>
          <w:color w:val="000000" w:themeColor="text1"/>
          <w:spacing w:val="5"/>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年</w:t>
      </w:r>
      <w:r>
        <w:rPr>
          <w:rFonts w:hint="eastAsia" w:ascii="宋体" w:hAnsi="宋体" w:eastAsia="宋体" w:cs="宋体"/>
          <w:color w:val="000000" w:themeColor="text1"/>
          <w:spacing w:val="10"/>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月</w:t>
      </w:r>
      <w:r>
        <w:rPr>
          <w:rFonts w:hint="eastAsia" w:ascii="宋体" w:hAnsi="宋体" w:eastAsia="宋体" w:cs="宋体"/>
          <w:color w:val="000000" w:themeColor="text1"/>
          <w:spacing w:val="15"/>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日</w:t>
      </w:r>
    </w:p>
    <w:p w14:paraId="4BE0A4FB">
      <w:pPr>
        <w:spacing w:line="279" w:lineRule="auto"/>
        <w:rPr>
          <w:rFonts w:hint="eastAsia" w:ascii="宋体" w:hAnsi="宋体" w:eastAsia="宋体" w:cs="宋体"/>
          <w:color w:val="000000" w:themeColor="text1"/>
          <w:sz w:val="21"/>
          <w14:textFill>
            <w14:solidFill>
              <w14:schemeClr w14:val="tx1"/>
            </w14:solidFill>
          </w14:textFill>
        </w:rPr>
      </w:pPr>
    </w:p>
    <w:p w14:paraId="00FA6EB6">
      <w:pPr>
        <w:spacing w:line="360" w:lineRule="auto"/>
        <w:rPr>
          <w:rFonts w:hint="eastAsia" w:ascii="宋体" w:hAnsi="宋体" w:eastAsia="宋体" w:cs="宋体"/>
          <w:color w:val="000000" w:themeColor="text1"/>
          <w:spacing w:val="-1"/>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1"/>
          <w:kern w:val="2"/>
          <w:sz w:val="24"/>
          <w:szCs w:val="24"/>
          <w:lang w:val="en-US" w:eastAsia="zh-CN" w:bidi="ar-SA"/>
          <w14:textFill>
            <w14:solidFill>
              <w14:schemeClr w14:val="tx1"/>
            </w14:solidFill>
          </w14:textFill>
        </w:rPr>
        <w:t>备注:从业人员、营业收入、资产总额填报上一年度数据，无上一年度数据的新成立企业可不填报。</w:t>
      </w:r>
    </w:p>
    <w:p w14:paraId="3684BA11">
      <w:pPr>
        <w:spacing w:line="360" w:lineRule="auto"/>
        <w:rPr>
          <w:rFonts w:hint="eastAsia" w:ascii="宋体" w:hAnsi="宋体" w:eastAsia="宋体" w:cs="宋体"/>
          <w:color w:val="000000" w:themeColor="text1"/>
          <w:szCs w:val="21"/>
          <w:highlight w:val="none"/>
          <w:lang w:bidi="zh-TW"/>
          <w14:textFill>
            <w14:solidFill>
              <w14:schemeClr w14:val="tx1"/>
            </w14:solidFill>
          </w14:textFill>
        </w:rPr>
      </w:pPr>
      <w:r>
        <w:rPr>
          <w:rFonts w:hint="eastAsia" w:ascii="宋体" w:hAnsi="宋体" w:eastAsia="宋体" w:cs="宋体"/>
          <w:color w:val="000000" w:themeColor="text1"/>
          <w:szCs w:val="21"/>
          <w:highlight w:val="none"/>
          <w:lang w:bidi="zh-TW"/>
          <w14:textFill>
            <w14:solidFill>
              <w14:schemeClr w14:val="tx1"/>
            </w14:solidFill>
          </w14:textFill>
        </w:rPr>
        <w:br w:type="page"/>
      </w:r>
    </w:p>
    <w:p w14:paraId="2DCF2EBC">
      <w:pPr>
        <w:pStyle w:val="11"/>
        <w:spacing w:before="91" w:line="227" w:lineRule="auto"/>
        <w:ind w:left="37"/>
        <w:outlineLvl w:val="2"/>
        <w:rPr>
          <w:rFonts w:hint="eastAsia" w:ascii="宋体" w:hAnsi="宋体" w:eastAsia="宋体" w:cs="宋体"/>
          <w:color w:val="000000" w:themeColor="text1"/>
          <w:sz w:val="28"/>
          <w:szCs w:val="28"/>
          <w14:textFill>
            <w14:solidFill>
              <w14:schemeClr w14:val="tx1"/>
            </w14:solidFill>
          </w14:textFill>
        </w:rPr>
      </w:pPr>
      <w:bookmarkStart w:id="150" w:name="_Toc8921"/>
      <w:bookmarkStart w:id="151" w:name="_Toc11324"/>
      <w:r>
        <w:rPr>
          <w:rFonts w:hint="eastAsia" w:ascii="宋体" w:hAnsi="宋体" w:eastAsia="宋体" w:cs="宋体"/>
          <w:b/>
          <w:bCs/>
          <w:color w:val="000000" w:themeColor="text1"/>
          <w:spacing w:val="1"/>
          <w:sz w:val="28"/>
          <w:szCs w:val="28"/>
          <w14:textFill>
            <w14:solidFill>
              <w14:schemeClr w14:val="tx1"/>
            </w14:solidFill>
          </w14:textFill>
        </w:rPr>
        <w:t>附件</w:t>
      </w:r>
      <w:r>
        <w:rPr>
          <w:rFonts w:hint="eastAsia" w:ascii="宋体" w:hAnsi="宋体" w:eastAsia="宋体" w:cs="宋体"/>
          <w:b/>
          <w:bCs/>
          <w:color w:val="000000" w:themeColor="text1"/>
          <w:spacing w:val="1"/>
          <w:sz w:val="28"/>
          <w:szCs w:val="28"/>
          <w:lang w:val="en-US" w:eastAsia="zh-CN"/>
          <w14:textFill>
            <w14:solidFill>
              <w14:schemeClr w14:val="tx1"/>
            </w14:solidFill>
          </w14:textFill>
        </w:rPr>
        <w:t>6</w:t>
      </w:r>
      <w:r>
        <w:rPr>
          <w:rFonts w:hint="eastAsia" w:ascii="宋体" w:hAnsi="宋体" w:eastAsia="宋体" w:cs="宋体"/>
          <w:b/>
          <w:bCs/>
          <w:color w:val="000000" w:themeColor="text1"/>
          <w:spacing w:val="1"/>
          <w:sz w:val="28"/>
          <w:szCs w:val="28"/>
          <w14:textFill>
            <w14:solidFill>
              <w14:schemeClr w14:val="tx1"/>
            </w14:solidFill>
          </w14:textFill>
        </w:rPr>
        <w:t>-2</w:t>
      </w:r>
      <w:r>
        <w:rPr>
          <w:rFonts w:hint="eastAsia" w:ascii="宋体" w:hAnsi="宋体" w:eastAsia="宋体" w:cs="宋体"/>
          <w:color w:val="000000" w:themeColor="text1"/>
          <w:spacing w:val="1"/>
          <w:sz w:val="28"/>
          <w:szCs w:val="28"/>
          <w14:textFill>
            <w14:solidFill>
              <w14:schemeClr w14:val="tx1"/>
            </w14:solidFill>
          </w14:textFill>
        </w:rPr>
        <w:t xml:space="preserve"> </w:t>
      </w:r>
      <w:r>
        <w:rPr>
          <w:rFonts w:hint="eastAsia" w:ascii="宋体" w:hAnsi="宋体" w:eastAsia="宋体" w:cs="宋体"/>
          <w:b/>
          <w:bCs/>
          <w:color w:val="000000" w:themeColor="text1"/>
          <w:spacing w:val="1"/>
          <w:sz w:val="28"/>
          <w:szCs w:val="28"/>
          <w14:textFill>
            <w14:solidFill>
              <w14:schemeClr w14:val="tx1"/>
            </w14:solidFill>
          </w14:textFill>
        </w:rPr>
        <w:t>监狱企业证明资料</w:t>
      </w:r>
      <w:bookmarkEnd w:id="150"/>
    </w:p>
    <w:p w14:paraId="5463A682">
      <w:pPr>
        <w:spacing w:line="380" w:lineRule="auto"/>
        <w:rPr>
          <w:rFonts w:hint="eastAsia" w:ascii="宋体" w:hAnsi="宋体" w:eastAsia="宋体" w:cs="宋体"/>
          <w:color w:val="000000" w:themeColor="text1"/>
          <w:sz w:val="21"/>
          <w14:textFill>
            <w14:solidFill>
              <w14:schemeClr w14:val="tx1"/>
            </w14:solidFill>
          </w14:textFill>
        </w:rPr>
      </w:pPr>
    </w:p>
    <w:p w14:paraId="59D6218A">
      <w:pPr>
        <w:pStyle w:val="11"/>
        <w:spacing w:before="101" w:line="231" w:lineRule="auto"/>
        <w:ind w:left="338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pacing w:val="5"/>
          <w14:textFill>
            <w14:solidFill>
              <w14:schemeClr w14:val="tx1"/>
            </w14:solidFill>
          </w14:textFill>
        </w:rPr>
        <w:t>监狱企业证明资料</w:t>
      </w:r>
    </w:p>
    <w:p w14:paraId="1A74463D">
      <w:pPr>
        <w:spacing w:line="411" w:lineRule="auto"/>
        <w:rPr>
          <w:rFonts w:hint="eastAsia" w:ascii="宋体" w:hAnsi="宋体" w:eastAsia="宋体" w:cs="宋体"/>
          <w:color w:val="000000" w:themeColor="text1"/>
          <w:sz w:val="21"/>
          <w14:textFill>
            <w14:solidFill>
              <w14:schemeClr w14:val="tx1"/>
            </w14:solidFill>
          </w14:textFill>
        </w:rPr>
      </w:pPr>
    </w:p>
    <w:p w14:paraId="154816E5">
      <w:pPr>
        <w:pStyle w:val="11"/>
        <w:spacing w:before="78" w:line="356" w:lineRule="auto"/>
        <w:ind w:left="15" w:right="14" w:firstLine="49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根据财库[2014]68号《财政部司法部关于政府采购支持监狱企业发展有关问题的通</w:t>
      </w:r>
      <w:r>
        <w:rPr>
          <w:rFonts w:hint="eastAsia" w:ascii="宋体" w:hAnsi="宋体" w:eastAsia="宋体" w:cs="宋体"/>
          <w:color w:val="000000" w:themeColor="text1"/>
          <w:spacing w:val="15"/>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知》，监狱企业视同小微企业。本单位参加</w:t>
      </w:r>
      <w:r>
        <w:rPr>
          <w:rFonts w:hint="eastAsia" w:ascii="宋体" w:hAnsi="宋体" w:eastAsia="宋体" w:cs="宋体"/>
          <w:color w:val="000000" w:themeColor="text1"/>
          <w:spacing w:val="-97"/>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（采购单位）的</w:t>
      </w:r>
      <w:r>
        <w:rPr>
          <w:rFonts w:hint="eastAsia" w:ascii="宋体" w:hAnsi="宋体" w:eastAsia="宋体" w:cs="宋体"/>
          <w:color w:val="000000" w:themeColor="text1"/>
          <w:spacing w:val="-109"/>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8"/>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项</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目采购活 </w:t>
      </w:r>
      <w:r>
        <w:rPr>
          <w:rFonts w:hint="eastAsia" w:ascii="宋体" w:hAnsi="宋体" w:eastAsia="宋体" w:cs="宋体"/>
          <w:color w:val="000000" w:themeColor="text1"/>
          <w:spacing w:val="-11"/>
          <w:sz w:val="24"/>
          <w:szCs w:val="24"/>
          <w14:textFill>
            <w14:solidFill>
              <w14:schemeClr w14:val="tx1"/>
            </w14:solidFill>
          </w14:textFill>
        </w:rPr>
        <w:t>动</w:t>
      </w:r>
      <w:r>
        <w:rPr>
          <w:rFonts w:hint="eastAsia" w:ascii="宋体" w:hAnsi="宋体" w:eastAsia="宋体" w:cs="宋体"/>
          <w:b/>
          <w:bCs/>
          <w:color w:val="000000" w:themeColor="text1"/>
          <w:spacing w:val="-11"/>
          <w:sz w:val="24"/>
          <w:szCs w:val="24"/>
          <w14:textFill>
            <w14:solidFill>
              <w14:schemeClr w14:val="tx1"/>
            </w14:solidFill>
          </w14:textFill>
        </w:rPr>
        <w:t>（请进行勾选打“</w:t>
      </w:r>
      <w:r>
        <w:rPr>
          <w:rFonts w:hint="eastAsia" w:ascii="宋体" w:hAnsi="宋体" w:eastAsia="宋体" w:cs="宋体"/>
          <w:color w:val="000000" w:themeColor="text1"/>
          <w:spacing w:val="-52"/>
          <w:sz w:val="24"/>
          <w:szCs w:val="24"/>
          <w14:textFill>
            <w14:solidFill>
              <w14:schemeClr w14:val="tx1"/>
            </w14:solidFill>
          </w14:textFill>
        </w:rPr>
        <w:t xml:space="preserve"> </w:t>
      </w:r>
      <w:r>
        <w:rPr>
          <w:rFonts w:hint="eastAsia" w:ascii="宋体" w:hAnsi="宋体" w:eastAsia="宋体" w:cs="宋体"/>
          <w:b/>
          <w:bCs/>
          <w:color w:val="000000" w:themeColor="text1"/>
          <w:spacing w:val="-11"/>
          <w:sz w:val="24"/>
          <w:szCs w:val="24"/>
          <w14:textFill>
            <w14:solidFill>
              <w14:schemeClr w14:val="tx1"/>
            </w14:solidFill>
          </w14:textFill>
        </w:rPr>
        <w:t>√</w:t>
      </w:r>
      <w:r>
        <w:rPr>
          <w:rFonts w:hint="eastAsia" w:ascii="宋体" w:hAnsi="宋体" w:eastAsia="宋体" w:cs="宋体"/>
          <w:color w:val="000000" w:themeColor="text1"/>
          <w:spacing w:val="-85"/>
          <w:sz w:val="24"/>
          <w:szCs w:val="24"/>
          <w14:textFill>
            <w14:solidFill>
              <w14:schemeClr w14:val="tx1"/>
            </w14:solidFill>
          </w14:textFill>
        </w:rPr>
        <w:t xml:space="preserve"> </w:t>
      </w:r>
      <w:r>
        <w:rPr>
          <w:rFonts w:hint="eastAsia" w:ascii="宋体" w:hAnsi="宋体" w:eastAsia="宋体" w:cs="宋体"/>
          <w:b/>
          <w:bCs/>
          <w:color w:val="000000" w:themeColor="text1"/>
          <w:spacing w:val="-11"/>
          <w:sz w:val="24"/>
          <w:szCs w:val="24"/>
          <w14:textFill>
            <w14:solidFill>
              <w14:schemeClr w14:val="tx1"/>
            </w14:solidFill>
          </w14:textFill>
        </w:rPr>
        <w:t>”)</w:t>
      </w:r>
      <w:r>
        <w:rPr>
          <w:rFonts w:hint="eastAsia" w:ascii="宋体" w:hAnsi="宋体" w:eastAsia="宋体" w:cs="宋体"/>
          <w:color w:val="000000" w:themeColor="text1"/>
          <w:spacing w:val="65"/>
          <w:sz w:val="24"/>
          <w:szCs w:val="24"/>
          <w14:textFill>
            <w14:solidFill>
              <w14:schemeClr w14:val="tx1"/>
            </w14:solidFill>
          </w14:textFill>
        </w:rPr>
        <w:t xml:space="preserve"> </w:t>
      </w:r>
      <w:r>
        <w:rPr>
          <w:rFonts w:hint="eastAsia" w:ascii="宋体" w:hAnsi="宋体" w:eastAsia="宋体" w:cs="宋体"/>
          <w:color w:val="000000" w:themeColor="text1"/>
          <w:spacing w:val="-11"/>
          <w:sz w:val="24"/>
          <w:szCs w:val="24"/>
          <w14:textFill>
            <w14:solidFill>
              <w14:schemeClr w14:val="tx1"/>
            </w14:solidFill>
          </w14:textFill>
        </w:rPr>
        <w:t>:</w:t>
      </w:r>
    </w:p>
    <w:p w14:paraId="72555464">
      <w:pPr>
        <w:pStyle w:val="11"/>
        <w:spacing w:line="236" w:lineRule="auto"/>
        <w:ind w:left="50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6"/>
          <w:sz w:val="24"/>
          <w:szCs w:val="24"/>
          <w14:textFill>
            <w14:solidFill>
              <w14:schemeClr w14:val="tx1"/>
            </w14:solidFill>
          </w14:textFill>
        </w:rPr>
        <w:t>不属于符合条件的监狱企业单位。</w:t>
      </w:r>
    </w:p>
    <w:p w14:paraId="3B7EACCA">
      <w:pPr>
        <w:pStyle w:val="11"/>
        <w:spacing w:before="159" w:line="294" w:lineRule="auto"/>
        <w:ind w:left="11" w:firstLine="49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4"/>
          <w:sz w:val="24"/>
          <w:szCs w:val="24"/>
          <w14:textFill>
            <w14:solidFill>
              <w14:schemeClr w14:val="tx1"/>
            </w14:solidFill>
          </w14:textFill>
        </w:rPr>
        <w:t>属于符合条件的监狱企业单位，</w:t>
      </w:r>
      <w:r>
        <w:rPr>
          <w:rFonts w:hint="eastAsia" w:ascii="宋体" w:hAnsi="宋体" w:eastAsia="宋体" w:cs="宋体"/>
          <w:color w:val="000000" w:themeColor="text1"/>
          <w:spacing w:val="4"/>
          <w:sz w:val="24"/>
          <w:szCs w:val="24"/>
          <w14:textFill>
            <w14:solidFill>
              <w14:schemeClr w14:val="tx1"/>
            </w14:solidFill>
          </w14:textFill>
        </w:rPr>
        <w:t>按《财政部司法部关于政府采购支持监狱企业发</w:t>
      </w:r>
      <w:r>
        <w:rPr>
          <w:rFonts w:hint="eastAsia" w:ascii="宋体" w:hAnsi="宋体" w:eastAsia="宋体" w:cs="宋体"/>
          <w:color w:val="000000" w:themeColor="text1"/>
          <w:spacing w:val="5"/>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展有关问题的通知》</w:t>
      </w:r>
      <w:r>
        <w:rPr>
          <w:rFonts w:hint="eastAsia" w:ascii="宋体" w:hAnsi="宋体" w:eastAsia="宋体" w:cs="宋体"/>
          <w:color w:val="000000" w:themeColor="text1"/>
          <w:spacing w:val="-54"/>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(财库〔2014〕68</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号)文件规定提供证明文件，</w:t>
      </w:r>
      <w:r>
        <w:rPr>
          <w:rFonts w:hint="eastAsia" w:ascii="宋体" w:hAnsi="宋体" w:eastAsia="宋体" w:cs="宋体"/>
          <w:b/>
          <w:bCs/>
          <w:color w:val="000000" w:themeColor="text1"/>
          <w:sz w:val="24"/>
          <w:szCs w:val="24"/>
          <w14:textFill>
            <w14:solidFill>
              <w14:schemeClr w14:val="tx1"/>
            </w14:solidFill>
          </w14:textFill>
        </w:rPr>
        <w:t>证明文</w:t>
      </w:r>
      <w:r>
        <w:rPr>
          <w:rFonts w:hint="eastAsia" w:ascii="宋体" w:hAnsi="宋体" w:eastAsia="宋体" w:cs="宋体"/>
          <w:b/>
          <w:bCs/>
          <w:color w:val="000000" w:themeColor="text1"/>
          <w:spacing w:val="-1"/>
          <w:sz w:val="24"/>
          <w:szCs w:val="24"/>
          <w14:textFill>
            <w14:solidFill>
              <w14:schemeClr w14:val="tx1"/>
            </w14:solidFill>
          </w14:textFill>
        </w:rPr>
        <w:t>件提供如下：</w:t>
      </w:r>
    </w:p>
    <w:p w14:paraId="541DFC10">
      <w:pPr>
        <w:spacing w:line="283" w:lineRule="auto"/>
        <w:rPr>
          <w:rFonts w:hint="eastAsia" w:ascii="宋体" w:hAnsi="宋体" w:eastAsia="宋体" w:cs="宋体"/>
          <w:color w:val="000000" w:themeColor="text1"/>
          <w:sz w:val="21"/>
          <w14:textFill>
            <w14:solidFill>
              <w14:schemeClr w14:val="tx1"/>
            </w14:solidFill>
          </w14:textFill>
        </w:rPr>
      </w:pPr>
    </w:p>
    <w:p w14:paraId="7A32C00D">
      <w:pPr>
        <w:spacing w:line="283" w:lineRule="auto"/>
        <w:rPr>
          <w:rFonts w:hint="eastAsia" w:ascii="宋体" w:hAnsi="宋体" w:eastAsia="宋体" w:cs="宋体"/>
          <w:color w:val="000000" w:themeColor="text1"/>
          <w:sz w:val="21"/>
          <w14:textFill>
            <w14:solidFill>
              <w14:schemeClr w14:val="tx1"/>
            </w14:solidFill>
          </w14:textFill>
        </w:rPr>
      </w:pPr>
    </w:p>
    <w:p w14:paraId="7AE3BFD4">
      <w:pPr>
        <w:pStyle w:val="11"/>
        <w:spacing w:before="78" w:line="220" w:lineRule="auto"/>
        <w:ind w:left="528"/>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9"/>
          <w:sz w:val="24"/>
          <w:szCs w:val="24"/>
          <w14:textFill>
            <w14:solidFill>
              <w14:schemeClr w14:val="tx1"/>
            </w14:solidFill>
          </w14:textFill>
        </w:rPr>
        <w:t>本单位对上述声明的真实性负责。如有虚假，将依法承担相应</w:t>
      </w:r>
      <w:r>
        <w:rPr>
          <w:rFonts w:hint="eastAsia" w:ascii="宋体" w:hAnsi="宋体" w:eastAsia="宋体" w:cs="宋体"/>
          <w:b/>
          <w:bCs/>
          <w:color w:val="000000" w:themeColor="text1"/>
          <w:spacing w:val="8"/>
          <w:sz w:val="24"/>
          <w:szCs w:val="24"/>
          <w14:textFill>
            <w14:solidFill>
              <w14:schemeClr w14:val="tx1"/>
            </w14:solidFill>
          </w14:textFill>
        </w:rPr>
        <w:t>责任。</w:t>
      </w:r>
    </w:p>
    <w:p w14:paraId="35A3898E">
      <w:pPr>
        <w:spacing w:line="283" w:lineRule="auto"/>
        <w:rPr>
          <w:rFonts w:hint="eastAsia" w:ascii="宋体" w:hAnsi="宋体" w:eastAsia="宋体" w:cs="宋体"/>
          <w:color w:val="000000" w:themeColor="text1"/>
          <w:sz w:val="21"/>
          <w14:textFill>
            <w14:solidFill>
              <w14:schemeClr w14:val="tx1"/>
            </w14:solidFill>
          </w14:textFill>
        </w:rPr>
      </w:pPr>
    </w:p>
    <w:p w14:paraId="0856D6B8">
      <w:pPr>
        <w:spacing w:line="283" w:lineRule="auto"/>
        <w:rPr>
          <w:rFonts w:hint="eastAsia" w:ascii="宋体" w:hAnsi="宋体" w:eastAsia="宋体" w:cs="宋体"/>
          <w:color w:val="000000" w:themeColor="text1"/>
          <w:sz w:val="21"/>
          <w14:textFill>
            <w14:solidFill>
              <w14:schemeClr w14:val="tx1"/>
            </w14:solidFill>
          </w14:textFill>
        </w:rPr>
      </w:pPr>
    </w:p>
    <w:p w14:paraId="17EC9242">
      <w:pPr>
        <w:pStyle w:val="11"/>
        <w:spacing w:before="79" w:line="225" w:lineRule="auto"/>
        <w:ind w:left="302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8"/>
          <w:sz w:val="24"/>
          <w:szCs w:val="24"/>
          <w:lang w:val="en-US" w:eastAsia="zh-CN"/>
          <w14:textFill>
            <w14:solidFill>
              <w14:schemeClr w14:val="tx1"/>
            </w14:solidFill>
          </w14:textFill>
        </w:rPr>
        <w:t>供应商</w:t>
      </w:r>
      <w:r>
        <w:rPr>
          <w:rFonts w:hint="eastAsia" w:ascii="宋体" w:hAnsi="宋体" w:eastAsia="宋体" w:cs="宋体"/>
          <w:b/>
          <w:bCs/>
          <w:color w:val="000000" w:themeColor="text1"/>
          <w:spacing w:val="8"/>
          <w:sz w:val="24"/>
          <w:szCs w:val="24"/>
          <w14:textFill>
            <w14:solidFill>
              <w14:schemeClr w14:val="tx1"/>
            </w14:solidFill>
          </w14:textFill>
        </w:rPr>
        <w:t>名称（盖单位公章</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pacing w:val="-52"/>
          <w:sz w:val="24"/>
          <w:szCs w:val="24"/>
          <w14:textFill>
            <w14:solidFill>
              <w14:schemeClr w14:val="tx1"/>
            </w14:solidFill>
          </w14:textFill>
        </w:rPr>
        <w:t xml:space="preserve"> </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z w:val="24"/>
          <w:szCs w:val="24"/>
          <w:u w:val="single" w:color="auto"/>
          <w14:textFill>
            <w14:solidFill>
              <w14:schemeClr w14:val="tx1"/>
            </w14:solidFill>
          </w14:textFill>
        </w:rPr>
        <w:t xml:space="preserve">               </w:t>
      </w:r>
    </w:p>
    <w:p w14:paraId="7AFD249E">
      <w:pPr>
        <w:wordWrap w:val="0"/>
        <w:jc w:val="right"/>
        <w:rPr>
          <w:rFonts w:hint="eastAsia" w:ascii="宋体" w:hAnsi="宋体" w:eastAsia="宋体" w:cs="宋体"/>
          <w:b/>
          <w:bCs/>
          <w:color w:val="000000" w:themeColor="text1"/>
          <w:spacing w:val="-20"/>
          <w:sz w:val="24"/>
          <w:szCs w:val="24"/>
          <w14:textFill>
            <w14:solidFill>
              <w14:schemeClr w14:val="tx1"/>
            </w14:solidFill>
          </w14:textFill>
        </w:rPr>
      </w:pPr>
      <w:r>
        <w:rPr>
          <w:rFonts w:hint="eastAsia" w:ascii="宋体" w:hAnsi="宋体" w:eastAsia="宋体" w:cs="宋体"/>
          <w:b/>
          <w:bCs/>
          <w:color w:val="000000" w:themeColor="text1"/>
          <w:spacing w:val="-20"/>
          <w:sz w:val="24"/>
          <w:szCs w:val="24"/>
          <w14:textFill>
            <w14:solidFill>
              <w14:schemeClr w14:val="tx1"/>
            </w14:solidFill>
          </w14:textFill>
        </w:rPr>
        <w:t>日</w:t>
      </w:r>
      <w:r>
        <w:rPr>
          <w:rFonts w:hint="eastAsia" w:ascii="宋体" w:hAnsi="宋体" w:eastAsia="宋体" w:cs="宋体"/>
          <w:color w:val="000000" w:themeColor="text1"/>
          <w:spacing w:val="14"/>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期：</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6"/>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年</w:t>
      </w:r>
      <w:r>
        <w:rPr>
          <w:rFonts w:hint="eastAsia" w:ascii="宋体" w:hAnsi="宋体" w:eastAsia="宋体" w:cs="宋体"/>
          <w:color w:val="000000" w:themeColor="text1"/>
          <w:spacing w:val="-118"/>
          <w:sz w:val="24"/>
          <w:szCs w:val="24"/>
          <w14:textFill>
            <w14:solidFill>
              <w14:schemeClr w14:val="tx1"/>
            </w14:solidFill>
          </w14:textFill>
        </w:rPr>
        <w:t xml:space="preserve"> </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97"/>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月</w:t>
      </w:r>
      <w:r>
        <w:rPr>
          <w:rFonts w:hint="eastAsia" w:ascii="宋体" w:hAnsi="宋体" w:eastAsia="宋体" w:cs="宋体"/>
          <w:color w:val="000000" w:themeColor="text1"/>
          <w:spacing w:val="-118"/>
          <w:sz w:val="24"/>
          <w:szCs w:val="24"/>
          <w14:textFill>
            <w14:solidFill>
              <w14:schemeClr w14:val="tx1"/>
            </w14:solidFill>
          </w14:textFill>
        </w:rPr>
        <w:t xml:space="preserve"> </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60"/>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日</w:t>
      </w:r>
    </w:p>
    <w:p w14:paraId="5103666E">
      <w:pPr>
        <w:rPr>
          <w:rFonts w:hint="eastAsia" w:ascii="宋体" w:hAnsi="宋体" w:eastAsia="宋体" w:cs="宋体"/>
          <w:b/>
          <w:bCs/>
          <w:color w:val="000000" w:themeColor="text1"/>
          <w:spacing w:val="-20"/>
          <w:sz w:val="24"/>
          <w:szCs w:val="24"/>
          <w14:textFill>
            <w14:solidFill>
              <w14:schemeClr w14:val="tx1"/>
            </w14:solidFill>
          </w14:textFill>
        </w:rPr>
      </w:pPr>
      <w:r>
        <w:rPr>
          <w:rFonts w:hint="eastAsia" w:ascii="宋体" w:hAnsi="宋体" w:eastAsia="宋体" w:cs="宋体"/>
          <w:b/>
          <w:bCs/>
          <w:color w:val="000000" w:themeColor="text1"/>
          <w:spacing w:val="-20"/>
          <w:sz w:val="24"/>
          <w:szCs w:val="24"/>
          <w14:textFill>
            <w14:solidFill>
              <w14:schemeClr w14:val="tx1"/>
            </w14:solidFill>
          </w14:textFill>
        </w:rPr>
        <w:br w:type="page"/>
      </w:r>
    </w:p>
    <w:p w14:paraId="2542C446">
      <w:pPr>
        <w:pStyle w:val="11"/>
        <w:spacing w:before="91" w:line="226" w:lineRule="auto"/>
        <w:ind w:left="37"/>
        <w:outlineLvl w:val="2"/>
        <w:rPr>
          <w:rFonts w:hint="eastAsia" w:ascii="宋体" w:hAnsi="宋体" w:eastAsia="宋体" w:cs="宋体"/>
          <w:color w:val="000000" w:themeColor="text1"/>
          <w:sz w:val="28"/>
          <w:szCs w:val="28"/>
          <w14:textFill>
            <w14:solidFill>
              <w14:schemeClr w14:val="tx1"/>
            </w14:solidFill>
          </w14:textFill>
        </w:rPr>
      </w:pPr>
      <w:bookmarkStart w:id="152" w:name="_Toc9119"/>
      <w:r>
        <w:rPr>
          <w:rFonts w:hint="eastAsia" w:ascii="宋体" w:hAnsi="宋体" w:eastAsia="宋体" w:cs="宋体"/>
          <w:b/>
          <w:bCs/>
          <w:color w:val="000000" w:themeColor="text1"/>
          <w:sz w:val="28"/>
          <w:szCs w:val="28"/>
          <w14:textFill>
            <w14:solidFill>
              <w14:schemeClr w14:val="tx1"/>
            </w14:solidFill>
          </w14:textFill>
        </w:rPr>
        <w:t>附件</w:t>
      </w:r>
      <w:r>
        <w:rPr>
          <w:rFonts w:hint="eastAsia" w:ascii="宋体" w:hAnsi="宋体" w:eastAsia="宋体" w:cs="宋体"/>
          <w:b/>
          <w:bCs/>
          <w:color w:val="000000" w:themeColor="text1"/>
          <w:sz w:val="28"/>
          <w:szCs w:val="28"/>
          <w:lang w:val="en-US" w:eastAsia="zh-CN"/>
          <w14:textFill>
            <w14:solidFill>
              <w14:schemeClr w14:val="tx1"/>
            </w14:solidFill>
          </w14:textFill>
        </w:rPr>
        <w:t>6</w:t>
      </w:r>
      <w:r>
        <w:rPr>
          <w:rFonts w:hint="eastAsia" w:ascii="宋体" w:hAnsi="宋体" w:eastAsia="宋体" w:cs="宋体"/>
          <w:b/>
          <w:bCs/>
          <w:color w:val="000000" w:themeColor="text1"/>
          <w:sz w:val="28"/>
          <w:szCs w:val="28"/>
          <w14:textFill>
            <w14:solidFill>
              <w14:schemeClr w14:val="tx1"/>
            </w14:solidFill>
          </w14:textFill>
        </w:rPr>
        <w:t>-3</w:t>
      </w: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b/>
          <w:bCs/>
          <w:color w:val="000000" w:themeColor="text1"/>
          <w:sz w:val="28"/>
          <w:szCs w:val="28"/>
          <w14:textFill>
            <w14:solidFill>
              <w14:schemeClr w14:val="tx1"/>
            </w14:solidFill>
          </w14:textFill>
        </w:rPr>
        <w:t>残疾人福利性单位声明函</w:t>
      </w:r>
      <w:bookmarkEnd w:id="152"/>
    </w:p>
    <w:p w14:paraId="5AADB06C">
      <w:pPr>
        <w:spacing w:line="380" w:lineRule="auto"/>
        <w:rPr>
          <w:rFonts w:hint="eastAsia" w:ascii="宋体" w:hAnsi="宋体" w:eastAsia="宋体" w:cs="宋体"/>
          <w:color w:val="000000" w:themeColor="text1"/>
          <w:sz w:val="21"/>
          <w14:textFill>
            <w14:solidFill>
              <w14:schemeClr w14:val="tx1"/>
            </w14:solidFill>
          </w14:textFill>
        </w:rPr>
      </w:pPr>
    </w:p>
    <w:p w14:paraId="6EDA8BD5">
      <w:pPr>
        <w:pStyle w:val="11"/>
        <w:spacing w:before="101" w:line="231" w:lineRule="auto"/>
        <w:ind w:left="289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pacing w:val="7"/>
          <w14:textFill>
            <w14:solidFill>
              <w14:schemeClr w14:val="tx1"/>
            </w14:solidFill>
          </w14:textFill>
        </w:rPr>
        <w:t>残疾人福利性单位声明函</w:t>
      </w:r>
    </w:p>
    <w:p w14:paraId="77D9F7B5">
      <w:pPr>
        <w:spacing w:line="369" w:lineRule="auto"/>
        <w:rPr>
          <w:rFonts w:hint="eastAsia" w:ascii="宋体" w:hAnsi="宋体" w:eastAsia="宋体" w:cs="宋体"/>
          <w:color w:val="000000" w:themeColor="text1"/>
          <w:sz w:val="21"/>
          <w14:textFill>
            <w14:solidFill>
              <w14:schemeClr w14:val="tx1"/>
            </w14:solidFill>
          </w14:textFill>
        </w:rPr>
      </w:pPr>
    </w:p>
    <w:p w14:paraId="5690BCFA">
      <w:pPr>
        <w:pStyle w:val="11"/>
        <w:spacing w:before="78" w:line="421" w:lineRule="auto"/>
        <w:ind w:left="14" w:right="13" w:firstLine="51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7"/>
          <w:sz w:val="24"/>
          <w:szCs w:val="24"/>
          <w14:textFill>
            <w14:solidFill>
              <w14:schemeClr w14:val="tx1"/>
            </w14:solidFill>
          </w14:textFill>
        </w:rPr>
        <w:t>本单位郑重声明，根据《财政部</w:t>
      </w:r>
      <w:r>
        <w:rPr>
          <w:rFonts w:hint="eastAsia" w:ascii="宋体" w:hAnsi="宋体" w:eastAsia="宋体" w:cs="宋体"/>
          <w:color w:val="000000" w:themeColor="text1"/>
          <w:spacing w:val="63"/>
          <w:sz w:val="24"/>
          <w:szCs w:val="24"/>
          <w14:textFill>
            <w14:solidFill>
              <w14:schemeClr w14:val="tx1"/>
            </w14:solidFill>
          </w14:textFill>
        </w:rPr>
        <w:t xml:space="preserve"> </w:t>
      </w:r>
      <w:r>
        <w:rPr>
          <w:rFonts w:hint="eastAsia" w:ascii="宋体" w:hAnsi="宋体" w:eastAsia="宋体" w:cs="宋体"/>
          <w:color w:val="000000" w:themeColor="text1"/>
          <w:spacing w:val="7"/>
          <w:sz w:val="24"/>
          <w:szCs w:val="24"/>
          <w14:textFill>
            <w14:solidFill>
              <w14:schemeClr w14:val="tx1"/>
            </w14:solidFill>
          </w14:textFill>
        </w:rPr>
        <w:t>民政部</w:t>
      </w:r>
      <w:r>
        <w:rPr>
          <w:rFonts w:hint="eastAsia" w:ascii="宋体" w:hAnsi="宋体" w:eastAsia="宋体" w:cs="宋体"/>
          <w:color w:val="000000" w:themeColor="text1"/>
          <w:spacing w:val="61"/>
          <w:sz w:val="24"/>
          <w:szCs w:val="24"/>
          <w14:textFill>
            <w14:solidFill>
              <w14:schemeClr w14:val="tx1"/>
            </w14:solidFill>
          </w14:textFill>
        </w:rPr>
        <w:t xml:space="preserve"> </w:t>
      </w:r>
      <w:r>
        <w:rPr>
          <w:rFonts w:hint="eastAsia" w:ascii="宋体" w:hAnsi="宋体" w:eastAsia="宋体" w:cs="宋体"/>
          <w:color w:val="000000" w:themeColor="text1"/>
          <w:spacing w:val="7"/>
          <w:sz w:val="24"/>
          <w:szCs w:val="24"/>
          <w14:textFill>
            <w14:solidFill>
              <w14:schemeClr w14:val="tx1"/>
            </w14:solidFill>
          </w14:textFill>
        </w:rPr>
        <w:t>中国残疾人联合会关于促进残疾人就业</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政府采购政策的通知》（财库〔2017〕141</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号）的规定，本单位</w:t>
      </w:r>
      <w:r>
        <w:rPr>
          <w:rFonts w:hint="eastAsia" w:ascii="宋体" w:hAnsi="宋体" w:eastAsia="宋体" w:cs="宋体"/>
          <w:b/>
          <w:bCs/>
          <w:color w:val="000000" w:themeColor="text1"/>
          <w:spacing w:val="-6"/>
          <w:sz w:val="24"/>
          <w:szCs w:val="24"/>
          <w14:textFill>
            <w14:solidFill>
              <w14:schemeClr w14:val="tx1"/>
            </w14:solidFill>
          </w14:textFill>
        </w:rPr>
        <w:t>（请进行</w:t>
      </w:r>
      <w:r>
        <w:rPr>
          <w:rFonts w:hint="eastAsia" w:ascii="宋体" w:hAnsi="宋体" w:eastAsia="宋体" w:cs="宋体"/>
          <w:b/>
          <w:bCs/>
          <w:color w:val="000000" w:themeColor="text1"/>
          <w:spacing w:val="-7"/>
          <w:sz w:val="24"/>
          <w:szCs w:val="24"/>
          <w14:textFill>
            <w14:solidFill>
              <w14:schemeClr w14:val="tx1"/>
            </w14:solidFill>
          </w14:textFill>
        </w:rPr>
        <w:t>勾选打“</w:t>
      </w:r>
      <w:r>
        <w:rPr>
          <w:rFonts w:hint="eastAsia" w:ascii="宋体" w:hAnsi="宋体" w:eastAsia="宋体" w:cs="宋体"/>
          <w:color w:val="000000" w:themeColor="text1"/>
          <w:spacing w:val="-54"/>
          <w:sz w:val="24"/>
          <w:szCs w:val="24"/>
          <w14:textFill>
            <w14:solidFill>
              <w14:schemeClr w14:val="tx1"/>
            </w14:solidFill>
          </w14:textFill>
        </w:rPr>
        <w:t xml:space="preserve"> </w:t>
      </w:r>
      <w:r>
        <w:rPr>
          <w:rFonts w:hint="eastAsia" w:ascii="宋体" w:hAnsi="宋体" w:eastAsia="宋体" w:cs="宋体"/>
          <w:b/>
          <w:bCs/>
          <w:color w:val="000000" w:themeColor="text1"/>
          <w:spacing w:val="-7"/>
          <w:sz w:val="24"/>
          <w:szCs w:val="24"/>
          <w14:textFill>
            <w14:solidFill>
              <w14:schemeClr w14:val="tx1"/>
            </w14:solidFill>
          </w14:textFill>
        </w:rPr>
        <w:t>√</w:t>
      </w:r>
      <w:r>
        <w:rPr>
          <w:rFonts w:hint="eastAsia" w:ascii="宋体" w:hAnsi="宋体" w:eastAsia="宋体" w:cs="宋体"/>
          <w:color w:val="000000" w:themeColor="text1"/>
          <w:spacing w:val="-88"/>
          <w:sz w:val="24"/>
          <w:szCs w:val="24"/>
          <w14:textFill>
            <w14:solidFill>
              <w14:schemeClr w14:val="tx1"/>
            </w14:solidFill>
          </w14:textFill>
        </w:rPr>
        <w:t xml:space="preserve"> </w:t>
      </w:r>
      <w:r>
        <w:rPr>
          <w:rFonts w:hint="eastAsia" w:ascii="宋体" w:hAnsi="宋体" w:eastAsia="宋体" w:cs="宋体"/>
          <w:b/>
          <w:bCs/>
          <w:color w:val="000000" w:themeColor="text1"/>
          <w:spacing w:val="-7"/>
          <w:sz w:val="24"/>
          <w:szCs w:val="24"/>
          <w14:textFill>
            <w14:solidFill>
              <w14:schemeClr w14:val="tx1"/>
            </w14:solidFill>
          </w14:textFill>
        </w:rPr>
        <w:t>”)</w:t>
      </w:r>
      <w:r>
        <w:rPr>
          <w:rFonts w:hint="eastAsia" w:ascii="宋体" w:hAnsi="宋体" w:eastAsia="宋体" w:cs="宋体"/>
          <w:color w:val="000000" w:themeColor="text1"/>
          <w:spacing w:val="-54"/>
          <w:sz w:val="24"/>
          <w:szCs w:val="24"/>
          <w14:textFill>
            <w14:solidFill>
              <w14:schemeClr w14:val="tx1"/>
            </w14:solidFill>
          </w14:textFill>
        </w:rPr>
        <w:t xml:space="preserve"> </w:t>
      </w:r>
      <w:r>
        <w:rPr>
          <w:rFonts w:hint="eastAsia" w:ascii="宋体" w:hAnsi="宋体" w:eastAsia="宋体" w:cs="宋体"/>
          <w:color w:val="000000" w:themeColor="text1"/>
          <w:spacing w:val="-7"/>
          <w:sz w:val="24"/>
          <w:szCs w:val="24"/>
          <w14:textFill>
            <w14:solidFill>
              <w14:schemeClr w14:val="tx1"/>
            </w14:solidFill>
          </w14:textFill>
        </w:rPr>
        <w:t>:</w:t>
      </w:r>
    </w:p>
    <w:p w14:paraId="03E65721">
      <w:pPr>
        <w:pStyle w:val="11"/>
        <w:spacing w:line="353" w:lineRule="exact"/>
        <w:ind w:left="516"/>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7"/>
          <w:position w:val="1"/>
          <w:sz w:val="24"/>
          <w:szCs w:val="24"/>
          <w14:textFill>
            <w14:solidFill>
              <w14:schemeClr w14:val="tx1"/>
            </w14:solidFill>
          </w14:textFill>
        </w:rPr>
        <w:t>不属于符合条件的残疾人福利性单位。</w:t>
      </w:r>
    </w:p>
    <w:p w14:paraId="73CA2AAA">
      <w:pPr>
        <w:pStyle w:val="11"/>
        <w:spacing w:before="233" w:line="383" w:lineRule="auto"/>
        <w:ind w:left="11" w:right="13" w:firstLine="50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1"/>
          <w:sz w:val="24"/>
          <w:szCs w:val="24"/>
          <w14:textFill>
            <w14:solidFill>
              <w14:schemeClr w14:val="tx1"/>
            </w14:solidFill>
          </w14:textFill>
        </w:rPr>
        <w:t>属于符合条件的残疾人福利性单位，</w:t>
      </w:r>
      <w:r>
        <w:rPr>
          <w:rFonts w:hint="eastAsia" w:ascii="宋体" w:hAnsi="宋体" w:eastAsia="宋体" w:cs="宋体"/>
          <w:color w:val="000000" w:themeColor="text1"/>
          <w:spacing w:val="1"/>
          <w:sz w:val="24"/>
          <w:szCs w:val="24"/>
          <w14:textFill>
            <w14:solidFill>
              <w14:schemeClr w14:val="tx1"/>
            </w14:solidFill>
          </w14:textFill>
        </w:rPr>
        <w:t>且本单位参加</w:t>
      </w:r>
      <w:r>
        <w:rPr>
          <w:rFonts w:hint="eastAsia" w:ascii="宋体" w:hAnsi="宋体" w:eastAsia="宋体" w:cs="宋体"/>
          <w:color w:val="000000" w:themeColor="text1"/>
          <w:spacing w:val="-107"/>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5"/>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单位的</w:t>
      </w:r>
      <w:r>
        <w:rPr>
          <w:rFonts w:hint="eastAsia" w:ascii="宋体" w:hAnsi="宋体" w:eastAsia="宋体" w:cs="宋体"/>
          <w:color w:val="000000" w:themeColor="text1"/>
          <w:spacing w:val="-109"/>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8"/>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项</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目采</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3"/>
          <w:sz w:val="24"/>
          <w:szCs w:val="24"/>
          <w14:textFill>
            <w14:solidFill>
              <w14:schemeClr w14:val="tx1"/>
            </w14:solidFill>
          </w14:textFill>
        </w:rPr>
        <w:t>购活动提供本单位制造的货物（由本单位承担工程/提供服务</w:t>
      </w:r>
      <w:r>
        <w:rPr>
          <w:rFonts w:hint="eastAsia" w:ascii="宋体" w:hAnsi="宋体" w:eastAsia="宋体" w:cs="宋体"/>
          <w:color w:val="000000" w:themeColor="text1"/>
          <w:spacing w:val="4"/>
          <w:sz w:val="24"/>
          <w:szCs w:val="24"/>
          <w14:textFill>
            <w14:solidFill>
              <w14:schemeClr w14:val="tx1"/>
            </w14:solidFill>
          </w14:textFill>
        </w:rPr>
        <w:t>）</w:t>
      </w:r>
      <w:r>
        <w:rPr>
          <w:rFonts w:hint="eastAsia" w:ascii="宋体" w:hAnsi="宋体" w:eastAsia="宋体" w:cs="宋体"/>
          <w:color w:val="000000" w:themeColor="text1"/>
          <w:spacing w:val="-63"/>
          <w:sz w:val="24"/>
          <w:szCs w:val="24"/>
          <w14:textFill>
            <w14:solidFill>
              <w14:schemeClr w14:val="tx1"/>
            </w14:solidFill>
          </w14:textFill>
        </w:rPr>
        <w:t xml:space="preserve"> </w:t>
      </w:r>
      <w:r>
        <w:rPr>
          <w:rFonts w:hint="eastAsia" w:ascii="宋体" w:hAnsi="宋体" w:eastAsia="宋体" w:cs="宋体"/>
          <w:color w:val="000000" w:themeColor="text1"/>
          <w:spacing w:val="4"/>
          <w:sz w:val="24"/>
          <w:szCs w:val="24"/>
          <w14:textFill>
            <w14:solidFill>
              <w14:schemeClr w14:val="tx1"/>
            </w14:solidFill>
          </w14:textFill>
        </w:rPr>
        <w:t>，</w:t>
      </w:r>
      <w:r>
        <w:rPr>
          <w:rFonts w:hint="eastAsia" w:ascii="宋体" w:hAnsi="宋体" w:eastAsia="宋体" w:cs="宋体"/>
          <w:color w:val="000000" w:themeColor="text1"/>
          <w:spacing w:val="13"/>
          <w:sz w:val="24"/>
          <w:szCs w:val="24"/>
          <w14:textFill>
            <w14:solidFill>
              <w14:schemeClr w14:val="tx1"/>
            </w14:solidFill>
          </w14:textFill>
        </w:rPr>
        <w:t>或者提供其他残疾</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1"/>
          <w:sz w:val="24"/>
          <w:szCs w:val="24"/>
          <w14:textFill>
            <w14:solidFill>
              <w14:schemeClr w14:val="tx1"/>
            </w14:solidFill>
          </w14:textFill>
        </w:rPr>
        <w:t>人福利性单位制造的货物（不包括使用非残疾人福利性单位注册商标的货物）。</w:t>
      </w:r>
    </w:p>
    <w:p w14:paraId="357F2E63">
      <w:pPr>
        <w:pStyle w:val="11"/>
        <w:spacing w:before="296" w:line="220" w:lineRule="auto"/>
        <w:ind w:left="528"/>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9"/>
          <w:sz w:val="24"/>
          <w:szCs w:val="24"/>
          <w14:textFill>
            <w14:solidFill>
              <w14:schemeClr w14:val="tx1"/>
            </w14:solidFill>
          </w14:textFill>
        </w:rPr>
        <w:t>本单位对上述声明的真实性负责。如有虚假，将依法承担相应</w:t>
      </w:r>
      <w:r>
        <w:rPr>
          <w:rFonts w:hint="eastAsia" w:ascii="宋体" w:hAnsi="宋体" w:eastAsia="宋体" w:cs="宋体"/>
          <w:b/>
          <w:bCs/>
          <w:color w:val="000000" w:themeColor="text1"/>
          <w:spacing w:val="8"/>
          <w:sz w:val="24"/>
          <w:szCs w:val="24"/>
          <w14:textFill>
            <w14:solidFill>
              <w14:schemeClr w14:val="tx1"/>
            </w14:solidFill>
          </w14:textFill>
        </w:rPr>
        <w:t>责任。</w:t>
      </w:r>
    </w:p>
    <w:p w14:paraId="7AF16E2C">
      <w:pPr>
        <w:spacing w:line="307" w:lineRule="auto"/>
        <w:rPr>
          <w:rFonts w:hint="eastAsia" w:ascii="宋体" w:hAnsi="宋体" w:eastAsia="宋体" w:cs="宋体"/>
          <w:color w:val="000000" w:themeColor="text1"/>
          <w:sz w:val="21"/>
          <w14:textFill>
            <w14:solidFill>
              <w14:schemeClr w14:val="tx1"/>
            </w14:solidFill>
          </w14:textFill>
        </w:rPr>
      </w:pPr>
    </w:p>
    <w:p w14:paraId="4928553C">
      <w:pPr>
        <w:spacing w:line="308" w:lineRule="auto"/>
        <w:rPr>
          <w:rFonts w:hint="eastAsia" w:ascii="宋体" w:hAnsi="宋体" w:eastAsia="宋体" w:cs="宋体"/>
          <w:color w:val="000000" w:themeColor="text1"/>
          <w:sz w:val="21"/>
          <w14:textFill>
            <w14:solidFill>
              <w14:schemeClr w14:val="tx1"/>
            </w14:solidFill>
          </w14:textFill>
        </w:rPr>
      </w:pPr>
    </w:p>
    <w:p w14:paraId="352A5418">
      <w:pPr>
        <w:spacing w:line="308" w:lineRule="auto"/>
        <w:rPr>
          <w:rFonts w:hint="eastAsia" w:ascii="宋体" w:hAnsi="宋体" w:eastAsia="宋体" w:cs="宋体"/>
          <w:color w:val="000000" w:themeColor="text1"/>
          <w:sz w:val="21"/>
          <w14:textFill>
            <w14:solidFill>
              <w14:schemeClr w14:val="tx1"/>
            </w14:solidFill>
          </w14:textFill>
        </w:rPr>
      </w:pPr>
    </w:p>
    <w:p w14:paraId="425D8AB7">
      <w:pPr>
        <w:pStyle w:val="11"/>
        <w:spacing w:before="78" w:line="225" w:lineRule="auto"/>
        <w:ind w:left="461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8"/>
          <w:sz w:val="24"/>
          <w:szCs w:val="24"/>
          <w:lang w:val="en-US" w:eastAsia="zh-CN"/>
          <w14:textFill>
            <w14:solidFill>
              <w14:schemeClr w14:val="tx1"/>
            </w14:solidFill>
          </w14:textFill>
        </w:rPr>
        <w:t>供应商</w:t>
      </w:r>
      <w:r>
        <w:rPr>
          <w:rFonts w:hint="eastAsia" w:ascii="宋体" w:hAnsi="宋体" w:eastAsia="宋体" w:cs="宋体"/>
          <w:b/>
          <w:bCs/>
          <w:color w:val="000000" w:themeColor="text1"/>
          <w:spacing w:val="8"/>
          <w:sz w:val="24"/>
          <w:szCs w:val="24"/>
          <w14:textFill>
            <w14:solidFill>
              <w14:schemeClr w14:val="tx1"/>
            </w14:solidFill>
          </w14:textFill>
        </w:rPr>
        <w:t>名称（盖单位公章</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pacing w:val="-52"/>
          <w:sz w:val="24"/>
          <w:szCs w:val="24"/>
          <w14:textFill>
            <w14:solidFill>
              <w14:schemeClr w14:val="tx1"/>
            </w14:solidFill>
          </w14:textFill>
        </w:rPr>
        <w:t xml:space="preserve"> </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z w:val="24"/>
          <w:szCs w:val="24"/>
          <w:u w:val="single" w:color="auto"/>
          <w14:textFill>
            <w14:solidFill>
              <w14:schemeClr w14:val="tx1"/>
            </w14:solidFill>
          </w14:textFill>
        </w:rPr>
        <w:t xml:space="preserve">            </w:t>
      </w:r>
    </w:p>
    <w:p w14:paraId="5D3FB4C5">
      <w:pPr>
        <w:pStyle w:val="11"/>
        <w:spacing w:before="176" w:line="224" w:lineRule="auto"/>
        <w:ind w:left="470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20"/>
          <w:sz w:val="24"/>
          <w:szCs w:val="24"/>
          <w14:textFill>
            <w14:solidFill>
              <w14:schemeClr w14:val="tx1"/>
            </w14:solidFill>
          </w14:textFill>
        </w:rPr>
        <w:t>日</w:t>
      </w:r>
      <w:r>
        <w:rPr>
          <w:rFonts w:hint="eastAsia" w:ascii="宋体" w:hAnsi="宋体" w:eastAsia="宋体" w:cs="宋体"/>
          <w:color w:val="000000" w:themeColor="text1"/>
          <w:spacing w:val="14"/>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期：</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6"/>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年</w:t>
      </w:r>
      <w:r>
        <w:rPr>
          <w:rFonts w:hint="eastAsia" w:ascii="宋体" w:hAnsi="宋体" w:eastAsia="宋体" w:cs="宋体"/>
          <w:color w:val="000000" w:themeColor="text1"/>
          <w:spacing w:val="-118"/>
          <w:sz w:val="24"/>
          <w:szCs w:val="24"/>
          <w14:textFill>
            <w14:solidFill>
              <w14:schemeClr w14:val="tx1"/>
            </w14:solidFill>
          </w14:textFill>
        </w:rPr>
        <w:t xml:space="preserve"> </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97"/>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月</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58"/>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日</w:t>
      </w:r>
    </w:p>
    <w:p w14:paraId="5FF2D38B">
      <w:pPr>
        <w:wordWrap w:val="0"/>
        <w:jc w:val="right"/>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6932F2F6">
      <w:pPr>
        <w:adjustRightInd w:val="0"/>
        <w:snapToGrid w:val="0"/>
        <w:spacing w:line="360" w:lineRule="auto"/>
        <w:jc w:val="center"/>
        <w:outlineLvl w:val="1"/>
        <w:rPr>
          <w:rFonts w:hint="eastAsia" w:ascii="宋体" w:hAnsi="宋体" w:eastAsia="宋体" w:cs="宋体"/>
          <w:b/>
          <w:color w:val="000000" w:themeColor="text1"/>
          <w:sz w:val="32"/>
          <w:szCs w:val="32"/>
          <w:highlight w:val="none"/>
          <w14:textFill>
            <w14:solidFill>
              <w14:schemeClr w14:val="tx1"/>
            </w14:solidFill>
          </w14:textFill>
        </w:rPr>
      </w:pPr>
      <w:bookmarkStart w:id="153" w:name="_Toc20818"/>
      <w:r>
        <w:rPr>
          <w:rFonts w:hint="eastAsia" w:ascii="宋体" w:hAnsi="宋体" w:eastAsia="宋体" w:cs="宋体"/>
          <w:b/>
          <w:bCs/>
          <w:color w:val="000000" w:themeColor="text1"/>
          <w:sz w:val="32"/>
          <w:szCs w:val="32"/>
          <w:highlight w:val="none"/>
          <w:lang w:val="en-US" w:eastAsia="zh-CN"/>
          <w14:textFill>
            <w14:solidFill>
              <w14:schemeClr w14:val="tx1"/>
            </w14:solidFill>
          </w14:textFill>
        </w:rPr>
        <w:t>七</w:t>
      </w:r>
      <w:r>
        <w:rPr>
          <w:rFonts w:hint="eastAsia" w:ascii="宋体" w:hAnsi="宋体" w:eastAsia="宋体" w:cs="宋体"/>
          <w:b/>
          <w:bCs/>
          <w:color w:val="000000" w:themeColor="text1"/>
          <w:sz w:val="32"/>
          <w:szCs w:val="32"/>
          <w:highlight w:val="none"/>
          <w14:textFill>
            <w14:solidFill>
              <w14:schemeClr w14:val="tx1"/>
            </w14:solidFill>
          </w14:textFill>
        </w:rPr>
        <w:t>、</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首次报价</w:t>
      </w:r>
      <w:r>
        <w:rPr>
          <w:rFonts w:hint="eastAsia" w:ascii="宋体" w:hAnsi="宋体" w:eastAsia="宋体" w:cs="宋体"/>
          <w:b/>
          <w:bCs/>
          <w:color w:val="000000" w:themeColor="text1"/>
          <w:sz w:val="32"/>
          <w:szCs w:val="32"/>
          <w:highlight w:val="none"/>
          <w14:textFill>
            <w14:solidFill>
              <w14:schemeClr w14:val="tx1"/>
            </w14:solidFill>
          </w14:textFill>
        </w:rPr>
        <w:t>表及</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分项价格表</w:t>
      </w:r>
      <w:bookmarkEnd w:id="151"/>
      <w:bookmarkEnd w:id="153"/>
    </w:p>
    <w:p w14:paraId="430756AA">
      <w:pPr>
        <w:rPr>
          <w:rFonts w:hint="eastAsia" w:ascii="宋体" w:hAnsi="宋体" w:eastAsia="宋体" w:cs="宋体"/>
          <w:color w:val="000000" w:themeColor="text1"/>
          <w:highlight w:val="none"/>
          <w:lang w:val="en-US" w:eastAsia="zh-CN"/>
          <w14:textFill>
            <w14:solidFill>
              <w14:schemeClr w14:val="tx1"/>
            </w14:solidFill>
          </w14:textFill>
        </w:rPr>
      </w:pPr>
    </w:p>
    <w:p w14:paraId="4719281D">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54" w:name="_Toc27178"/>
      <w:bookmarkStart w:id="155" w:name="_Toc7129"/>
      <w:r>
        <w:rPr>
          <w:rFonts w:hint="eastAsia" w:ascii="宋体" w:hAnsi="宋体" w:eastAsia="宋体" w:cs="宋体"/>
          <w:color w:val="000000" w:themeColor="text1"/>
          <w:sz w:val="28"/>
          <w:szCs w:val="28"/>
          <w:highlight w:val="none"/>
          <w:lang w:val="en-US" w:eastAsia="zh-CN"/>
          <w14:textFill>
            <w14:solidFill>
              <w14:schemeClr w14:val="tx1"/>
            </w14:solidFill>
          </w14:textFill>
        </w:rPr>
        <w:t>附件7-1 首次报价表</w:t>
      </w:r>
      <w:bookmarkEnd w:id="154"/>
      <w:bookmarkEnd w:id="155"/>
    </w:p>
    <w:p w14:paraId="458AA91D">
      <w:pPr>
        <w:spacing w:line="360"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首次报价</w:t>
      </w:r>
      <w:r>
        <w:rPr>
          <w:rFonts w:hint="eastAsia" w:ascii="宋体" w:hAnsi="宋体" w:eastAsia="宋体" w:cs="宋体"/>
          <w:b/>
          <w:bCs/>
          <w:color w:val="000000" w:themeColor="text1"/>
          <w:sz w:val="28"/>
          <w:szCs w:val="28"/>
          <w:highlight w:val="none"/>
          <w14:textFill>
            <w14:solidFill>
              <w14:schemeClr w14:val="tx1"/>
            </w14:solidFill>
          </w14:textFill>
        </w:rPr>
        <w:t>表</w:t>
      </w:r>
    </w:p>
    <w:tbl>
      <w:tblPr>
        <w:tblStyle w:val="25"/>
        <w:tblW w:w="9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1"/>
        <w:gridCol w:w="3043"/>
        <w:gridCol w:w="2354"/>
        <w:gridCol w:w="2315"/>
      </w:tblGrid>
      <w:tr w14:paraId="5295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vMerge w:val="restart"/>
            <w:tcBorders>
              <w:right w:val="single" w:color="auto" w:sz="6" w:space="0"/>
            </w:tcBorders>
            <w:noWrap w:val="0"/>
            <w:vAlign w:val="center"/>
          </w:tcPr>
          <w:p w14:paraId="0A8EE540">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项目名称</w:t>
            </w:r>
          </w:p>
        </w:tc>
        <w:tc>
          <w:tcPr>
            <w:tcW w:w="3043" w:type="dxa"/>
            <w:vMerge w:val="restart"/>
            <w:tcBorders>
              <w:left w:val="single" w:color="auto" w:sz="6" w:space="0"/>
              <w:right w:val="single" w:color="auto" w:sz="6" w:space="0"/>
            </w:tcBorders>
            <w:noWrap w:val="0"/>
            <w:vAlign w:val="center"/>
          </w:tcPr>
          <w:p w14:paraId="7169DDAF">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c>
          <w:tcPr>
            <w:tcW w:w="2354" w:type="dxa"/>
            <w:tcBorders>
              <w:left w:val="single" w:color="auto" w:sz="6" w:space="0"/>
              <w:bottom w:val="single" w:color="auto" w:sz="6" w:space="0"/>
              <w:right w:val="single" w:color="auto" w:sz="6" w:space="0"/>
            </w:tcBorders>
            <w:noWrap w:val="0"/>
            <w:vAlign w:val="center"/>
          </w:tcPr>
          <w:p w14:paraId="77F8AA68">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政府采购编号</w:t>
            </w:r>
          </w:p>
        </w:tc>
        <w:tc>
          <w:tcPr>
            <w:tcW w:w="2315" w:type="dxa"/>
            <w:tcBorders>
              <w:left w:val="single" w:color="auto" w:sz="6" w:space="0"/>
              <w:bottom w:val="single" w:color="auto" w:sz="6" w:space="0"/>
            </w:tcBorders>
            <w:noWrap w:val="0"/>
            <w:vAlign w:val="center"/>
          </w:tcPr>
          <w:p w14:paraId="69606581">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r>
      <w:tr w14:paraId="0C52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vMerge w:val="continue"/>
            <w:tcBorders>
              <w:right w:val="single" w:color="auto" w:sz="6" w:space="0"/>
            </w:tcBorders>
            <w:noWrap w:val="0"/>
            <w:vAlign w:val="center"/>
          </w:tcPr>
          <w:p w14:paraId="2F22730E">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3043" w:type="dxa"/>
            <w:vMerge w:val="continue"/>
            <w:tcBorders>
              <w:left w:val="single" w:color="auto" w:sz="6" w:space="0"/>
              <w:right w:val="single" w:color="auto" w:sz="6" w:space="0"/>
            </w:tcBorders>
            <w:noWrap w:val="0"/>
            <w:vAlign w:val="center"/>
          </w:tcPr>
          <w:p w14:paraId="13FE6994">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c>
          <w:tcPr>
            <w:tcW w:w="2354" w:type="dxa"/>
            <w:tcBorders>
              <w:top w:val="single" w:color="auto" w:sz="6" w:space="0"/>
              <w:left w:val="single" w:color="auto" w:sz="6" w:space="0"/>
              <w:bottom w:val="single" w:color="auto" w:sz="6" w:space="0"/>
              <w:right w:val="single" w:color="auto" w:sz="6" w:space="0"/>
            </w:tcBorders>
            <w:noWrap w:val="0"/>
            <w:vAlign w:val="center"/>
          </w:tcPr>
          <w:p w14:paraId="1C5DB1B4">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委托</w:t>
            </w:r>
            <w:r>
              <w:rPr>
                <w:rFonts w:hint="eastAsia" w:ascii="宋体" w:hAnsi="宋体" w:eastAsia="宋体" w:cs="宋体"/>
                <w:color w:val="auto"/>
                <w:sz w:val="24"/>
                <w:szCs w:val="24"/>
                <w:highlight w:val="none"/>
              </w:rPr>
              <w:t>代理编号</w:t>
            </w:r>
          </w:p>
        </w:tc>
        <w:tc>
          <w:tcPr>
            <w:tcW w:w="2315" w:type="dxa"/>
            <w:tcBorders>
              <w:top w:val="single" w:color="auto" w:sz="6" w:space="0"/>
              <w:left w:val="single" w:color="auto" w:sz="6" w:space="0"/>
              <w:bottom w:val="single" w:color="auto" w:sz="6" w:space="0"/>
            </w:tcBorders>
            <w:noWrap w:val="0"/>
            <w:vAlign w:val="center"/>
          </w:tcPr>
          <w:p w14:paraId="3DE59AC5">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r>
      <w:tr w14:paraId="6E39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vMerge w:val="continue"/>
            <w:tcBorders>
              <w:bottom w:val="single" w:color="auto" w:sz="6" w:space="0"/>
              <w:right w:val="single" w:color="auto" w:sz="6" w:space="0"/>
            </w:tcBorders>
            <w:noWrap w:val="0"/>
            <w:vAlign w:val="center"/>
          </w:tcPr>
          <w:p w14:paraId="2010F303">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3043" w:type="dxa"/>
            <w:vMerge w:val="continue"/>
            <w:tcBorders>
              <w:left w:val="single" w:color="auto" w:sz="6" w:space="0"/>
              <w:bottom w:val="single" w:color="auto" w:sz="6" w:space="0"/>
              <w:right w:val="single" w:color="auto" w:sz="6" w:space="0"/>
            </w:tcBorders>
            <w:noWrap w:val="0"/>
            <w:vAlign w:val="center"/>
          </w:tcPr>
          <w:p w14:paraId="7F5B96BE">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c>
          <w:tcPr>
            <w:tcW w:w="2354" w:type="dxa"/>
            <w:tcBorders>
              <w:top w:val="single" w:color="auto" w:sz="6" w:space="0"/>
              <w:left w:val="single" w:color="auto" w:sz="6" w:space="0"/>
              <w:bottom w:val="single" w:color="auto" w:sz="6" w:space="0"/>
              <w:right w:val="single" w:color="auto" w:sz="6" w:space="0"/>
            </w:tcBorders>
            <w:noWrap w:val="0"/>
            <w:vAlign w:val="center"/>
          </w:tcPr>
          <w:p w14:paraId="16A84A44">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包号</w:t>
            </w:r>
          </w:p>
        </w:tc>
        <w:tc>
          <w:tcPr>
            <w:tcW w:w="2315" w:type="dxa"/>
            <w:tcBorders>
              <w:top w:val="single" w:color="auto" w:sz="6" w:space="0"/>
              <w:left w:val="single" w:color="auto" w:sz="6" w:space="0"/>
              <w:bottom w:val="single" w:color="auto" w:sz="6" w:space="0"/>
            </w:tcBorders>
            <w:noWrap w:val="0"/>
            <w:vAlign w:val="center"/>
          </w:tcPr>
          <w:p w14:paraId="513C3D95">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r>
      <w:tr w14:paraId="7B67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991" w:type="dxa"/>
            <w:tcBorders>
              <w:top w:val="single" w:color="auto" w:sz="6" w:space="0"/>
              <w:right w:val="single" w:color="auto" w:sz="6" w:space="0"/>
            </w:tcBorders>
            <w:noWrap w:val="0"/>
            <w:vAlign w:val="center"/>
          </w:tcPr>
          <w:p w14:paraId="7ACD1A4B">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总报价</w:t>
            </w:r>
          </w:p>
          <w:p w14:paraId="57C92008">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元人民币</w:t>
            </w:r>
            <w:r>
              <w:rPr>
                <w:rFonts w:hint="eastAsia" w:ascii="宋体" w:hAnsi="宋体" w:eastAsia="宋体" w:cs="宋体"/>
                <w:color w:val="auto"/>
                <w:sz w:val="24"/>
                <w:szCs w:val="24"/>
                <w:highlight w:val="none"/>
                <w:lang w:eastAsia="zh-CN"/>
              </w:rPr>
              <w:t>）</w:t>
            </w:r>
          </w:p>
        </w:tc>
        <w:tc>
          <w:tcPr>
            <w:tcW w:w="7712" w:type="dxa"/>
            <w:gridSpan w:val="3"/>
            <w:tcBorders>
              <w:top w:val="single" w:color="auto" w:sz="6" w:space="0"/>
              <w:left w:val="single" w:color="auto" w:sz="6" w:space="0"/>
              <w:bottom w:val="single" w:color="auto" w:sz="6" w:space="0"/>
            </w:tcBorders>
            <w:noWrap w:val="0"/>
            <w:vAlign w:val="center"/>
          </w:tcPr>
          <w:p w14:paraId="220528D6">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right="0" w:rightChars="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0A5BC17">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right="0" w:rightChars="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tc>
      </w:tr>
      <w:tr w14:paraId="1CD9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tcBorders>
              <w:top w:val="single" w:color="auto" w:sz="6" w:space="0"/>
              <w:right w:val="single" w:color="auto" w:sz="6" w:space="0"/>
            </w:tcBorders>
            <w:noWrap w:val="0"/>
            <w:vAlign w:val="center"/>
          </w:tcPr>
          <w:p w14:paraId="131D1282">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  注</w:t>
            </w:r>
          </w:p>
        </w:tc>
        <w:tc>
          <w:tcPr>
            <w:tcW w:w="7712" w:type="dxa"/>
            <w:gridSpan w:val="3"/>
            <w:tcBorders>
              <w:top w:val="single" w:color="auto" w:sz="6" w:space="0"/>
              <w:left w:val="single" w:color="auto" w:sz="6" w:space="0"/>
            </w:tcBorders>
            <w:noWrap w:val="0"/>
            <w:vAlign w:val="center"/>
          </w:tcPr>
          <w:p w14:paraId="62511F80">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right="0" w:rightChars="0" w:firstLine="240" w:firstLineChars="100"/>
              <w:textAlignment w:val="auto"/>
              <w:rPr>
                <w:rFonts w:hint="eastAsia" w:ascii="宋体" w:hAnsi="宋体" w:eastAsia="宋体" w:cs="宋体"/>
                <w:color w:val="auto"/>
                <w:sz w:val="24"/>
                <w:szCs w:val="24"/>
                <w:highlight w:val="none"/>
              </w:rPr>
            </w:pPr>
          </w:p>
        </w:tc>
      </w:tr>
    </w:tbl>
    <w:p w14:paraId="7562CD49">
      <w:pPr>
        <w:adjustRightInd w:val="0"/>
        <w:snapToGrid w:val="0"/>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说明：本项目为固定总价报价，包一：42万；</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包二：44万。所投包号</w:t>
      </w:r>
      <w:r>
        <w:rPr>
          <w:rFonts w:hint="eastAsia" w:ascii="宋体" w:hAnsi="宋体" w:eastAsia="宋体" w:cs="宋体"/>
          <w:color w:val="000000" w:themeColor="text1"/>
          <w:sz w:val="24"/>
          <w:szCs w:val="24"/>
          <w:highlight w:val="none"/>
          <w14:textFill>
            <w14:solidFill>
              <w14:schemeClr w14:val="tx1"/>
            </w14:solidFill>
          </w14:textFill>
        </w:rPr>
        <w:t>响应文件只有一个报价，无选择性报价。供应商对本项目的投标报价最高不得超过</w:t>
      </w:r>
      <w:r>
        <w:rPr>
          <w:rFonts w:hint="eastAsia" w:ascii="宋体" w:hAnsi="宋体" w:eastAsia="宋体" w:cs="宋体"/>
          <w:color w:val="000000" w:themeColor="text1"/>
          <w:sz w:val="24"/>
          <w:szCs w:val="24"/>
          <w:highlight w:val="none"/>
          <w:lang w:val="en-US" w:eastAsia="zh-CN"/>
          <w14:textFill>
            <w14:solidFill>
              <w14:schemeClr w14:val="tx1"/>
            </w14:solidFill>
          </w14:textFill>
        </w:rPr>
        <w:t>也不得低于包一：42万；</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包二：44万</w:t>
      </w:r>
      <w:r>
        <w:rPr>
          <w:rFonts w:hint="eastAsia" w:ascii="宋体" w:hAnsi="宋体" w:eastAsia="宋体" w:cs="宋体"/>
          <w:color w:val="000000" w:themeColor="text1"/>
          <w:sz w:val="24"/>
          <w:szCs w:val="24"/>
          <w:highlight w:val="none"/>
          <w14:textFill>
            <w14:solidFill>
              <w14:schemeClr w14:val="tx1"/>
            </w14:solidFill>
          </w14:textFill>
        </w:rPr>
        <w:t>，否则其投标将被视为无效投标而被拒绝。</w:t>
      </w:r>
    </w:p>
    <w:p w14:paraId="44A36DC9">
      <w:pPr>
        <w:adjustRightInd w:val="0"/>
        <w:snapToGrid w:val="0"/>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4B750894">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B01E0C">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B61506A">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15D355C5">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015A0964">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56" w:name="_Toc22098"/>
      <w:r>
        <w:rPr>
          <w:rFonts w:hint="eastAsia" w:ascii="宋体" w:hAnsi="宋体" w:eastAsia="宋体" w:cs="宋体"/>
          <w:color w:val="000000" w:themeColor="text1"/>
          <w:sz w:val="28"/>
          <w:szCs w:val="28"/>
          <w:highlight w:val="none"/>
          <w:lang w:val="en-US" w:eastAsia="zh-CN"/>
          <w14:textFill>
            <w14:solidFill>
              <w14:schemeClr w14:val="tx1"/>
            </w14:solidFill>
          </w14:textFill>
        </w:rPr>
        <w:t>附件7-2 分项价格表</w:t>
      </w:r>
      <w:bookmarkEnd w:id="156"/>
    </w:p>
    <w:p w14:paraId="1C361ACA">
      <w:pPr>
        <w:keepNext w:val="0"/>
        <w:keepLines w:val="0"/>
        <w:pageBreakBefore w:val="0"/>
        <w:widowControl w:val="0"/>
        <w:kinsoku/>
        <w:wordWrap/>
        <w:overflowPunct/>
        <w:topLinePunct w:val="0"/>
        <w:autoSpaceDE/>
        <w:autoSpaceDN/>
        <w:bidi w:val="0"/>
        <w:adjustRightInd/>
        <w:snapToGrid/>
        <w:spacing w:before="157" w:beforeLines="50"/>
        <w:jc w:val="center"/>
        <w:textAlignment w:val="auto"/>
        <w:outlineLvl w:val="9"/>
        <w:rPr>
          <w:rFonts w:hint="eastAsia" w:ascii="宋体" w:hAnsi="宋体" w:eastAsia="宋体" w:cs="宋体"/>
          <w:b w:val="0"/>
          <w:bCs w:val="0"/>
          <w:color w:val="auto"/>
          <w:sz w:val="21"/>
          <w:szCs w:val="21"/>
          <w:highlight w:val="none"/>
          <w:lang w:val="en-US" w:eastAsia="zh-CN"/>
        </w:rPr>
      </w:pPr>
      <w:bookmarkStart w:id="157" w:name="_Toc21172"/>
      <w:r>
        <w:rPr>
          <w:rFonts w:hint="eastAsia" w:ascii="宋体" w:hAnsi="宋体" w:eastAsia="宋体" w:cs="宋体"/>
          <w:b w:val="0"/>
          <w:bCs w:val="0"/>
          <w:color w:val="auto"/>
          <w:sz w:val="21"/>
          <w:szCs w:val="21"/>
          <w:highlight w:val="none"/>
          <w:lang w:val="en-US" w:eastAsia="zh-CN"/>
        </w:rPr>
        <w:t>（格式仅供参考，供应商可自行制作格式）</w:t>
      </w:r>
      <w:bookmarkEnd w:id="157"/>
    </w:p>
    <w:p w14:paraId="683E93ED">
      <w:pPr>
        <w:keepNext w:val="0"/>
        <w:keepLines w:val="0"/>
        <w:pageBreakBefore w:val="0"/>
        <w:widowControl w:val="0"/>
        <w:kinsoku/>
        <w:wordWrap/>
        <w:overflowPunct/>
        <w:topLinePunct w:val="0"/>
        <w:autoSpaceDE/>
        <w:autoSpaceDN/>
        <w:bidi w:val="0"/>
        <w:adjustRightInd/>
        <w:snapToGrid/>
        <w:spacing w:before="157" w:beforeLines="50"/>
        <w:jc w:val="center"/>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包1适用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1652"/>
        <w:gridCol w:w="1561"/>
        <w:gridCol w:w="1679"/>
        <w:gridCol w:w="1014"/>
        <w:gridCol w:w="1186"/>
        <w:gridCol w:w="1901"/>
      </w:tblGrid>
      <w:tr w14:paraId="4539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1" w:type="dxa"/>
            <w:noWrap w:val="0"/>
            <w:vAlign w:val="top"/>
          </w:tcPr>
          <w:p w14:paraId="7F51258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58" w:name="_Toc7736"/>
            <w:r>
              <w:rPr>
                <w:rFonts w:hint="eastAsia" w:ascii="宋体" w:hAnsi="宋体" w:eastAsia="宋体" w:cs="宋体"/>
                <w:b w:val="0"/>
                <w:bCs w:val="0"/>
                <w:color w:val="auto"/>
                <w:sz w:val="21"/>
                <w:szCs w:val="21"/>
                <w:highlight w:val="none"/>
                <w:vertAlign w:val="baseline"/>
                <w:lang w:val="en-US" w:eastAsia="zh-CN"/>
              </w:rPr>
              <w:t>序号</w:t>
            </w:r>
            <w:bookmarkEnd w:id="158"/>
          </w:p>
        </w:tc>
        <w:tc>
          <w:tcPr>
            <w:tcW w:w="1652" w:type="dxa"/>
            <w:noWrap w:val="0"/>
            <w:vAlign w:val="center"/>
          </w:tcPr>
          <w:p w14:paraId="54A0EC9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59" w:name="_Toc19410"/>
            <w:r>
              <w:rPr>
                <w:rFonts w:hint="eastAsia" w:ascii="宋体" w:hAnsi="宋体" w:eastAsia="宋体" w:cs="宋体"/>
                <w:b w:val="0"/>
                <w:bCs w:val="0"/>
                <w:color w:val="auto"/>
                <w:sz w:val="21"/>
                <w:szCs w:val="21"/>
                <w:highlight w:val="none"/>
                <w:vertAlign w:val="baseline"/>
                <w:lang w:val="en-US" w:eastAsia="zh-CN"/>
              </w:rPr>
              <w:t>品目代码</w:t>
            </w:r>
            <w:bookmarkEnd w:id="159"/>
          </w:p>
        </w:tc>
        <w:tc>
          <w:tcPr>
            <w:tcW w:w="1561" w:type="dxa"/>
            <w:noWrap w:val="0"/>
            <w:vAlign w:val="center"/>
          </w:tcPr>
          <w:p w14:paraId="2EBA3D1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0" w:name="_Toc4867"/>
            <w:r>
              <w:rPr>
                <w:rFonts w:hint="eastAsia" w:ascii="宋体" w:hAnsi="宋体" w:eastAsia="宋体" w:cs="宋体"/>
                <w:b w:val="0"/>
                <w:bCs w:val="0"/>
                <w:color w:val="auto"/>
                <w:sz w:val="21"/>
                <w:szCs w:val="21"/>
                <w:highlight w:val="none"/>
                <w:vertAlign w:val="baseline"/>
                <w:lang w:val="en-US" w:eastAsia="zh-CN"/>
              </w:rPr>
              <w:t>服务名称</w:t>
            </w:r>
            <w:bookmarkEnd w:id="160"/>
          </w:p>
          <w:p w14:paraId="7C1E813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1" w:name="_Toc3104"/>
            <w:r>
              <w:rPr>
                <w:rFonts w:hint="eastAsia" w:ascii="宋体" w:hAnsi="宋体" w:eastAsia="宋体" w:cs="宋体"/>
                <w:b w:val="0"/>
                <w:bCs w:val="0"/>
                <w:color w:val="auto"/>
                <w:sz w:val="21"/>
                <w:szCs w:val="21"/>
                <w:highlight w:val="none"/>
                <w:vertAlign w:val="baseline"/>
                <w:lang w:val="en-US" w:eastAsia="zh-CN"/>
              </w:rPr>
              <w:t>（标的名称）</w:t>
            </w:r>
            <w:bookmarkEnd w:id="161"/>
          </w:p>
        </w:tc>
        <w:tc>
          <w:tcPr>
            <w:tcW w:w="1679" w:type="dxa"/>
            <w:noWrap w:val="0"/>
            <w:vAlign w:val="center"/>
          </w:tcPr>
          <w:p w14:paraId="742EC3B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2" w:name="_Toc14505"/>
            <w:r>
              <w:rPr>
                <w:rFonts w:hint="eastAsia" w:ascii="宋体" w:hAnsi="宋体" w:eastAsia="宋体" w:cs="宋体"/>
                <w:b w:val="0"/>
                <w:bCs w:val="0"/>
                <w:color w:val="auto"/>
                <w:sz w:val="21"/>
                <w:szCs w:val="21"/>
                <w:highlight w:val="none"/>
                <w:vertAlign w:val="baseline"/>
                <w:lang w:val="en-US" w:eastAsia="zh-CN"/>
              </w:rPr>
              <w:t>服务内容</w:t>
            </w:r>
            <w:bookmarkEnd w:id="162"/>
          </w:p>
        </w:tc>
        <w:tc>
          <w:tcPr>
            <w:tcW w:w="1014" w:type="dxa"/>
            <w:noWrap w:val="0"/>
            <w:vAlign w:val="center"/>
          </w:tcPr>
          <w:p w14:paraId="07390E2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人数</w:t>
            </w:r>
          </w:p>
        </w:tc>
        <w:tc>
          <w:tcPr>
            <w:tcW w:w="1186" w:type="dxa"/>
            <w:noWrap w:val="0"/>
            <w:vAlign w:val="center"/>
          </w:tcPr>
          <w:p w14:paraId="52FDC03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3" w:name="_Toc18544"/>
            <w:r>
              <w:rPr>
                <w:rFonts w:hint="eastAsia" w:ascii="宋体" w:hAnsi="宋体" w:eastAsia="宋体" w:cs="宋体"/>
                <w:b w:val="0"/>
                <w:bCs w:val="0"/>
                <w:color w:val="auto"/>
                <w:sz w:val="21"/>
                <w:szCs w:val="21"/>
                <w:highlight w:val="none"/>
                <w:vertAlign w:val="baseline"/>
                <w:lang w:val="en-US" w:eastAsia="zh-CN"/>
              </w:rPr>
              <w:t>单价</w:t>
            </w:r>
            <w:bookmarkEnd w:id="163"/>
          </w:p>
        </w:tc>
        <w:tc>
          <w:tcPr>
            <w:tcW w:w="1901" w:type="dxa"/>
            <w:noWrap w:val="0"/>
            <w:vAlign w:val="center"/>
          </w:tcPr>
          <w:p w14:paraId="43A9A3F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4" w:name="_Toc2695"/>
            <w:r>
              <w:rPr>
                <w:rFonts w:hint="eastAsia" w:ascii="宋体" w:hAnsi="宋体" w:eastAsia="宋体" w:cs="宋体"/>
                <w:b w:val="0"/>
                <w:bCs w:val="0"/>
                <w:color w:val="auto"/>
                <w:sz w:val="21"/>
                <w:szCs w:val="21"/>
                <w:highlight w:val="none"/>
                <w:vertAlign w:val="baseline"/>
                <w:lang w:val="en-US" w:eastAsia="zh-CN"/>
              </w:rPr>
              <w:t>小计金额（元）</w:t>
            </w:r>
            <w:bookmarkEnd w:id="164"/>
          </w:p>
        </w:tc>
      </w:tr>
      <w:tr w14:paraId="0661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dxa"/>
            <w:noWrap w:val="0"/>
            <w:vAlign w:val="top"/>
          </w:tcPr>
          <w:p w14:paraId="7E9E174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5" w:name="_Toc19883"/>
            <w:r>
              <w:rPr>
                <w:rFonts w:hint="eastAsia" w:ascii="宋体" w:hAnsi="宋体" w:eastAsia="宋体" w:cs="宋体"/>
                <w:b w:val="0"/>
                <w:bCs w:val="0"/>
                <w:color w:val="auto"/>
                <w:sz w:val="21"/>
                <w:szCs w:val="21"/>
                <w:highlight w:val="none"/>
                <w:vertAlign w:val="baseline"/>
                <w:lang w:val="en-US" w:eastAsia="zh-CN"/>
              </w:rPr>
              <w:t>1</w:t>
            </w:r>
            <w:bookmarkEnd w:id="165"/>
          </w:p>
        </w:tc>
        <w:tc>
          <w:tcPr>
            <w:tcW w:w="1652" w:type="dxa"/>
            <w:noWrap w:val="0"/>
            <w:vAlign w:val="top"/>
          </w:tcPr>
          <w:p w14:paraId="4F93B18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bookmarkStart w:id="166" w:name="_Toc27449"/>
            <w:r>
              <w:rPr>
                <w:rFonts w:hint="eastAsia" w:ascii="宋体" w:hAnsi="宋体" w:eastAsia="宋体" w:cs="宋体"/>
                <w:b w:val="0"/>
                <w:bCs w:val="0"/>
                <w:color w:val="auto"/>
                <w:sz w:val="21"/>
                <w:szCs w:val="21"/>
                <w:highlight w:val="none"/>
                <w:vertAlign w:val="baseline"/>
                <w:lang w:val="en-US" w:eastAsia="zh-CN"/>
              </w:rPr>
              <w:t>C02060000培训服务</w:t>
            </w:r>
            <w:bookmarkEnd w:id="166"/>
          </w:p>
        </w:tc>
        <w:tc>
          <w:tcPr>
            <w:tcW w:w="1561" w:type="dxa"/>
            <w:vMerge w:val="restart"/>
            <w:noWrap w:val="0"/>
            <w:vAlign w:val="top"/>
          </w:tcPr>
          <w:p w14:paraId="530D8CD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粮油产能提升培训班</w:t>
            </w:r>
            <w:r>
              <w:rPr>
                <w:rFonts w:hint="eastAsia" w:ascii="宋体" w:hAnsi="宋体" w:eastAsia="宋体" w:cs="宋体"/>
                <w:color w:val="000000" w:themeColor="text1"/>
                <w:sz w:val="24"/>
                <w:lang w:val="en-US" w:eastAsia="zh-CN"/>
                <w14:textFill>
                  <w14:solidFill>
                    <w14:schemeClr w14:val="tx1"/>
                  </w14:solidFill>
                </w14:textFill>
              </w:rPr>
              <w:t>和</w:t>
            </w:r>
          </w:p>
          <w:p w14:paraId="4A2AB88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乡村产业带头人培训班</w:t>
            </w:r>
          </w:p>
        </w:tc>
        <w:tc>
          <w:tcPr>
            <w:tcW w:w="1679" w:type="dxa"/>
            <w:noWrap w:val="0"/>
            <w:vAlign w:val="top"/>
          </w:tcPr>
          <w:p w14:paraId="46AD56C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000000" w:themeColor="text1"/>
                <w:sz w:val="24"/>
                <w14:textFill>
                  <w14:solidFill>
                    <w14:schemeClr w14:val="tx1"/>
                  </w14:solidFill>
                </w14:textFill>
              </w:rPr>
              <w:t>粮油产能提升培训班</w:t>
            </w:r>
          </w:p>
        </w:tc>
        <w:tc>
          <w:tcPr>
            <w:tcW w:w="1014" w:type="dxa"/>
            <w:noWrap w:val="0"/>
            <w:vAlign w:val="top"/>
          </w:tcPr>
          <w:p w14:paraId="73F16DE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186" w:type="dxa"/>
            <w:noWrap w:val="0"/>
            <w:vAlign w:val="top"/>
          </w:tcPr>
          <w:p w14:paraId="2A460F1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01" w:type="dxa"/>
            <w:noWrap w:val="0"/>
            <w:vAlign w:val="top"/>
          </w:tcPr>
          <w:p w14:paraId="6250849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2562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dxa"/>
            <w:noWrap w:val="0"/>
            <w:vAlign w:val="top"/>
          </w:tcPr>
          <w:p w14:paraId="6A0490C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7" w:name="_Toc5135"/>
            <w:r>
              <w:rPr>
                <w:rFonts w:hint="eastAsia" w:ascii="宋体" w:hAnsi="宋体" w:eastAsia="宋体" w:cs="宋体"/>
                <w:b w:val="0"/>
                <w:bCs w:val="0"/>
                <w:color w:val="auto"/>
                <w:sz w:val="21"/>
                <w:szCs w:val="21"/>
                <w:highlight w:val="none"/>
                <w:vertAlign w:val="baseline"/>
                <w:lang w:val="en-US" w:eastAsia="zh-CN"/>
              </w:rPr>
              <w:t>2</w:t>
            </w:r>
          </w:p>
        </w:tc>
        <w:tc>
          <w:tcPr>
            <w:tcW w:w="1652" w:type="dxa"/>
            <w:noWrap w:val="0"/>
            <w:vAlign w:val="top"/>
          </w:tcPr>
          <w:p w14:paraId="48BD902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C02060000培训服务</w:t>
            </w:r>
          </w:p>
        </w:tc>
        <w:tc>
          <w:tcPr>
            <w:tcW w:w="1561" w:type="dxa"/>
            <w:vMerge w:val="continue"/>
            <w:noWrap w:val="0"/>
            <w:vAlign w:val="top"/>
          </w:tcPr>
          <w:p w14:paraId="0D88759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color w:val="000000" w:themeColor="text1"/>
                <w:sz w:val="24"/>
                <w14:textFill>
                  <w14:solidFill>
                    <w14:schemeClr w14:val="tx1"/>
                  </w14:solidFill>
                </w14:textFill>
              </w:rPr>
            </w:pPr>
          </w:p>
        </w:tc>
        <w:tc>
          <w:tcPr>
            <w:tcW w:w="1679" w:type="dxa"/>
            <w:noWrap w:val="0"/>
            <w:vAlign w:val="top"/>
          </w:tcPr>
          <w:p w14:paraId="4F820B6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乡村产业带头人培训班</w:t>
            </w:r>
          </w:p>
        </w:tc>
        <w:tc>
          <w:tcPr>
            <w:tcW w:w="1014" w:type="dxa"/>
            <w:noWrap w:val="0"/>
            <w:vAlign w:val="top"/>
          </w:tcPr>
          <w:p w14:paraId="71595E7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186" w:type="dxa"/>
            <w:noWrap w:val="0"/>
            <w:vAlign w:val="top"/>
          </w:tcPr>
          <w:p w14:paraId="7F1C347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01" w:type="dxa"/>
            <w:noWrap w:val="0"/>
            <w:vAlign w:val="top"/>
          </w:tcPr>
          <w:p w14:paraId="4284531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bookmarkEnd w:id="167"/>
      <w:tr w14:paraId="01B0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dxa"/>
            <w:noWrap w:val="0"/>
            <w:vAlign w:val="top"/>
          </w:tcPr>
          <w:p w14:paraId="70A8327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652" w:type="dxa"/>
            <w:noWrap w:val="0"/>
            <w:vAlign w:val="top"/>
          </w:tcPr>
          <w:p w14:paraId="794EB84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561" w:type="dxa"/>
            <w:noWrap w:val="0"/>
            <w:vAlign w:val="top"/>
          </w:tcPr>
          <w:p w14:paraId="03D9D5B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679" w:type="dxa"/>
            <w:noWrap w:val="0"/>
            <w:vAlign w:val="top"/>
          </w:tcPr>
          <w:p w14:paraId="620A99A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014" w:type="dxa"/>
            <w:noWrap w:val="0"/>
            <w:vAlign w:val="top"/>
          </w:tcPr>
          <w:p w14:paraId="6EE275C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186" w:type="dxa"/>
            <w:noWrap w:val="0"/>
            <w:vAlign w:val="top"/>
          </w:tcPr>
          <w:p w14:paraId="6644D40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01" w:type="dxa"/>
            <w:noWrap w:val="0"/>
            <w:vAlign w:val="top"/>
          </w:tcPr>
          <w:p w14:paraId="310EE64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13E70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3" w:type="dxa"/>
            <w:gridSpan w:val="6"/>
            <w:noWrap w:val="0"/>
            <w:vAlign w:val="top"/>
          </w:tcPr>
          <w:p w14:paraId="3A64CD2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8" w:name="_Toc16188"/>
            <w:r>
              <w:rPr>
                <w:rFonts w:hint="eastAsia" w:ascii="宋体" w:hAnsi="宋体" w:eastAsia="宋体" w:cs="宋体"/>
                <w:b w:val="0"/>
                <w:bCs w:val="0"/>
                <w:color w:val="auto"/>
                <w:sz w:val="21"/>
                <w:szCs w:val="21"/>
                <w:highlight w:val="none"/>
                <w:vertAlign w:val="baseline"/>
                <w:lang w:val="en-US" w:eastAsia="zh-CN"/>
              </w:rPr>
              <w:t>合计金额（元）</w:t>
            </w:r>
            <w:bookmarkEnd w:id="168"/>
          </w:p>
        </w:tc>
        <w:tc>
          <w:tcPr>
            <w:tcW w:w="1901" w:type="dxa"/>
            <w:noWrap w:val="0"/>
            <w:vAlign w:val="top"/>
          </w:tcPr>
          <w:p w14:paraId="31A7DB1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bl>
    <w:p w14:paraId="468E8CF2">
      <w:pPr>
        <w:keepNext w:val="0"/>
        <w:keepLines w:val="0"/>
        <w:pageBreakBefore w:val="0"/>
        <w:widowControl w:val="0"/>
        <w:kinsoku/>
        <w:wordWrap/>
        <w:overflowPunct/>
        <w:topLinePunct w:val="0"/>
        <w:autoSpaceDE/>
        <w:autoSpaceDN/>
        <w:bidi w:val="0"/>
        <w:adjustRightInd/>
        <w:snapToGrid/>
        <w:spacing w:before="157" w:beforeLines="50"/>
        <w:jc w:val="both"/>
        <w:textAlignment w:val="auto"/>
        <w:outlineLvl w:val="9"/>
        <w:rPr>
          <w:rFonts w:hint="default" w:ascii="宋体" w:hAnsi="宋体" w:eastAsia="宋体" w:cs="宋体"/>
          <w:b w:val="0"/>
          <w:bCs w:val="0"/>
          <w:color w:val="auto"/>
          <w:sz w:val="21"/>
          <w:szCs w:val="21"/>
          <w:highlight w:val="none"/>
          <w:lang w:val="en-US" w:eastAsia="zh-CN"/>
        </w:rPr>
      </w:pPr>
    </w:p>
    <w:p w14:paraId="296EC7EB">
      <w:pPr>
        <w:keepNext w:val="0"/>
        <w:keepLines w:val="0"/>
        <w:pageBreakBefore w:val="0"/>
        <w:widowControl w:val="0"/>
        <w:kinsoku/>
        <w:wordWrap/>
        <w:overflowPunct/>
        <w:topLinePunct w:val="0"/>
        <w:autoSpaceDE/>
        <w:autoSpaceDN/>
        <w:bidi w:val="0"/>
        <w:adjustRightInd/>
        <w:snapToGrid/>
        <w:spacing w:before="157" w:beforeLines="50"/>
        <w:jc w:val="center"/>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包2适用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653"/>
        <w:gridCol w:w="1561"/>
        <w:gridCol w:w="1678"/>
        <w:gridCol w:w="1014"/>
        <w:gridCol w:w="1186"/>
        <w:gridCol w:w="1902"/>
      </w:tblGrid>
      <w:tr w14:paraId="370D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dxa"/>
            <w:noWrap w:val="0"/>
            <w:vAlign w:val="top"/>
          </w:tcPr>
          <w:p w14:paraId="30E67F9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序号</w:t>
            </w:r>
          </w:p>
        </w:tc>
        <w:tc>
          <w:tcPr>
            <w:tcW w:w="1685" w:type="dxa"/>
            <w:noWrap w:val="0"/>
            <w:vAlign w:val="center"/>
          </w:tcPr>
          <w:p w14:paraId="6D87921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品目代码</w:t>
            </w:r>
          </w:p>
        </w:tc>
        <w:tc>
          <w:tcPr>
            <w:tcW w:w="1622" w:type="dxa"/>
            <w:noWrap w:val="0"/>
            <w:vAlign w:val="center"/>
          </w:tcPr>
          <w:p w14:paraId="55B1DC1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服务名称</w:t>
            </w:r>
          </w:p>
          <w:p w14:paraId="5EB68A8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（标的名称）</w:t>
            </w:r>
          </w:p>
        </w:tc>
        <w:tc>
          <w:tcPr>
            <w:tcW w:w="1760" w:type="dxa"/>
            <w:noWrap w:val="0"/>
            <w:vAlign w:val="center"/>
          </w:tcPr>
          <w:p w14:paraId="3F491CE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服务内容</w:t>
            </w:r>
          </w:p>
        </w:tc>
        <w:tc>
          <w:tcPr>
            <w:tcW w:w="1053" w:type="dxa"/>
            <w:noWrap w:val="0"/>
            <w:vAlign w:val="center"/>
          </w:tcPr>
          <w:p w14:paraId="29D66C3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人数</w:t>
            </w:r>
          </w:p>
        </w:tc>
        <w:tc>
          <w:tcPr>
            <w:tcW w:w="1236" w:type="dxa"/>
            <w:noWrap w:val="0"/>
            <w:vAlign w:val="center"/>
          </w:tcPr>
          <w:p w14:paraId="67DD82E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单价</w:t>
            </w:r>
          </w:p>
        </w:tc>
        <w:tc>
          <w:tcPr>
            <w:tcW w:w="1971" w:type="dxa"/>
            <w:noWrap w:val="0"/>
            <w:vAlign w:val="center"/>
          </w:tcPr>
          <w:p w14:paraId="385899D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小计金额（元）</w:t>
            </w:r>
          </w:p>
        </w:tc>
      </w:tr>
      <w:tr w14:paraId="71DD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dxa"/>
            <w:noWrap w:val="0"/>
            <w:vAlign w:val="top"/>
          </w:tcPr>
          <w:p w14:paraId="7E2257C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1685" w:type="dxa"/>
            <w:noWrap w:val="0"/>
            <w:vAlign w:val="top"/>
          </w:tcPr>
          <w:p w14:paraId="3E57A08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C02060000培训服务</w:t>
            </w:r>
          </w:p>
        </w:tc>
        <w:tc>
          <w:tcPr>
            <w:tcW w:w="1622" w:type="dxa"/>
            <w:vMerge w:val="restart"/>
            <w:noWrap w:val="0"/>
            <w:vAlign w:val="top"/>
          </w:tcPr>
          <w:p w14:paraId="2D7FF30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农机手技能提升培训班和农机手技能提升专题培训班</w:t>
            </w:r>
          </w:p>
        </w:tc>
        <w:tc>
          <w:tcPr>
            <w:tcW w:w="1760" w:type="dxa"/>
            <w:noWrap w:val="0"/>
            <w:vAlign w:val="top"/>
          </w:tcPr>
          <w:p w14:paraId="2EFC366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Times New Roman" w:hAnsi="Times New Roman" w:eastAsia="宋体" w:cs="Times New Roman"/>
                <w:lang w:val="en-US" w:eastAsia="zh-CN"/>
              </w:rPr>
            </w:pPr>
            <w:r>
              <w:rPr>
                <w:rFonts w:hint="eastAsia" w:ascii="宋体" w:hAnsi="宋体" w:eastAsia="宋体" w:cs="宋体"/>
                <w:b w:val="0"/>
                <w:bCs w:val="0"/>
                <w:color w:val="auto"/>
                <w:sz w:val="21"/>
                <w:szCs w:val="21"/>
                <w:highlight w:val="none"/>
                <w:vertAlign w:val="baseline"/>
                <w:lang w:val="en-US" w:eastAsia="zh-CN"/>
              </w:rPr>
              <w:t>农机手技能提升培训班</w:t>
            </w:r>
          </w:p>
        </w:tc>
        <w:tc>
          <w:tcPr>
            <w:tcW w:w="1053" w:type="dxa"/>
            <w:noWrap w:val="0"/>
            <w:vAlign w:val="top"/>
          </w:tcPr>
          <w:p w14:paraId="08F2180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236" w:type="dxa"/>
            <w:noWrap w:val="0"/>
            <w:vAlign w:val="top"/>
          </w:tcPr>
          <w:p w14:paraId="74B1635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71" w:type="dxa"/>
            <w:noWrap w:val="0"/>
            <w:vAlign w:val="top"/>
          </w:tcPr>
          <w:p w14:paraId="03BB0CA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742F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dxa"/>
            <w:noWrap w:val="0"/>
            <w:vAlign w:val="top"/>
          </w:tcPr>
          <w:p w14:paraId="0F005BD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1685" w:type="dxa"/>
            <w:noWrap w:val="0"/>
            <w:vAlign w:val="top"/>
          </w:tcPr>
          <w:p w14:paraId="1BF741E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C02060000培训服务</w:t>
            </w:r>
          </w:p>
        </w:tc>
        <w:tc>
          <w:tcPr>
            <w:tcW w:w="1622" w:type="dxa"/>
            <w:vMerge w:val="continue"/>
            <w:noWrap w:val="0"/>
            <w:vAlign w:val="top"/>
          </w:tcPr>
          <w:p w14:paraId="2E8292F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760" w:type="dxa"/>
            <w:noWrap w:val="0"/>
            <w:vAlign w:val="top"/>
          </w:tcPr>
          <w:p w14:paraId="3BF38E8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Times New Roman" w:hAnsi="Times New Roman" w:eastAsia="宋体" w:cs="Times New Roman"/>
                <w:lang w:val="en-US" w:eastAsia="zh-CN"/>
              </w:rPr>
            </w:pPr>
            <w:r>
              <w:rPr>
                <w:rFonts w:hint="eastAsia" w:ascii="宋体" w:hAnsi="宋体" w:eastAsia="宋体" w:cs="宋体"/>
                <w:b w:val="0"/>
                <w:bCs w:val="0"/>
                <w:color w:val="auto"/>
                <w:sz w:val="21"/>
                <w:szCs w:val="21"/>
                <w:highlight w:val="none"/>
                <w:vertAlign w:val="baseline"/>
                <w:lang w:val="en-US" w:eastAsia="zh-CN"/>
              </w:rPr>
              <w:t>农机手技能提升专题培训班</w:t>
            </w:r>
          </w:p>
        </w:tc>
        <w:tc>
          <w:tcPr>
            <w:tcW w:w="1053" w:type="dxa"/>
            <w:noWrap w:val="0"/>
            <w:vAlign w:val="top"/>
          </w:tcPr>
          <w:p w14:paraId="727C0BD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236" w:type="dxa"/>
            <w:noWrap w:val="0"/>
            <w:vAlign w:val="top"/>
          </w:tcPr>
          <w:p w14:paraId="3B223FB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71" w:type="dxa"/>
            <w:noWrap w:val="0"/>
            <w:vAlign w:val="top"/>
          </w:tcPr>
          <w:p w14:paraId="0F87829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0342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3" w:type="dxa"/>
            <w:gridSpan w:val="6"/>
            <w:noWrap w:val="0"/>
            <w:vAlign w:val="top"/>
          </w:tcPr>
          <w:p w14:paraId="4D0D5AA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合计金额（元）</w:t>
            </w:r>
          </w:p>
        </w:tc>
        <w:tc>
          <w:tcPr>
            <w:tcW w:w="1971" w:type="dxa"/>
            <w:noWrap w:val="0"/>
            <w:vAlign w:val="top"/>
          </w:tcPr>
          <w:p w14:paraId="1E836EA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bl>
    <w:p w14:paraId="1CD5D08C">
      <w:pPr>
        <w:keepNext w:val="0"/>
        <w:keepLines w:val="0"/>
        <w:pageBreakBefore w:val="0"/>
        <w:widowControl w:val="0"/>
        <w:kinsoku/>
        <w:wordWrap/>
        <w:overflowPunct/>
        <w:topLinePunct w:val="0"/>
        <w:autoSpaceDE/>
        <w:autoSpaceDN/>
        <w:bidi w:val="0"/>
        <w:adjustRightInd/>
        <w:snapToGrid/>
        <w:spacing w:before="157" w:beforeLines="50"/>
        <w:jc w:val="both"/>
        <w:textAlignment w:val="auto"/>
        <w:outlineLvl w:val="9"/>
        <w:rPr>
          <w:rFonts w:hint="default" w:ascii="宋体" w:hAnsi="宋体" w:eastAsia="宋体" w:cs="宋体"/>
          <w:b w:val="0"/>
          <w:bCs w:val="0"/>
          <w:color w:val="auto"/>
          <w:sz w:val="21"/>
          <w:szCs w:val="21"/>
          <w:highlight w:val="none"/>
          <w:lang w:val="en-US" w:eastAsia="zh-CN"/>
        </w:rPr>
      </w:pPr>
    </w:p>
    <w:p w14:paraId="1DC703B9">
      <w:pPr>
        <w:bidi w:val="0"/>
        <w:outlineLvl w:val="9"/>
        <w:rPr>
          <w:rFonts w:hint="eastAsia" w:ascii="Times New Roman" w:hAnsi="Times New Roman" w:eastAsia="宋体" w:cs="Times New Roman"/>
          <w:color w:val="auto"/>
        </w:rPr>
      </w:pPr>
    </w:p>
    <w:p w14:paraId="76F7276F">
      <w:pPr>
        <w:keepNext w:val="0"/>
        <w:keepLines w:val="0"/>
        <w:pageBreakBefore w:val="0"/>
        <w:widowControl w:val="0"/>
        <w:kinsoku/>
        <w:wordWrap/>
        <w:overflowPunct/>
        <w:topLinePunct w:val="0"/>
        <w:autoSpaceDE/>
        <w:autoSpaceDN/>
        <w:bidi w:val="0"/>
        <w:adjustRightInd/>
        <w:snapToGrid/>
        <w:spacing w:before="157" w:beforeLines="50"/>
        <w:jc w:val="both"/>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备注：只需提供所投包适用的表格。</w:t>
      </w:r>
    </w:p>
    <w:p w14:paraId="107A529F">
      <w:pPr>
        <w:bidi w:val="0"/>
        <w:outlineLvl w:val="9"/>
        <w:rPr>
          <w:rFonts w:hint="eastAsia" w:ascii="Times New Roman" w:hAnsi="Times New Roman" w:eastAsia="宋体" w:cs="Times New Roman"/>
          <w:color w:val="auto"/>
        </w:rPr>
      </w:pPr>
    </w:p>
    <w:p w14:paraId="2EA249D2">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66DCD8C">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83AC0C7">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4EF3DD80">
      <w:pPr>
        <w:spacing w:line="360" w:lineRule="auto"/>
        <w:ind w:firstLine="480" w:firstLineChars="200"/>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0C88E62D">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10A9C0C6">
      <w:pPr>
        <w:adjustRightInd w:val="0"/>
        <w:snapToGrid w:val="0"/>
        <w:spacing w:line="360" w:lineRule="auto"/>
        <w:jc w:val="center"/>
        <w:outlineLvl w:val="1"/>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bookmarkStart w:id="169" w:name="_Toc23020"/>
      <w:bookmarkStart w:id="170" w:name="_Toc22073"/>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八、供应商包号选择书面确认函</w:t>
      </w:r>
      <w:bookmarkEnd w:id="169"/>
    </w:p>
    <w:p w14:paraId="6D14467E">
      <w:pPr>
        <w:keepNext w:val="0"/>
        <w:keepLines w:val="0"/>
        <w:pageBreakBefore w:val="0"/>
        <w:widowControl w:val="0"/>
        <w:kinsoku/>
        <w:wordWrap/>
        <w:overflowPunct/>
        <w:topLinePunct w:val="0"/>
        <w:autoSpaceDE/>
        <w:autoSpaceDN/>
        <w:bidi w:val="0"/>
        <w:adjustRightInd/>
        <w:snapToGrid/>
        <w:spacing w:before="120" w:after="120" w:line="360" w:lineRule="auto"/>
        <w:ind w:left="0" w:firstLine="562" w:firstLineChars="200"/>
        <w:jc w:val="left"/>
        <w:textAlignment w:val="auto"/>
        <w:rPr>
          <w:rFonts w:hint="eastAsia" w:ascii="宋体" w:hAnsi="宋体" w:eastAsia="宋体" w:cs="宋体"/>
          <w:kern w:val="0"/>
          <w:sz w:val="28"/>
          <w:szCs w:val="28"/>
          <w:lang w:eastAsia="zh-CN"/>
        </w:rPr>
      </w:pPr>
      <w:r>
        <w:rPr>
          <w:rFonts w:hint="eastAsia" w:ascii="宋体" w:hAnsi="宋体" w:eastAsia="宋体" w:cs="宋体"/>
          <w:b/>
          <w:kern w:val="0"/>
          <w:sz w:val="28"/>
          <w:szCs w:val="28"/>
        </w:rPr>
        <w:t>致：</w:t>
      </w:r>
      <w:r>
        <w:rPr>
          <w:rFonts w:hint="eastAsia" w:ascii="宋体" w:hAnsi="宋体" w:eastAsia="宋体" w:cs="宋体"/>
          <w:b/>
          <w:kern w:val="0"/>
          <w:sz w:val="28"/>
          <w:szCs w:val="28"/>
          <w:u w:val="single"/>
          <w:lang w:val="en-US" w:eastAsia="zh-CN"/>
        </w:rPr>
        <w:t xml:space="preserve">      </w:t>
      </w:r>
      <w:r>
        <w:rPr>
          <w:rFonts w:hint="eastAsia" w:ascii="宋体" w:hAnsi="宋体" w:eastAsia="宋体" w:cs="宋体"/>
          <w:b/>
          <w:kern w:val="0"/>
          <w:sz w:val="28"/>
          <w:szCs w:val="28"/>
          <w:lang w:eastAsia="zh-CN"/>
        </w:rPr>
        <w:t>（</w:t>
      </w:r>
      <w:r>
        <w:rPr>
          <w:rFonts w:hint="eastAsia" w:ascii="宋体" w:hAnsi="宋体" w:eastAsia="宋体" w:cs="宋体"/>
          <w:b/>
          <w:kern w:val="0"/>
          <w:sz w:val="28"/>
          <w:szCs w:val="28"/>
        </w:rPr>
        <w:t>采购人</w:t>
      </w:r>
      <w:r>
        <w:rPr>
          <w:rFonts w:hint="eastAsia" w:ascii="宋体" w:hAnsi="宋体" w:eastAsia="宋体" w:cs="宋体"/>
          <w:b/>
          <w:kern w:val="0"/>
          <w:sz w:val="28"/>
          <w:szCs w:val="28"/>
          <w:lang w:val="en-US" w:eastAsia="zh-CN"/>
        </w:rPr>
        <w:t>或采购</w:t>
      </w:r>
      <w:r>
        <w:rPr>
          <w:rFonts w:hint="eastAsia" w:ascii="宋体" w:hAnsi="宋体" w:eastAsia="宋体" w:cs="宋体"/>
          <w:b/>
          <w:kern w:val="0"/>
          <w:sz w:val="28"/>
          <w:szCs w:val="28"/>
        </w:rPr>
        <w:t>代理机构</w:t>
      </w:r>
      <w:r>
        <w:rPr>
          <w:rFonts w:hint="eastAsia" w:ascii="宋体" w:hAnsi="宋体" w:eastAsia="宋体" w:cs="宋体"/>
          <w:b/>
          <w:kern w:val="0"/>
          <w:sz w:val="28"/>
          <w:szCs w:val="28"/>
          <w:lang w:eastAsia="zh-CN"/>
        </w:rPr>
        <w:t>）</w:t>
      </w:r>
    </w:p>
    <w:p w14:paraId="38B1C229">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根据本项目</w:t>
      </w:r>
      <w:r>
        <w:rPr>
          <w:rFonts w:hint="eastAsia" w:ascii="宋体" w:hAnsi="宋体" w:eastAsia="宋体" w:cs="宋体"/>
          <w:kern w:val="0"/>
          <w:sz w:val="28"/>
          <w:szCs w:val="28"/>
          <w:lang w:val="en-US" w:eastAsia="zh-CN"/>
        </w:rPr>
        <w:t>磋商</w:t>
      </w:r>
      <w:r>
        <w:rPr>
          <w:rFonts w:hint="eastAsia" w:ascii="宋体" w:hAnsi="宋体" w:eastAsia="宋体" w:cs="宋体"/>
          <w:kern w:val="0"/>
          <w:sz w:val="28"/>
          <w:szCs w:val="28"/>
        </w:rPr>
        <w:t>文件相关规定，我单位参与本项目包1、包2投标，经评标委员会评审，我单位在上述两个包件评审排名均为第一名</w:t>
      </w:r>
      <w:r>
        <w:rPr>
          <w:rFonts w:hint="eastAsia" w:ascii="宋体" w:hAnsi="宋体" w:eastAsia="宋体" w:cs="宋体"/>
          <w:kern w:val="0"/>
          <w:sz w:val="28"/>
          <w:szCs w:val="28"/>
          <w:lang w:val="en-US" w:eastAsia="zh-CN"/>
        </w:rPr>
        <w:t>时</w:t>
      </w:r>
      <w:r>
        <w:rPr>
          <w:rFonts w:hint="eastAsia" w:ascii="宋体" w:hAnsi="宋体" w:eastAsia="宋体" w:cs="宋体"/>
          <w:kern w:val="0"/>
          <w:sz w:val="28"/>
          <w:szCs w:val="28"/>
        </w:rPr>
        <w:t>。按照</w:t>
      </w:r>
      <w:r>
        <w:rPr>
          <w:rFonts w:hint="eastAsia" w:ascii="宋体" w:hAnsi="宋体" w:eastAsia="宋体" w:cs="宋体"/>
          <w:kern w:val="0"/>
          <w:sz w:val="28"/>
          <w:szCs w:val="28"/>
          <w:lang w:val="en-US" w:eastAsia="zh-CN"/>
        </w:rPr>
        <w:t>磋商</w:t>
      </w:r>
      <w:r>
        <w:rPr>
          <w:rFonts w:hint="eastAsia" w:ascii="宋体" w:hAnsi="宋体" w:eastAsia="宋体" w:cs="宋体"/>
          <w:kern w:val="0"/>
          <w:sz w:val="28"/>
          <w:szCs w:val="28"/>
        </w:rPr>
        <w:t>文件“多包第一仅可择一</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的</w:t>
      </w:r>
      <w:r>
        <w:rPr>
          <w:rFonts w:hint="eastAsia" w:ascii="宋体" w:hAnsi="宋体" w:eastAsia="宋体" w:cs="宋体"/>
          <w:kern w:val="0"/>
          <w:sz w:val="28"/>
          <w:szCs w:val="28"/>
        </w:rPr>
        <w:t>规则，我单位自愿作出如下选择与承诺：</w:t>
      </w:r>
    </w:p>
    <w:p w14:paraId="6BFD2D75">
      <w:pPr>
        <w:pStyle w:val="2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textAlignment w:val="auto"/>
        <w:rPr>
          <w:rFonts w:hint="eastAsia" w:ascii="宋体" w:hAnsi="宋体" w:eastAsia="宋体" w:cs="宋体"/>
          <w:kern w:val="0"/>
          <w:sz w:val="28"/>
          <w:szCs w:val="28"/>
        </w:rPr>
      </w:pPr>
      <w:r>
        <w:rPr>
          <w:rFonts w:hint="eastAsia" w:ascii="宋体" w:hAnsi="宋体" w:eastAsia="宋体" w:cs="宋体"/>
          <w:kern w:val="0"/>
          <w:sz w:val="28"/>
          <w:szCs w:val="28"/>
        </w:rPr>
        <w:t>1、我单位自愿选定：</w:t>
      </w:r>
      <w:r>
        <w:rPr>
          <w:rFonts w:hint="eastAsia" w:ascii="宋体" w:hAnsi="宋体" w:eastAsia="宋体" w:cs="宋体"/>
          <w:kern w:val="0"/>
          <w:sz w:val="28"/>
          <w:szCs w:val="28"/>
          <w:lang w:eastAsia="zh-CN" w:bidi="ar-SA"/>
        </w:rPr>
        <w:t>□</w:t>
      </w:r>
      <w:r>
        <w:rPr>
          <w:rFonts w:hint="eastAsia" w:ascii="宋体" w:hAnsi="宋体" w:eastAsia="宋体" w:cs="宋体"/>
          <w:kern w:val="0"/>
          <w:sz w:val="28"/>
          <w:szCs w:val="28"/>
          <w:lang w:bidi="ar-SA"/>
        </w:rPr>
        <w:t xml:space="preserve"> 包1</w:t>
      </w:r>
      <w:r>
        <w:rPr>
          <w:rFonts w:hint="eastAsia" w:ascii="宋体" w:hAnsi="宋体" w:eastAsia="宋体" w:cs="宋体"/>
          <w:b/>
          <w:bCs/>
          <w:kern w:val="0"/>
          <w:sz w:val="28"/>
          <w:szCs w:val="28"/>
          <w:u w:val="single"/>
          <w:lang w:val="en-US" w:eastAsia="zh-CN" w:bidi="ar-SA"/>
        </w:rPr>
        <w:t xml:space="preserve"> 粮油产能提升培训班和乡村产业带头人培训班 </w:t>
      </w:r>
      <w:r>
        <w:rPr>
          <w:rFonts w:hint="eastAsia" w:ascii="宋体" w:hAnsi="宋体" w:eastAsia="宋体" w:cs="宋体"/>
          <w:kern w:val="0"/>
          <w:sz w:val="28"/>
          <w:szCs w:val="28"/>
          <w:lang w:val="en-US" w:eastAsia="zh-CN" w:bidi="ar-SA"/>
        </w:rPr>
        <w:t>；</w:t>
      </w:r>
      <w:r>
        <w:rPr>
          <w:rFonts w:hint="eastAsia" w:ascii="宋体" w:hAnsi="宋体" w:eastAsia="宋体" w:cs="宋体"/>
          <w:kern w:val="0"/>
          <w:sz w:val="28"/>
          <w:szCs w:val="28"/>
          <w:lang w:bidi="ar-SA"/>
        </w:rPr>
        <w:t xml:space="preserve">□ 包2 </w:t>
      </w:r>
      <w:r>
        <w:rPr>
          <w:rFonts w:hint="eastAsia" w:ascii="宋体" w:hAnsi="宋体" w:eastAsia="宋体" w:cs="宋体"/>
          <w:b/>
          <w:bCs/>
          <w:kern w:val="0"/>
          <w:sz w:val="28"/>
          <w:szCs w:val="28"/>
          <w:u w:val="single"/>
          <w:lang w:val="en-US" w:eastAsia="zh-CN" w:bidi="ar-SA"/>
        </w:rPr>
        <w:t xml:space="preserve"> 农机手技能提升培训班和农机手技能提升专题培训班</w:t>
      </w:r>
      <w:r>
        <w:rPr>
          <w:rFonts w:hint="eastAsia" w:ascii="宋体" w:hAnsi="宋体" w:eastAsia="宋体" w:cs="宋体"/>
          <w:kern w:val="0"/>
          <w:sz w:val="28"/>
          <w:szCs w:val="28"/>
          <w:u w:val="single"/>
          <w:lang w:val="en-US" w:eastAsia="zh-CN" w:bidi="ar-SA"/>
        </w:rPr>
        <w:t xml:space="preserve"> </w:t>
      </w:r>
      <w:r>
        <w:rPr>
          <w:rFonts w:hint="eastAsia" w:ascii="宋体" w:hAnsi="宋体" w:eastAsia="宋体" w:cs="宋体"/>
          <w:kern w:val="0"/>
          <w:sz w:val="28"/>
          <w:szCs w:val="28"/>
        </w:rPr>
        <w:t>作为本项目</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包件（请勾选确认）。</w:t>
      </w:r>
    </w:p>
    <w:p w14:paraId="789E7554">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2、我单位自愿放弃另一未选定包件的全部</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资格，对此评审及</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结果无任何异议，承诺不就本事项提出质疑、投诉、复议及诉讼等相关诉求。</w:t>
      </w:r>
    </w:p>
    <w:p w14:paraId="3B527342">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3、我单位确认本次选择为真实、自愿、最终决定，一经提交，不作任何变更，自愿承担由此产生的全部法律责任及相关后果。</w:t>
      </w:r>
    </w:p>
    <w:p w14:paraId="1CBE40C5">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特此确认！</w:t>
      </w:r>
    </w:p>
    <w:p w14:paraId="5906CF9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46A3E78C">
      <w:pPr>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供应商名称（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单位公章</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526766A4">
      <w:pPr>
        <w:spacing w:line="360" w:lineRule="auto"/>
        <w:ind w:firstLine="482" w:firstLineChars="200"/>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法定代表人</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或其委托代理人(签字</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D4AEDCF">
      <w:pPr>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日      期：</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年</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月</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日</w:t>
      </w:r>
    </w:p>
    <w:p w14:paraId="5E49236F">
      <w:pPr>
        <w:rPr>
          <w:rFonts w:hint="eastAsia"/>
          <w:lang w:val="en-US" w:eastAsia="zh-CN"/>
        </w:rPr>
      </w:pPr>
    </w:p>
    <w:p w14:paraId="6998B88D">
      <w:pPr>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637888DB">
      <w:pPr>
        <w:adjustRightInd w:val="0"/>
        <w:snapToGrid w:val="0"/>
        <w:jc w:val="center"/>
        <w:outlineLvl w:val="1"/>
        <w:rPr>
          <w:rFonts w:hint="eastAsia" w:ascii="宋体" w:hAnsi="宋体" w:eastAsia="宋体" w:cs="宋体"/>
          <w:b/>
          <w:bCs/>
          <w:color w:val="000000" w:themeColor="text1"/>
          <w:sz w:val="32"/>
          <w:szCs w:val="32"/>
          <w:highlight w:val="none"/>
          <w14:textFill>
            <w14:solidFill>
              <w14:schemeClr w14:val="tx1"/>
            </w14:solidFill>
          </w14:textFill>
        </w:rPr>
      </w:pPr>
      <w:bookmarkStart w:id="171" w:name="_Toc29313"/>
      <w:r>
        <w:rPr>
          <w:rFonts w:hint="eastAsia" w:ascii="宋体" w:hAnsi="宋体" w:eastAsia="宋体" w:cs="宋体"/>
          <w:b/>
          <w:bCs/>
          <w:color w:val="000000" w:themeColor="text1"/>
          <w:sz w:val="32"/>
          <w:szCs w:val="32"/>
          <w:highlight w:val="none"/>
          <w:lang w:val="en-US" w:eastAsia="zh-CN"/>
          <w14:textFill>
            <w14:solidFill>
              <w14:schemeClr w14:val="tx1"/>
            </w14:solidFill>
          </w14:textFill>
        </w:rPr>
        <w:t>九、</w:t>
      </w:r>
      <w:r>
        <w:rPr>
          <w:rFonts w:hint="eastAsia" w:ascii="宋体" w:hAnsi="宋体" w:eastAsia="宋体" w:cs="宋体"/>
          <w:b/>
          <w:bCs/>
          <w:color w:val="000000" w:themeColor="text1"/>
          <w:sz w:val="32"/>
          <w:szCs w:val="32"/>
          <w:highlight w:val="none"/>
          <w14:textFill>
            <w14:solidFill>
              <w14:schemeClr w14:val="tx1"/>
            </w14:solidFill>
          </w14:textFill>
        </w:rPr>
        <w:t>供应商认为需要提供的其它资料</w:t>
      </w:r>
      <w:bookmarkEnd w:id="170"/>
      <w:bookmarkEnd w:id="171"/>
    </w:p>
    <w:p w14:paraId="61852229">
      <w:pPr>
        <w:outlineLvl w:val="9"/>
        <w:rPr>
          <w:rFonts w:hint="eastAsia" w:ascii="宋体" w:hAnsi="宋体" w:eastAsia="宋体" w:cs="宋体"/>
          <w:color w:val="000000" w:themeColor="text1"/>
          <w:szCs w:val="21"/>
          <w:highlight w:val="none"/>
          <w14:textFill>
            <w14:solidFill>
              <w14:schemeClr w14:val="tx1"/>
            </w14:solidFill>
          </w14:textFill>
        </w:rPr>
      </w:pPr>
    </w:p>
    <w:p w14:paraId="345A2E7A">
      <w:pPr>
        <w:spacing w:line="360" w:lineRule="auto"/>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注：</w:t>
      </w:r>
    </w:p>
    <w:p w14:paraId="461D4CE4">
      <w:pPr>
        <w:spacing w:line="360" w:lineRule="auto"/>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1、提供第二章评审因素和标准中需要提供的相关证明文件等（如有）；</w:t>
      </w:r>
    </w:p>
    <w:p w14:paraId="66C65955">
      <w:pPr>
        <w:spacing w:line="360" w:lineRule="auto"/>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2、提供第四章采购需求中要求提供的相关证明文件等（如有）；</w:t>
      </w:r>
    </w:p>
    <w:p w14:paraId="712883B5">
      <w:pPr>
        <w:spacing w:line="360" w:lineRule="auto"/>
        <w:rPr>
          <w:rFonts w:hint="eastAsia" w:ascii="宋体" w:hAnsi="宋体" w:eastAsia="宋体" w:cs="宋体"/>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3、供应商认为需要提供的其它资料（如有）。</w:t>
      </w:r>
      <w:r>
        <w:rPr>
          <w:rFonts w:hint="eastAsia" w:ascii="宋体" w:hAnsi="宋体" w:eastAsia="宋体" w:cs="宋体"/>
          <w:color w:val="000000" w:themeColor="text1"/>
          <w:kern w:val="1"/>
          <w:sz w:val="21"/>
          <w:szCs w:val="21"/>
          <w:highlight w:val="none"/>
          <w:lang w:val="en-US" w:eastAsia="zh-CN" w:bidi="ar-SA"/>
          <w14:textFill>
            <w14:solidFill>
              <w14:schemeClr w14:val="tx1"/>
            </w14:solidFill>
          </w14:textFill>
        </w:rPr>
        <w:br w:type="page"/>
      </w:r>
    </w:p>
    <w:p w14:paraId="1896070F">
      <w:pPr>
        <w:keepNext w:val="0"/>
        <w:keepLines w:val="0"/>
        <w:pageBreakBefore w:val="0"/>
        <w:widowControl w:val="0"/>
        <w:numPr>
          <w:ilvl w:val="0"/>
          <w:numId w:val="0"/>
        </w:numPr>
        <w:kinsoku/>
        <w:wordWrap/>
        <w:overflowPunct/>
        <w:topLinePunct w:val="0"/>
        <w:autoSpaceDE/>
        <w:autoSpaceDN/>
        <w:bidi w:val="0"/>
        <w:adjustRightInd w:val="0"/>
        <w:snapToGrid w:val="0"/>
        <w:spacing w:before="100" w:line="360" w:lineRule="auto"/>
        <w:jc w:val="center"/>
        <w:textAlignment w:val="auto"/>
        <w:outlineLvl w:val="1"/>
        <w:rPr>
          <w:rFonts w:hint="eastAsia" w:ascii="宋体" w:hAnsi="宋体" w:eastAsia="宋体" w:cs="宋体"/>
          <w:b/>
          <w:bCs/>
          <w:color w:val="000000" w:themeColor="text1"/>
          <w:sz w:val="32"/>
          <w:szCs w:val="32"/>
          <w:highlight w:val="none"/>
          <w14:textFill>
            <w14:solidFill>
              <w14:schemeClr w14:val="tx1"/>
            </w14:solidFill>
          </w14:textFill>
        </w:rPr>
      </w:pPr>
      <w:bookmarkStart w:id="172" w:name="_Toc20959"/>
      <w:bookmarkStart w:id="173" w:name="_Toc18760"/>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十、</w:t>
      </w:r>
      <w:r>
        <w:rPr>
          <w:rFonts w:hint="eastAsia" w:ascii="宋体" w:hAnsi="宋体" w:eastAsia="宋体" w:cs="宋体"/>
          <w:b/>
          <w:bCs/>
          <w:color w:val="000000" w:themeColor="text1"/>
          <w:sz w:val="32"/>
          <w:szCs w:val="32"/>
          <w:highlight w:val="none"/>
          <w14:textFill>
            <w14:solidFill>
              <w14:schemeClr w14:val="tx1"/>
            </w14:solidFill>
          </w14:textFill>
        </w:rPr>
        <w:t>最后报价</w:t>
      </w:r>
      <w:bookmarkEnd w:id="172"/>
      <w:bookmarkEnd w:id="173"/>
    </w:p>
    <w:p w14:paraId="1836CCC3">
      <w:pPr>
        <w:snapToGrid w:val="0"/>
        <w:spacing w:line="360" w:lineRule="auto"/>
        <w:ind w:left="-88" w:firstLine="526"/>
        <w:outlineLvl w:val="9"/>
        <w:rPr>
          <w:rFonts w:hint="eastAsia" w:ascii="宋体" w:hAnsi="宋体" w:eastAsia="宋体" w:cs="宋体"/>
          <w:b/>
          <w:bCs/>
          <w:color w:val="000000" w:themeColor="text1"/>
          <w:sz w:val="21"/>
          <w:szCs w:val="21"/>
          <w:highlight w:val="none"/>
          <w14:textFill>
            <w14:solidFill>
              <w14:schemeClr w14:val="tx1"/>
            </w14:solidFill>
          </w14:textFill>
        </w:rPr>
      </w:pPr>
    </w:p>
    <w:p w14:paraId="1FE9CAB3">
      <w:pPr>
        <w:pStyle w:val="11"/>
        <w:spacing w:before="78" w:line="227" w:lineRule="auto"/>
        <w:ind w:left="164"/>
        <w:rPr>
          <w:rFonts w:hint="eastAsia" w:ascii="宋体" w:hAnsi="宋体" w:eastAsia="宋体" w:cs="宋体"/>
          <w:b/>
          <w:bCs/>
          <w:color w:val="000000" w:themeColor="text1"/>
          <w:spacing w:val="-2"/>
          <w:sz w:val="24"/>
          <w:szCs w:val="24"/>
          <w14:textFill>
            <w14:solidFill>
              <w14:schemeClr w14:val="tx1"/>
            </w14:solidFill>
          </w14:textFill>
        </w:rPr>
      </w:pPr>
      <w:r>
        <w:rPr>
          <w:rFonts w:hint="eastAsia" w:ascii="宋体" w:hAnsi="宋体" w:eastAsia="宋体" w:cs="宋体"/>
          <w:b/>
          <w:bCs/>
          <w:color w:val="000000" w:themeColor="text1"/>
          <w:spacing w:val="-4"/>
          <w:sz w:val="24"/>
          <w:szCs w:val="24"/>
          <w14:textFill>
            <w14:solidFill>
              <w14:schemeClr w14:val="tx1"/>
            </w14:solidFill>
          </w14:textFill>
        </w:rPr>
        <w:t>备注：</w:t>
      </w:r>
      <w:r>
        <w:rPr>
          <w:rFonts w:hint="eastAsia" w:ascii="宋体" w:hAnsi="宋体" w:eastAsia="宋体" w:cs="宋体"/>
          <w:b/>
          <w:bCs/>
          <w:color w:val="000000" w:themeColor="text1"/>
          <w:spacing w:val="-2"/>
          <w:sz w:val="24"/>
          <w:szCs w:val="24"/>
          <w:lang w:val="en-US" w:eastAsia="zh-CN"/>
          <w14:textFill>
            <w14:solidFill>
              <w14:schemeClr w14:val="tx1"/>
            </w14:solidFill>
          </w14:textFill>
        </w:rPr>
        <w:t xml:space="preserve"> </w:t>
      </w:r>
    </w:p>
    <w:p w14:paraId="647A6350">
      <w:pPr>
        <w:pStyle w:val="11"/>
        <w:keepNext w:val="0"/>
        <w:keepLines w:val="0"/>
        <w:pageBreakBefore w:val="0"/>
        <w:widowControl w:val="0"/>
        <w:kinsoku/>
        <w:wordWrap/>
        <w:overflowPunct/>
        <w:topLinePunct w:val="0"/>
        <w:autoSpaceDE/>
        <w:autoSpaceDN/>
        <w:bidi w:val="0"/>
        <w:adjustRightInd/>
        <w:snapToGrid/>
        <w:spacing w:after="0" w:line="360" w:lineRule="auto"/>
        <w:ind w:left="0" w:firstLine="474" w:firstLineChars="200"/>
        <w:textAlignment w:val="auto"/>
        <w:rPr>
          <w:rFonts w:hint="eastAsia" w:ascii="宋体" w:hAnsi="宋体" w:eastAsia="宋体" w:cs="宋体"/>
          <w:b/>
          <w:bCs/>
          <w:color w:val="000000" w:themeColor="text1"/>
          <w:spacing w:val="-2"/>
          <w:sz w:val="24"/>
          <w:szCs w:val="24"/>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 xml:space="preserve">1.本次磋商活动采用电子化线上响应方式，最后报价由磋商小组发起指令后，供应商线上报价提交；请各供应商随时注意会员端系统消息，以免错过报价。 </w:t>
      </w:r>
    </w:p>
    <w:p w14:paraId="33E841ED">
      <w:pPr>
        <w:pStyle w:val="11"/>
        <w:keepNext w:val="0"/>
        <w:keepLines w:val="0"/>
        <w:pageBreakBefore w:val="0"/>
        <w:widowControl w:val="0"/>
        <w:kinsoku/>
        <w:wordWrap/>
        <w:overflowPunct/>
        <w:topLinePunct w:val="0"/>
        <w:autoSpaceDE/>
        <w:autoSpaceDN/>
        <w:bidi w:val="0"/>
        <w:adjustRightInd/>
        <w:snapToGrid/>
        <w:spacing w:after="0" w:line="360" w:lineRule="auto"/>
        <w:ind w:left="0" w:firstLine="474" w:firstLineChars="200"/>
        <w:textAlignment w:val="auto"/>
        <w:rPr>
          <w:rFonts w:hint="eastAsia" w:ascii="宋体" w:hAnsi="宋体" w:eastAsia="宋体" w:cs="宋体"/>
          <w:b/>
          <w:bCs/>
          <w:color w:val="000000" w:themeColor="text1"/>
          <w:spacing w:val="-2"/>
          <w:sz w:val="24"/>
          <w:szCs w:val="24"/>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2.参与报价的供应商登陆《湘西公共资源交易网》（http://ggzyjy.xxz.gov.cn）→点击左侧菜单“采购业务-报价参与”，在对应的项目信息后点击“参与报价”按钮→ 在参与报价页面，点击【新增报价】按钮→在“新增报价”页面，输入“第 2 轮报价阶段”的价格及有关承诺说明后，点击【提交】按钮→提交报价后，点击“签章查看”进入签章页面→在报价签章页面中，点击“签 章”进行签章，签章完成后，点击【签章提交】。（报价过程中遇到任何问题请及时咨询软件科 0743-8523902 或其他相关科室，以便在在相关科室专业人员指导下进行。）</w:t>
      </w:r>
    </w:p>
    <w:p w14:paraId="2C80957D">
      <w:pPr>
        <w:rPr>
          <w:rFonts w:hint="eastAsia" w:ascii="宋体" w:hAnsi="宋体" w:eastAsia="宋体" w:cs="宋体"/>
          <w:color w:val="000000" w:themeColor="text1"/>
          <w:highlight w:val="none"/>
          <w:lang w:val="en-US" w:eastAsia="zh-CN"/>
          <w14:textFill>
            <w14:solidFill>
              <w14:schemeClr w14:val="tx1"/>
            </w14:solidFill>
          </w14:textFill>
        </w:rPr>
      </w:pPr>
    </w:p>
    <w:p w14:paraId="58FA891A">
      <w:pPr>
        <w:adjustRightInd w:val="0"/>
        <w:snapToGrid w:val="0"/>
        <w:spacing w:line="360" w:lineRule="auto"/>
        <w:rPr>
          <w:rFonts w:hint="eastAsia" w:ascii="宋体" w:hAnsi="宋体" w:eastAsia="宋体" w:cs="宋体"/>
          <w:color w:val="000000" w:themeColor="text1"/>
          <w:szCs w:val="21"/>
          <w:highlight w:val="none"/>
          <w14:textFill>
            <w14:solidFill>
              <w14:schemeClr w14:val="tx1"/>
            </w14:solidFill>
          </w14:textFill>
        </w:rPr>
      </w:pPr>
    </w:p>
    <w:p w14:paraId="4C1B2DDC">
      <w:pPr>
        <w:adjustRightInd w:val="0"/>
        <w:snapToGrid w:val="0"/>
        <w:spacing w:line="360" w:lineRule="auto"/>
        <w:rPr>
          <w:rFonts w:hint="eastAsia" w:ascii="宋体" w:hAnsi="宋体" w:eastAsia="宋体" w:cs="宋体"/>
          <w:color w:val="000000" w:themeColor="text1"/>
          <w:szCs w:val="21"/>
          <w:highlight w:val="none"/>
          <w14:textFill>
            <w14:solidFill>
              <w14:schemeClr w14:val="tx1"/>
            </w14:solidFill>
          </w14:textFill>
        </w:rPr>
      </w:pPr>
    </w:p>
    <w:p w14:paraId="236D1F62">
      <w:pPr>
        <w:rPr>
          <w:rFonts w:hint="eastAsia" w:ascii="宋体" w:hAnsi="宋体" w:eastAsia="宋体" w:cs="宋体"/>
          <w:b/>
          <w:bCs/>
          <w:color w:val="000000" w:themeColor="text1"/>
          <w:sz w:val="36"/>
          <w:szCs w:val="36"/>
          <w:highlight w:val="none"/>
          <w14:textFill>
            <w14:solidFill>
              <w14:schemeClr w14:val="tx1"/>
            </w14:solidFill>
          </w14:textFill>
        </w:rPr>
      </w:pPr>
    </w:p>
    <w:p w14:paraId="3153C056">
      <w:pPr>
        <w:rPr>
          <w:rFonts w:hint="eastAsia" w:ascii="宋体" w:hAnsi="宋体" w:eastAsia="宋体" w:cs="宋体"/>
          <w:color w:val="000000" w:themeColor="text1"/>
          <w:highlight w:val="none"/>
          <w14:textFill>
            <w14:solidFill>
              <w14:schemeClr w14:val="tx1"/>
            </w14:solidFill>
          </w14:textFill>
        </w:rPr>
      </w:pPr>
    </w:p>
    <w:p w14:paraId="665ADA24">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bookmarkStart w:id="174" w:name="_Toc30905"/>
      <w:bookmarkStart w:id="175" w:name="_Toc17455"/>
      <w:bookmarkStart w:id="176" w:name="_Toc3852"/>
      <w:bookmarkStart w:id="177" w:name="_Toc17784"/>
      <w:bookmarkStart w:id="178" w:name="_Toc5399"/>
      <w:bookmarkStart w:id="179" w:name="_Toc15356"/>
    </w:p>
    <w:p w14:paraId="24238017">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000000" w:themeColor="text1"/>
          <w:sz w:val="21"/>
          <w:szCs w:val="21"/>
          <w:highlight w:val="none"/>
          <w:u w:val="none"/>
          <w:lang w:val="en-US" w:eastAsia="zh-CN"/>
          <w14:textFill>
            <w14:solidFill>
              <w14:schemeClr w14:val="tx1"/>
            </w14:solidFill>
          </w14:textFill>
        </w:rPr>
      </w:pPr>
    </w:p>
    <w:p w14:paraId="2937E1A9">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p>
    <w:bookmarkEnd w:id="174"/>
    <w:bookmarkEnd w:id="175"/>
    <w:bookmarkEnd w:id="176"/>
    <w:bookmarkEnd w:id="177"/>
    <w:bookmarkEnd w:id="178"/>
    <w:bookmarkEnd w:id="179"/>
    <w:p w14:paraId="1AD32637">
      <w:pPr>
        <w:rPr>
          <w:rFonts w:hint="eastAsia" w:ascii="宋体" w:hAnsi="宋体" w:eastAsia="宋体" w:cs="宋体"/>
          <w:color w:val="000000" w:themeColor="text1"/>
          <w:highlight w:val="none"/>
          <w14:textFill>
            <w14:solidFill>
              <w14:schemeClr w14:val="tx1"/>
            </w14:solidFill>
          </w14:textFill>
        </w:rPr>
      </w:pPr>
    </w:p>
    <w:sectPr>
      <w:headerReference r:id="rId6" w:type="default"/>
      <w:footerReference r:id="rId7" w:type="default"/>
      <w:pgSz w:w="11906" w:h="16838"/>
      <w:pgMar w:top="1440" w:right="1304" w:bottom="1440" w:left="1304" w:header="851" w:footer="96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AC0BF">
    <w:pPr>
      <w:pStyle w:val="16"/>
      <w:pBdr>
        <w:bottom w:val="double" w:color="auto" w:sz="4" w:space="0"/>
      </w:pBdr>
      <w:rPr>
        <w:rFonts w:ascii="仿宋" w:hAnsi="仿宋" w:eastAsia="仿宋" w:cs="仿宋"/>
      </w:rPr>
    </w:pPr>
  </w:p>
  <w:p w14:paraId="66188513">
    <w:pPr>
      <w:pStyle w:val="16"/>
      <w:rPr>
        <w:rFonts w:hint="eastAsia"/>
      </w:rPr>
    </w:pPr>
    <w:r>
      <w:rPr>
        <w:rFonts w:hint="eastAsia" w:ascii="仿宋" w:hAnsi="仿宋" w:eastAsia="仿宋" w:cs="仿宋"/>
      </w:rPr>
      <w:t>湖南信达项目咨询管理有限公司/0743-8271078                                湖南省吉首市人民南路100号</w:t>
    </w:r>
  </w:p>
  <w:p w14:paraId="449C94DB">
    <w:pPr>
      <w:pStyle w:val="16"/>
      <w:ind w:left="180" w:right="359" w:rightChars="171" w:hanging="180" w:hangingChars="100"/>
      <w:jc w:val="both"/>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360F">
    <w:pPr>
      <w:pStyle w:val="16"/>
      <w:ind w:left="240" w:right="359" w:rightChars="171" w:hanging="180" w:hangingChars="100"/>
      <w:jc w:val="both"/>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6D2C0">
                          <w:pPr>
                            <w:pStyle w:val="16"/>
                          </w:pPr>
                          <w:r>
                            <w:fldChar w:fldCharType="begin"/>
                          </w:r>
                          <w:r>
                            <w:instrText xml:space="preserve"> PAGE  \* MERGEFORMAT </w:instrText>
                          </w:r>
                          <w:r>
                            <w:fldChar w:fldCharType="separate"/>
                          </w:r>
                          <w:r>
                            <w:t>- 23 -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B06D2C0">
                    <w:pPr>
                      <w:pStyle w:val="16"/>
                    </w:pPr>
                    <w:r>
                      <w:fldChar w:fldCharType="begin"/>
                    </w:r>
                    <w:r>
                      <w:instrText xml:space="preserve"> PAGE  \* MERGEFORMAT </w:instrText>
                    </w:r>
                    <w:r>
                      <w:fldChar w:fldCharType="separate"/>
                    </w:r>
                    <w:r>
                      <w:t>- 23 -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99B25">
    <w:pPr>
      <w:pStyle w:val="17"/>
      <w:jc w:val="left"/>
      <w:rPr>
        <w:rFonts w:ascii="仿宋" w:hAnsi="仿宋" w:eastAsia="仿宋" w:cs="仿宋"/>
      </w:rPr>
    </w:pPr>
    <w:r>
      <w:rPr>
        <w:rFonts w:hint="eastAsia" w:ascii="仿宋" w:hAnsi="仿宋" w:eastAsia="仿宋" w:cs="仿宋"/>
        <w:lang w:eastAsia="zh-CN"/>
      </w:rPr>
      <w:t>花垣县2026年高素质农民培育服务采购项目</w:t>
    </w:r>
    <w:r>
      <w:rPr>
        <w:rFonts w:hint="eastAsia" w:ascii="仿宋" w:hAnsi="仿宋" w:eastAsia="仿宋" w:cs="仿宋"/>
      </w:rPr>
      <w:t xml:space="preserve">  </w:t>
    </w:r>
    <w:r>
      <w:rPr>
        <w:rFonts w:hint="eastAsia"/>
      </w:rPr>
      <w:t xml:space="preserve">                             </w:t>
    </w:r>
    <w:r>
      <w:rPr>
        <w:rFonts w:hint="eastAsia" w:ascii="仿宋" w:hAnsi="仿宋" w:eastAsia="仿宋" w:cs="仿宋"/>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CF311">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47B7">
    <w:pPr>
      <w:pStyle w:val="17"/>
      <w:jc w:val="left"/>
      <w:rPr>
        <w:rFonts w:hint="eastAsia" w:ascii="仿宋" w:hAnsi="仿宋" w:eastAsia="仿宋" w:cs="仿宋"/>
      </w:rPr>
    </w:pPr>
    <w:r>
      <w:rPr>
        <w:rFonts w:hint="eastAsia" w:ascii="仿宋" w:hAnsi="仿宋" w:eastAsia="仿宋" w:cs="仿宋"/>
        <w:color w:val="auto"/>
        <w:sz w:val="18"/>
        <w:szCs w:val="18"/>
        <w:u w:val="none"/>
        <w:lang w:val="en-US" w:eastAsia="zh-CN"/>
      </w:rPr>
      <w:t xml:space="preserve">花垣县2026年高素质农民培育服务采购项目 </w:t>
    </w:r>
    <w:r>
      <w:rPr>
        <w:rFonts w:hint="eastAsia"/>
      </w:rPr>
      <w:t xml:space="preserve">    </w:t>
    </w:r>
    <w:r>
      <w:rPr>
        <w:rFonts w:hint="eastAsia"/>
        <w:lang w:val="en-US" w:eastAsia="zh-CN"/>
      </w:rPr>
      <w:t xml:space="preserve">                                            </w:t>
    </w:r>
    <w:r>
      <w:rPr>
        <w:rFonts w:hint="eastAsia" w:ascii="仿宋" w:hAnsi="仿宋" w:eastAsia="仿宋" w:cs="仿宋"/>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E1B9C"/>
    <w:multiLevelType w:val="singleLevel"/>
    <w:tmpl w:val="8B9E1B9C"/>
    <w:lvl w:ilvl="0" w:tentative="0">
      <w:start w:val="2"/>
      <w:numFmt w:val="decimal"/>
      <w:suff w:val="nothing"/>
      <w:lvlText w:val="%1、"/>
      <w:lvlJc w:val="left"/>
    </w:lvl>
  </w:abstractNum>
  <w:abstractNum w:abstractNumId="1">
    <w:nsid w:val="2D9D611B"/>
    <w:multiLevelType w:val="singleLevel"/>
    <w:tmpl w:val="2D9D611B"/>
    <w:lvl w:ilvl="0" w:tentative="0">
      <w:start w:val="2"/>
      <w:numFmt w:val="chineseCounting"/>
      <w:suff w:val="nothing"/>
      <w:lvlText w:val="%1、"/>
      <w:lvlJc w:val="left"/>
      <w:rPr>
        <w:rFonts w:hint="eastAsia"/>
      </w:rPr>
    </w:lvl>
  </w:abstractNum>
  <w:abstractNum w:abstractNumId="2">
    <w:nsid w:val="797C45F0"/>
    <w:multiLevelType w:val="multilevel"/>
    <w:tmpl w:val="797C45F0"/>
    <w:lvl w:ilvl="0" w:tentative="0">
      <w:start w:val="1"/>
      <w:numFmt w:val="chineseCounting"/>
      <w:suff w:val="nothing"/>
      <w:lvlText w:val="%1、"/>
      <w:lvlJc w:val="left"/>
      <w:pPr>
        <w:tabs>
          <w:tab w:val="left" w:pos="0"/>
        </w:tabs>
        <w:ind w:left="432" w:hanging="432"/>
      </w:pPr>
      <w:rPr>
        <w:rFonts w:hint="eastAsia" w:ascii="宋体" w:hAnsi="宋体" w:eastAsia="宋体" w:cs="宋体"/>
      </w:rPr>
    </w:lvl>
    <w:lvl w:ilvl="1" w:tentative="0">
      <w:start w:val="1"/>
      <w:numFmt w:val="decimal"/>
      <w:isLgl/>
      <w:lvlText w:val="%1.%2"/>
      <w:lvlJc w:val="left"/>
      <w:pPr>
        <w:tabs>
          <w:tab w:val="left" w:pos="420"/>
        </w:tabs>
        <w:ind w:left="575" w:hanging="575"/>
      </w:pPr>
      <w:rPr>
        <w:rFonts w:hint="eastAsia" w:ascii="宋体" w:hAnsi="宋体" w:eastAsia="宋体" w:cs="宋体"/>
      </w:rPr>
    </w:lvl>
    <w:lvl w:ilvl="2" w:tentative="0">
      <w:start w:val="1"/>
      <w:numFmt w:val="decimal"/>
      <w:isLgl/>
      <w:lvlText w:val="%1.%2.%3"/>
      <w:lvlJc w:val="left"/>
      <w:pPr>
        <w:ind w:left="720" w:hanging="720"/>
      </w:pPr>
      <w:rPr>
        <w:rFonts w:hint="eastAsia" w:ascii="宋体" w:hAnsi="宋体" w:eastAsia="宋体" w:cs="宋体"/>
        <w:b/>
        <w:bCs/>
      </w:rPr>
    </w:lvl>
    <w:lvl w:ilvl="3" w:tentative="0">
      <w:start w:val="1"/>
      <w:numFmt w:val="decimal"/>
      <w:pStyle w:val="5"/>
      <w:isLgl/>
      <w:lvlText w:val="%1.%2.%3.%4"/>
      <w:lvlJc w:val="left"/>
      <w:pPr>
        <w:ind w:left="864" w:hanging="864"/>
      </w:pPr>
      <w:rPr>
        <w:rFonts w:hint="eastAsia" w:ascii="宋体" w:hAnsi="宋体" w:eastAsia="宋体" w:cs="宋体"/>
      </w:rPr>
    </w:lvl>
    <w:lvl w:ilvl="4" w:tentative="0">
      <w:start w:val="1"/>
      <w:numFmt w:val="decimal"/>
      <w:isLgl/>
      <w:lvlText w:val="%1.%2.%3.%4.%5"/>
      <w:lvlJc w:val="left"/>
      <w:pPr>
        <w:ind w:left="1008" w:hanging="1008"/>
      </w:pPr>
      <w:rPr>
        <w:rFonts w:hint="eastAsia" w:ascii="宋体" w:hAnsi="宋体" w:eastAsia="宋体" w:cs="宋体"/>
      </w:rPr>
    </w:lvl>
    <w:lvl w:ilvl="5" w:tentative="0">
      <w:start w:val="1"/>
      <w:numFmt w:val="decimal"/>
      <w:isLgl/>
      <w:lvlText w:val="%1.%2.%3.%4.%5.%6"/>
      <w:lvlJc w:val="left"/>
      <w:pPr>
        <w:ind w:left="1151" w:hanging="1151"/>
      </w:pPr>
      <w:rPr>
        <w:rFonts w:hint="eastAsia" w:ascii="宋体" w:hAnsi="宋体" w:eastAsia="宋体" w:cs="宋体"/>
      </w:rPr>
    </w:lvl>
    <w:lvl w:ilvl="6" w:tentative="0">
      <w:start w:val="1"/>
      <w:numFmt w:val="decimal"/>
      <w:isLgl/>
      <w:lvlText w:val="%1.%2.%3.%4.%5.%6.%7"/>
      <w:lvlJc w:val="left"/>
      <w:pPr>
        <w:ind w:left="1296" w:hanging="1296"/>
      </w:pPr>
      <w:rPr>
        <w:rFonts w:hint="eastAsia" w:ascii="宋体" w:hAnsi="宋体" w:eastAsia="宋体" w:cs="宋体"/>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iMDk1NWVhYWYyY2M2NDZiNDUzMjk1N2QxZTNjODAifQ=="/>
  </w:docVars>
  <w:rsids>
    <w:rsidRoot w:val="2884752B"/>
    <w:rsid w:val="00133387"/>
    <w:rsid w:val="002E364F"/>
    <w:rsid w:val="00423C6D"/>
    <w:rsid w:val="00D23242"/>
    <w:rsid w:val="00D41750"/>
    <w:rsid w:val="00E72D46"/>
    <w:rsid w:val="00F211EF"/>
    <w:rsid w:val="00F66F31"/>
    <w:rsid w:val="00F747B4"/>
    <w:rsid w:val="01066A48"/>
    <w:rsid w:val="012924E6"/>
    <w:rsid w:val="012B13DD"/>
    <w:rsid w:val="01551DBC"/>
    <w:rsid w:val="016E7F10"/>
    <w:rsid w:val="01714815"/>
    <w:rsid w:val="01746AF4"/>
    <w:rsid w:val="01A9706E"/>
    <w:rsid w:val="01AF70E0"/>
    <w:rsid w:val="01B36BD0"/>
    <w:rsid w:val="01CF1420"/>
    <w:rsid w:val="021266BF"/>
    <w:rsid w:val="022E7E09"/>
    <w:rsid w:val="02344890"/>
    <w:rsid w:val="02443CCC"/>
    <w:rsid w:val="02752ABC"/>
    <w:rsid w:val="02881E0B"/>
    <w:rsid w:val="02A604E3"/>
    <w:rsid w:val="02B0310F"/>
    <w:rsid w:val="02B17DEA"/>
    <w:rsid w:val="02C9057A"/>
    <w:rsid w:val="0332572E"/>
    <w:rsid w:val="033B50CF"/>
    <w:rsid w:val="0361440A"/>
    <w:rsid w:val="03696720"/>
    <w:rsid w:val="03832252"/>
    <w:rsid w:val="038D7EC3"/>
    <w:rsid w:val="03A55104"/>
    <w:rsid w:val="03A84375"/>
    <w:rsid w:val="03B1241E"/>
    <w:rsid w:val="03B86720"/>
    <w:rsid w:val="03C35D1C"/>
    <w:rsid w:val="03C52BEB"/>
    <w:rsid w:val="03FB575E"/>
    <w:rsid w:val="0405748B"/>
    <w:rsid w:val="040C6A6B"/>
    <w:rsid w:val="040F2FA9"/>
    <w:rsid w:val="0422003D"/>
    <w:rsid w:val="042F4508"/>
    <w:rsid w:val="043B1FC0"/>
    <w:rsid w:val="043D4E77"/>
    <w:rsid w:val="044955CA"/>
    <w:rsid w:val="04620439"/>
    <w:rsid w:val="04642403"/>
    <w:rsid w:val="04877EA0"/>
    <w:rsid w:val="04A4372D"/>
    <w:rsid w:val="04AC0867"/>
    <w:rsid w:val="04C42EA2"/>
    <w:rsid w:val="04CF3C10"/>
    <w:rsid w:val="04D70BF5"/>
    <w:rsid w:val="0523406D"/>
    <w:rsid w:val="05327152"/>
    <w:rsid w:val="0539563E"/>
    <w:rsid w:val="053973EC"/>
    <w:rsid w:val="05432019"/>
    <w:rsid w:val="054A784B"/>
    <w:rsid w:val="054F4F60"/>
    <w:rsid w:val="056F72B2"/>
    <w:rsid w:val="05762321"/>
    <w:rsid w:val="059B238D"/>
    <w:rsid w:val="05AF2960"/>
    <w:rsid w:val="05BE0187"/>
    <w:rsid w:val="05C55124"/>
    <w:rsid w:val="05DB4947"/>
    <w:rsid w:val="05F257ED"/>
    <w:rsid w:val="05F6352F"/>
    <w:rsid w:val="05FC4CED"/>
    <w:rsid w:val="06497B03"/>
    <w:rsid w:val="065D710A"/>
    <w:rsid w:val="066C37F1"/>
    <w:rsid w:val="06732DD2"/>
    <w:rsid w:val="06A6543E"/>
    <w:rsid w:val="06B036DE"/>
    <w:rsid w:val="06EE4206"/>
    <w:rsid w:val="06F061D0"/>
    <w:rsid w:val="07133C6D"/>
    <w:rsid w:val="072D11D3"/>
    <w:rsid w:val="072E0F93"/>
    <w:rsid w:val="07373DFF"/>
    <w:rsid w:val="073A38EF"/>
    <w:rsid w:val="074A3B33"/>
    <w:rsid w:val="074E7FEF"/>
    <w:rsid w:val="0768022C"/>
    <w:rsid w:val="076D6766"/>
    <w:rsid w:val="077741FC"/>
    <w:rsid w:val="07944DAE"/>
    <w:rsid w:val="07C022F8"/>
    <w:rsid w:val="07CD206E"/>
    <w:rsid w:val="07E41CD4"/>
    <w:rsid w:val="080C0DE8"/>
    <w:rsid w:val="082223BA"/>
    <w:rsid w:val="0845254C"/>
    <w:rsid w:val="085A6F61"/>
    <w:rsid w:val="08607386"/>
    <w:rsid w:val="08856DEC"/>
    <w:rsid w:val="08977049"/>
    <w:rsid w:val="089C3D38"/>
    <w:rsid w:val="08A26419"/>
    <w:rsid w:val="08A90D2D"/>
    <w:rsid w:val="08B63BCD"/>
    <w:rsid w:val="08B81BDF"/>
    <w:rsid w:val="08C0150A"/>
    <w:rsid w:val="08D062B9"/>
    <w:rsid w:val="090B72F2"/>
    <w:rsid w:val="095011A8"/>
    <w:rsid w:val="095C18FB"/>
    <w:rsid w:val="09622D85"/>
    <w:rsid w:val="09742F12"/>
    <w:rsid w:val="09745C6D"/>
    <w:rsid w:val="09A432A2"/>
    <w:rsid w:val="09A74D36"/>
    <w:rsid w:val="09AD4E6C"/>
    <w:rsid w:val="09B96D4E"/>
    <w:rsid w:val="09C41C72"/>
    <w:rsid w:val="09CB0380"/>
    <w:rsid w:val="09D6370A"/>
    <w:rsid w:val="09DA2B0B"/>
    <w:rsid w:val="09DB456C"/>
    <w:rsid w:val="09E638BB"/>
    <w:rsid w:val="09F47D86"/>
    <w:rsid w:val="0A063A64"/>
    <w:rsid w:val="0A1C2E55"/>
    <w:rsid w:val="0A23066B"/>
    <w:rsid w:val="0A42117E"/>
    <w:rsid w:val="0A465EF2"/>
    <w:rsid w:val="0A466107"/>
    <w:rsid w:val="0A4778D4"/>
    <w:rsid w:val="0A5B7E05"/>
    <w:rsid w:val="0A7B32AF"/>
    <w:rsid w:val="0A8119D2"/>
    <w:rsid w:val="0A8E187A"/>
    <w:rsid w:val="0ADD4CBE"/>
    <w:rsid w:val="0AE26FC9"/>
    <w:rsid w:val="0B3A3EBE"/>
    <w:rsid w:val="0B451DA0"/>
    <w:rsid w:val="0B550CF8"/>
    <w:rsid w:val="0B901D30"/>
    <w:rsid w:val="0BA31A63"/>
    <w:rsid w:val="0BBA77D6"/>
    <w:rsid w:val="0BBE064B"/>
    <w:rsid w:val="0C085D6A"/>
    <w:rsid w:val="0C2F1549"/>
    <w:rsid w:val="0C4A6E11"/>
    <w:rsid w:val="0C544494"/>
    <w:rsid w:val="0C5B4DC8"/>
    <w:rsid w:val="0C6E5E07"/>
    <w:rsid w:val="0C880C59"/>
    <w:rsid w:val="0C882A07"/>
    <w:rsid w:val="0CB37AE6"/>
    <w:rsid w:val="0CCA1272"/>
    <w:rsid w:val="0CCE1629"/>
    <w:rsid w:val="0CD24497"/>
    <w:rsid w:val="0CF90EA0"/>
    <w:rsid w:val="0CFA155A"/>
    <w:rsid w:val="0D183D8B"/>
    <w:rsid w:val="0D28745D"/>
    <w:rsid w:val="0D5E3708"/>
    <w:rsid w:val="0D7169EE"/>
    <w:rsid w:val="0D725B91"/>
    <w:rsid w:val="0D7511DD"/>
    <w:rsid w:val="0D9E6986"/>
    <w:rsid w:val="0DA47D15"/>
    <w:rsid w:val="0DF94F7A"/>
    <w:rsid w:val="0DFE11D3"/>
    <w:rsid w:val="0E211365"/>
    <w:rsid w:val="0E2D750B"/>
    <w:rsid w:val="0E381B27"/>
    <w:rsid w:val="0E3B6C47"/>
    <w:rsid w:val="0E3C7F4D"/>
    <w:rsid w:val="0E464928"/>
    <w:rsid w:val="0E484B44"/>
    <w:rsid w:val="0E5C02D2"/>
    <w:rsid w:val="0E62790F"/>
    <w:rsid w:val="0E635B8D"/>
    <w:rsid w:val="0E7D2A40"/>
    <w:rsid w:val="0EA665AF"/>
    <w:rsid w:val="0EAA14AF"/>
    <w:rsid w:val="0EB432B5"/>
    <w:rsid w:val="0ED35847"/>
    <w:rsid w:val="0ED8797F"/>
    <w:rsid w:val="0EE632F1"/>
    <w:rsid w:val="0EEB33ED"/>
    <w:rsid w:val="0F0942D3"/>
    <w:rsid w:val="0F0C3DC3"/>
    <w:rsid w:val="0F0D7E49"/>
    <w:rsid w:val="0F294935"/>
    <w:rsid w:val="0F4E0349"/>
    <w:rsid w:val="0F515C7A"/>
    <w:rsid w:val="0F586D2F"/>
    <w:rsid w:val="0F5C08A7"/>
    <w:rsid w:val="0F6239E3"/>
    <w:rsid w:val="0F6E05DA"/>
    <w:rsid w:val="0F6F7547"/>
    <w:rsid w:val="0FA649E0"/>
    <w:rsid w:val="0FBA55CD"/>
    <w:rsid w:val="0FBF4992"/>
    <w:rsid w:val="0FC534DA"/>
    <w:rsid w:val="0FC621C4"/>
    <w:rsid w:val="0FDB69B3"/>
    <w:rsid w:val="0FED38B1"/>
    <w:rsid w:val="0FF22FB9"/>
    <w:rsid w:val="0FF860F6"/>
    <w:rsid w:val="100F5E74"/>
    <w:rsid w:val="10376C1E"/>
    <w:rsid w:val="103C2486"/>
    <w:rsid w:val="10463763"/>
    <w:rsid w:val="10662898"/>
    <w:rsid w:val="1084680A"/>
    <w:rsid w:val="1093764E"/>
    <w:rsid w:val="109A05F6"/>
    <w:rsid w:val="10AF5931"/>
    <w:rsid w:val="10B52DFF"/>
    <w:rsid w:val="10D369F3"/>
    <w:rsid w:val="110E5BD1"/>
    <w:rsid w:val="11365128"/>
    <w:rsid w:val="11431086"/>
    <w:rsid w:val="11904838"/>
    <w:rsid w:val="11A37CF4"/>
    <w:rsid w:val="11AE4CBE"/>
    <w:rsid w:val="11C646FD"/>
    <w:rsid w:val="11D5049D"/>
    <w:rsid w:val="11EC3A38"/>
    <w:rsid w:val="11EC71DC"/>
    <w:rsid w:val="11F03528"/>
    <w:rsid w:val="12113406"/>
    <w:rsid w:val="121F0F83"/>
    <w:rsid w:val="12323B41"/>
    <w:rsid w:val="12425236"/>
    <w:rsid w:val="12445622"/>
    <w:rsid w:val="12506973"/>
    <w:rsid w:val="12906AB9"/>
    <w:rsid w:val="12945D0B"/>
    <w:rsid w:val="129F0AAB"/>
    <w:rsid w:val="12C10A21"/>
    <w:rsid w:val="12D3702E"/>
    <w:rsid w:val="12E84200"/>
    <w:rsid w:val="13072A44"/>
    <w:rsid w:val="131274CE"/>
    <w:rsid w:val="133833D9"/>
    <w:rsid w:val="13525B1D"/>
    <w:rsid w:val="135B0E75"/>
    <w:rsid w:val="13712447"/>
    <w:rsid w:val="137F78F4"/>
    <w:rsid w:val="13A302CE"/>
    <w:rsid w:val="13DB3D64"/>
    <w:rsid w:val="14063507"/>
    <w:rsid w:val="141F78B8"/>
    <w:rsid w:val="144162BD"/>
    <w:rsid w:val="1450447F"/>
    <w:rsid w:val="147B4BCC"/>
    <w:rsid w:val="14972381"/>
    <w:rsid w:val="14972E0D"/>
    <w:rsid w:val="14C30EEC"/>
    <w:rsid w:val="14F41B2E"/>
    <w:rsid w:val="151B4D60"/>
    <w:rsid w:val="151F7891"/>
    <w:rsid w:val="15225487"/>
    <w:rsid w:val="15393438"/>
    <w:rsid w:val="15543DCE"/>
    <w:rsid w:val="155D7127"/>
    <w:rsid w:val="155E612D"/>
    <w:rsid w:val="15785D0F"/>
    <w:rsid w:val="15910B7E"/>
    <w:rsid w:val="15A534CE"/>
    <w:rsid w:val="15AF7257"/>
    <w:rsid w:val="15CC1BB7"/>
    <w:rsid w:val="15D466AF"/>
    <w:rsid w:val="15E40FAB"/>
    <w:rsid w:val="16223ECC"/>
    <w:rsid w:val="162F7982"/>
    <w:rsid w:val="163112C6"/>
    <w:rsid w:val="1631666E"/>
    <w:rsid w:val="163C4FE1"/>
    <w:rsid w:val="165F7EE6"/>
    <w:rsid w:val="166E7690"/>
    <w:rsid w:val="16976668"/>
    <w:rsid w:val="16A36DBB"/>
    <w:rsid w:val="16B66F43"/>
    <w:rsid w:val="16BF796D"/>
    <w:rsid w:val="16DB6E00"/>
    <w:rsid w:val="170243A8"/>
    <w:rsid w:val="17045380"/>
    <w:rsid w:val="17076407"/>
    <w:rsid w:val="170B6E15"/>
    <w:rsid w:val="1731178B"/>
    <w:rsid w:val="174B7402"/>
    <w:rsid w:val="174D31CB"/>
    <w:rsid w:val="177B7D38"/>
    <w:rsid w:val="177B7F9C"/>
    <w:rsid w:val="17920BDE"/>
    <w:rsid w:val="17A659C6"/>
    <w:rsid w:val="17C343F3"/>
    <w:rsid w:val="17D10D96"/>
    <w:rsid w:val="17D31922"/>
    <w:rsid w:val="17DC188B"/>
    <w:rsid w:val="17E21B65"/>
    <w:rsid w:val="17E57F83"/>
    <w:rsid w:val="17E64596"/>
    <w:rsid w:val="17ED69D3"/>
    <w:rsid w:val="17F17FFA"/>
    <w:rsid w:val="17F83137"/>
    <w:rsid w:val="17F84EE5"/>
    <w:rsid w:val="180D4CD7"/>
    <w:rsid w:val="185153C4"/>
    <w:rsid w:val="18567E5D"/>
    <w:rsid w:val="187A7711"/>
    <w:rsid w:val="189060D8"/>
    <w:rsid w:val="189D3F89"/>
    <w:rsid w:val="18AD4BB3"/>
    <w:rsid w:val="18B3705E"/>
    <w:rsid w:val="18D771F0"/>
    <w:rsid w:val="18E44014"/>
    <w:rsid w:val="18E62DA3"/>
    <w:rsid w:val="18E63A43"/>
    <w:rsid w:val="18EC6363"/>
    <w:rsid w:val="18FD5EBC"/>
    <w:rsid w:val="190975CB"/>
    <w:rsid w:val="1912494D"/>
    <w:rsid w:val="192C7469"/>
    <w:rsid w:val="19341F4D"/>
    <w:rsid w:val="193A152D"/>
    <w:rsid w:val="19407488"/>
    <w:rsid w:val="195A760B"/>
    <w:rsid w:val="19662322"/>
    <w:rsid w:val="197467ED"/>
    <w:rsid w:val="19915A23"/>
    <w:rsid w:val="19BE5CBA"/>
    <w:rsid w:val="19C21652"/>
    <w:rsid w:val="19CA465F"/>
    <w:rsid w:val="19CE163C"/>
    <w:rsid w:val="19EA6AAF"/>
    <w:rsid w:val="19EB784F"/>
    <w:rsid w:val="19F10465"/>
    <w:rsid w:val="1A2C356C"/>
    <w:rsid w:val="1A3366A8"/>
    <w:rsid w:val="1A3760C8"/>
    <w:rsid w:val="1A385A6D"/>
    <w:rsid w:val="1A7F146A"/>
    <w:rsid w:val="1B0C2E76"/>
    <w:rsid w:val="1B1643AF"/>
    <w:rsid w:val="1B285AE1"/>
    <w:rsid w:val="1B3721C8"/>
    <w:rsid w:val="1B4B17D0"/>
    <w:rsid w:val="1B516F78"/>
    <w:rsid w:val="1B9C027D"/>
    <w:rsid w:val="1B9D1DCC"/>
    <w:rsid w:val="1BCF0653"/>
    <w:rsid w:val="1BE063BC"/>
    <w:rsid w:val="1BF12377"/>
    <w:rsid w:val="1BF65BDF"/>
    <w:rsid w:val="1C116575"/>
    <w:rsid w:val="1C1F6FFF"/>
    <w:rsid w:val="1C20736E"/>
    <w:rsid w:val="1C385CF3"/>
    <w:rsid w:val="1C3B7A05"/>
    <w:rsid w:val="1C766829"/>
    <w:rsid w:val="1C821221"/>
    <w:rsid w:val="1C844F99"/>
    <w:rsid w:val="1CA16CD8"/>
    <w:rsid w:val="1CD06430"/>
    <w:rsid w:val="1CD06AE8"/>
    <w:rsid w:val="1CEE3FDE"/>
    <w:rsid w:val="1CF30371"/>
    <w:rsid w:val="1D1F18D5"/>
    <w:rsid w:val="1D2B1C22"/>
    <w:rsid w:val="1D2C070F"/>
    <w:rsid w:val="1D5D57EA"/>
    <w:rsid w:val="1DA33B45"/>
    <w:rsid w:val="1DA5543D"/>
    <w:rsid w:val="1DB14D7D"/>
    <w:rsid w:val="1DCB2234"/>
    <w:rsid w:val="1DD921B2"/>
    <w:rsid w:val="1DFD3AB5"/>
    <w:rsid w:val="1E90231B"/>
    <w:rsid w:val="1ED619D4"/>
    <w:rsid w:val="1EDA2073"/>
    <w:rsid w:val="1EE00481"/>
    <w:rsid w:val="1EEA12FF"/>
    <w:rsid w:val="1F097421"/>
    <w:rsid w:val="1F460C2C"/>
    <w:rsid w:val="1F971487"/>
    <w:rsid w:val="1FAD0CAB"/>
    <w:rsid w:val="1FBC7140"/>
    <w:rsid w:val="1FF71F26"/>
    <w:rsid w:val="200308CB"/>
    <w:rsid w:val="200547B4"/>
    <w:rsid w:val="20055D73"/>
    <w:rsid w:val="201D2493"/>
    <w:rsid w:val="204F1D62"/>
    <w:rsid w:val="2055686E"/>
    <w:rsid w:val="20566C4C"/>
    <w:rsid w:val="207E073E"/>
    <w:rsid w:val="208E4638"/>
    <w:rsid w:val="209A5AE9"/>
    <w:rsid w:val="20BD452B"/>
    <w:rsid w:val="20DB04B5"/>
    <w:rsid w:val="20E31D50"/>
    <w:rsid w:val="20FD07F3"/>
    <w:rsid w:val="210E5779"/>
    <w:rsid w:val="21246D4B"/>
    <w:rsid w:val="212E0A02"/>
    <w:rsid w:val="21812228"/>
    <w:rsid w:val="219D08AB"/>
    <w:rsid w:val="21E73DD5"/>
    <w:rsid w:val="21E85FC9"/>
    <w:rsid w:val="220300C0"/>
    <w:rsid w:val="220414EB"/>
    <w:rsid w:val="224A0A33"/>
    <w:rsid w:val="224D0523"/>
    <w:rsid w:val="2265586D"/>
    <w:rsid w:val="22704963"/>
    <w:rsid w:val="229323DA"/>
    <w:rsid w:val="22936057"/>
    <w:rsid w:val="22B934C3"/>
    <w:rsid w:val="22E97C66"/>
    <w:rsid w:val="22F95FB5"/>
    <w:rsid w:val="22FB3ADB"/>
    <w:rsid w:val="231A47C9"/>
    <w:rsid w:val="23256DAA"/>
    <w:rsid w:val="233D257C"/>
    <w:rsid w:val="234611FA"/>
    <w:rsid w:val="23513661"/>
    <w:rsid w:val="23773AAF"/>
    <w:rsid w:val="23A67EEB"/>
    <w:rsid w:val="23C30A9D"/>
    <w:rsid w:val="23D702A2"/>
    <w:rsid w:val="241E5CD3"/>
    <w:rsid w:val="242D3ABB"/>
    <w:rsid w:val="243A0633"/>
    <w:rsid w:val="243B7937"/>
    <w:rsid w:val="24857B00"/>
    <w:rsid w:val="24B335BD"/>
    <w:rsid w:val="24ED78C4"/>
    <w:rsid w:val="25034EC9"/>
    <w:rsid w:val="250A26FB"/>
    <w:rsid w:val="250C0AD1"/>
    <w:rsid w:val="25315A92"/>
    <w:rsid w:val="2546353E"/>
    <w:rsid w:val="254E083A"/>
    <w:rsid w:val="25853B30"/>
    <w:rsid w:val="25CD5C03"/>
    <w:rsid w:val="25D35993"/>
    <w:rsid w:val="25E53141"/>
    <w:rsid w:val="25F53236"/>
    <w:rsid w:val="263670E6"/>
    <w:rsid w:val="263F10D4"/>
    <w:rsid w:val="2652435A"/>
    <w:rsid w:val="2661634B"/>
    <w:rsid w:val="268515B7"/>
    <w:rsid w:val="268E0B08"/>
    <w:rsid w:val="26977FBF"/>
    <w:rsid w:val="26B91CE3"/>
    <w:rsid w:val="26BF0015"/>
    <w:rsid w:val="26CF5B70"/>
    <w:rsid w:val="26D46B1D"/>
    <w:rsid w:val="26D94133"/>
    <w:rsid w:val="26DA121C"/>
    <w:rsid w:val="26E07FCC"/>
    <w:rsid w:val="26E15B8B"/>
    <w:rsid w:val="26E641FB"/>
    <w:rsid w:val="27267654"/>
    <w:rsid w:val="276A4823"/>
    <w:rsid w:val="277E761B"/>
    <w:rsid w:val="27883DE9"/>
    <w:rsid w:val="27A65264"/>
    <w:rsid w:val="27B72E2A"/>
    <w:rsid w:val="27BA21B7"/>
    <w:rsid w:val="27D72D69"/>
    <w:rsid w:val="27F05BD9"/>
    <w:rsid w:val="27FC632B"/>
    <w:rsid w:val="27FF4B64"/>
    <w:rsid w:val="28033B5E"/>
    <w:rsid w:val="28441A80"/>
    <w:rsid w:val="28481571"/>
    <w:rsid w:val="284D302B"/>
    <w:rsid w:val="28506677"/>
    <w:rsid w:val="28722A91"/>
    <w:rsid w:val="2884752B"/>
    <w:rsid w:val="28870D98"/>
    <w:rsid w:val="2887200B"/>
    <w:rsid w:val="289A5E91"/>
    <w:rsid w:val="28D24C7D"/>
    <w:rsid w:val="28D32810"/>
    <w:rsid w:val="28E03E9F"/>
    <w:rsid w:val="28E708FA"/>
    <w:rsid w:val="292024ED"/>
    <w:rsid w:val="294066EC"/>
    <w:rsid w:val="29600B3C"/>
    <w:rsid w:val="297C578D"/>
    <w:rsid w:val="299B6EF2"/>
    <w:rsid w:val="29C279C5"/>
    <w:rsid w:val="29D3130E"/>
    <w:rsid w:val="29D41C18"/>
    <w:rsid w:val="29DF7CB3"/>
    <w:rsid w:val="29FE4E85"/>
    <w:rsid w:val="2A187669"/>
    <w:rsid w:val="2A475858"/>
    <w:rsid w:val="2A4C77FA"/>
    <w:rsid w:val="2A63541A"/>
    <w:rsid w:val="2A792B7B"/>
    <w:rsid w:val="2A816FBC"/>
    <w:rsid w:val="2A994509"/>
    <w:rsid w:val="2AAE58D7"/>
    <w:rsid w:val="2AAF3B29"/>
    <w:rsid w:val="2AD74E2E"/>
    <w:rsid w:val="2AD9581A"/>
    <w:rsid w:val="2AF9510D"/>
    <w:rsid w:val="2AFC2AE6"/>
    <w:rsid w:val="2AFE060C"/>
    <w:rsid w:val="2B095310"/>
    <w:rsid w:val="2B1C4F36"/>
    <w:rsid w:val="2B210BCC"/>
    <w:rsid w:val="2B296491"/>
    <w:rsid w:val="2B2B6F28"/>
    <w:rsid w:val="2B4F0E68"/>
    <w:rsid w:val="2B526B7B"/>
    <w:rsid w:val="2B612F98"/>
    <w:rsid w:val="2B6C0AFC"/>
    <w:rsid w:val="2B8723B0"/>
    <w:rsid w:val="2B8D373E"/>
    <w:rsid w:val="2B977B28"/>
    <w:rsid w:val="2B997F8F"/>
    <w:rsid w:val="2B9B3029"/>
    <w:rsid w:val="2BB05E8D"/>
    <w:rsid w:val="2BD416F1"/>
    <w:rsid w:val="2BE07D12"/>
    <w:rsid w:val="2BF13CCD"/>
    <w:rsid w:val="2C0C4FAB"/>
    <w:rsid w:val="2C536453"/>
    <w:rsid w:val="2C7072E8"/>
    <w:rsid w:val="2CB728F8"/>
    <w:rsid w:val="2CC45F30"/>
    <w:rsid w:val="2CDA6E57"/>
    <w:rsid w:val="2CE825B5"/>
    <w:rsid w:val="2D083ED8"/>
    <w:rsid w:val="2D173018"/>
    <w:rsid w:val="2D510EC7"/>
    <w:rsid w:val="2D523C14"/>
    <w:rsid w:val="2D8E6E69"/>
    <w:rsid w:val="2DBB78AA"/>
    <w:rsid w:val="2DD731AA"/>
    <w:rsid w:val="2DF126AA"/>
    <w:rsid w:val="2E0F2B31"/>
    <w:rsid w:val="2E4F151C"/>
    <w:rsid w:val="2E5515FB"/>
    <w:rsid w:val="2E5D389C"/>
    <w:rsid w:val="2E781383"/>
    <w:rsid w:val="2E8452CD"/>
    <w:rsid w:val="2E8C4290"/>
    <w:rsid w:val="2E9F2106"/>
    <w:rsid w:val="2EB711FE"/>
    <w:rsid w:val="2EC3402E"/>
    <w:rsid w:val="2ECD19C7"/>
    <w:rsid w:val="2EF6011A"/>
    <w:rsid w:val="2F0C54A9"/>
    <w:rsid w:val="2F1831D3"/>
    <w:rsid w:val="2F2C4EB8"/>
    <w:rsid w:val="2F5702EB"/>
    <w:rsid w:val="2F6173BC"/>
    <w:rsid w:val="2FA06136"/>
    <w:rsid w:val="2FB526C1"/>
    <w:rsid w:val="2FD329E7"/>
    <w:rsid w:val="300B3A55"/>
    <w:rsid w:val="301F52AD"/>
    <w:rsid w:val="303D1BD7"/>
    <w:rsid w:val="304803EB"/>
    <w:rsid w:val="30601421"/>
    <w:rsid w:val="3071099D"/>
    <w:rsid w:val="30AE4883"/>
    <w:rsid w:val="30DE587B"/>
    <w:rsid w:val="30EE18CD"/>
    <w:rsid w:val="30F73670"/>
    <w:rsid w:val="3106646D"/>
    <w:rsid w:val="31077AEF"/>
    <w:rsid w:val="311A046D"/>
    <w:rsid w:val="314B0324"/>
    <w:rsid w:val="31662A68"/>
    <w:rsid w:val="31770627"/>
    <w:rsid w:val="31770F12"/>
    <w:rsid w:val="31973569"/>
    <w:rsid w:val="319A0963"/>
    <w:rsid w:val="31AB3EB0"/>
    <w:rsid w:val="31AF4019"/>
    <w:rsid w:val="31C51E84"/>
    <w:rsid w:val="31F15334"/>
    <w:rsid w:val="31F52DD2"/>
    <w:rsid w:val="32016C06"/>
    <w:rsid w:val="320D55D9"/>
    <w:rsid w:val="322E49F9"/>
    <w:rsid w:val="324A2389"/>
    <w:rsid w:val="324C7EAF"/>
    <w:rsid w:val="326C0551"/>
    <w:rsid w:val="32A1377B"/>
    <w:rsid w:val="32B2698A"/>
    <w:rsid w:val="32C263F9"/>
    <w:rsid w:val="32C37159"/>
    <w:rsid w:val="32C91500"/>
    <w:rsid w:val="33150C05"/>
    <w:rsid w:val="33414A01"/>
    <w:rsid w:val="33541711"/>
    <w:rsid w:val="335D5ED2"/>
    <w:rsid w:val="33B911E5"/>
    <w:rsid w:val="33C87A09"/>
    <w:rsid w:val="33ED56C2"/>
    <w:rsid w:val="34292CC4"/>
    <w:rsid w:val="342E014E"/>
    <w:rsid w:val="34467C10"/>
    <w:rsid w:val="348F6779"/>
    <w:rsid w:val="34983880"/>
    <w:rsid w:val="34A07DB6"/>
    <w:rsid w:val="34B33D14"/>
    <w:rsid w:val="34BB756E"/>
    <w:rsid w:val="34C42121"/>
    <w:rsid w:val="34D858E4"/>
    <w:rsid w:val="34FF423F"/>
    <w:rsid w:val="35040F15"/>
    <w:rsid w:val="350607E9"/>
    <w:rsid w:val="350624C6"/>
    <w:rsid w:val="351F5D4F"/>
    <w:rsid w:val="35312C27"/>
    <w:rsid w:val="353A4937"/>
    <w:rsid w:val="3592207D"/>
    <w:rsid w:val="359F0C3E"/>
    <w:rsid w:val="35B17E42"/>
    <w:rsid w:val="35BE10C4"/>
    <w:rsid w:val="35CA6BE8"/>
    <w:rsid w:val="35D22DC1"/>
    <w:rsid w:val="35D25659"/>
    <w:rsid w:val="35D2691D"/>
    <w:rsid w:val="35E93C67"/>
    <w:rsid w:val="35EA1EB9"/>
    <w:rsid w:val="35F42D38"/>
    <w:rsid w:val="361327C4"/>
    <w:rsid w:val="362A758D"/>
    <w:rsid w:val="363336D8"/>
    <w:rsid w:val="36411C47"/>
    <w:rsid w:val="3653029E"/>
    <w:rsid w:val="36697F1B"/>
    <w:rsid w:val="36794FEB"/>
    <w:rsid w:val="368E78A4"/>
    <w:rsid w:val="36914A2B"/>
    <w:rsid w:val="36A75FFC"/>
    <w:rsid w:val="36ED7BA0"/>
    <w:rsid w:val="37046FAB"/>
    <w:rsid w:val="37164F30"/>
    <w:rsid w:val="3724764D"/>
    <w:rsid w:val="37A92983"/>
    <w:rsid w:val="37B3277F"/>
    <w:rsid w:val="37CD55EE"/>
    <w:rsid w:val="380F20AB"/>
    <w:rsid w:val="38123949"/>
    <w:rsid w:val="38211926"/>
    <w:rsid w:val="385C6B74"/>
    <w:rsid w:val="38683569"/>
    <w:rsid w:val="38685317"/>
    <w:rsid w:val="386A2481"/>
    <w:rsid w:val="3879737F"/>
    <w:rsid w:val="3885732E"/>
    <w:rsid w:val="388A1731"/>
    <w:rsid w:val="38B72EED"/>
    <w:rsid w:val="38D34E86"/>
    <w:rsid w:val="390A508C"/>
    <w:rsid w:val="3932755A"/>
    <w:rsid w:val="39331DC9"/>
    <w:rsid w:val="39495149"/>
    <w:rsid w:val="396F52E4"/>
    <w:rsid w:val="39900FC9"/>
    <w:rsid w:val="399D5494"/>
    <w:rsid w:val="39A95A41"/>
    <w:rsid w:val="39E615B8"/>
    <w:rsid w:val="39ED4519"/>
    <w:rsid w:val="3A03179B"/>
    <w:rsid w:val="3A1F5EA9"/>
    <w:rsid w:val="3A4B3142"/>
    <w:rsid w:val="3A6C1929"/>
    <w:rsid w:val="3A775DA5"/>
    <w:rsid w:val="3A8918CE"/>
    <w:rsid w:val="3AAD378C"/>
    <w:rsid w:val="3AB968BE"/>
    <w:rsid w:val="3AC3717D"/>
    <w:rsid w:val="3ADB03EF"/>
    <w:rsid w:val="3AEA4709"/>
    <w:rsid w:val="3AFB2473"/>
    <w:rsid w:val="3B091033"/>
    <w:rsid w:val="3B5E2A01"/>
    <w:rsid w:val="3B716D99"/>
    <w:rsid w:val="3BB012F7"/>
    <w:rsid w:val="3BFF2436"/>
    <w:rsid w:val="3C2D1D41"/>
    <w:rsid w:val="3CB558BC"/>
    <w:rsid w:val="3CE37241"/>
    <w:rsid w:val="3CED6733"/>
    <w:rsid w:val="3CEF24AB"/>
    <w:rsid w:val="3D09356D"/>
    <w:rsid w:val="3D446355"/>
    <w:rsid w:val="3D4B7756"/>
    <w:rsid w:val="3D4F2CD2"/>
    <w:rsid w:val="3D5F183A"/>
    <w:rsid w:val="3D71382F"/>
    <w:rsid w:val="3D880E06"/>
    <w:rsid w:val="3D8B6BDA"/>
    <w:rsid w:val="3D960B78"/>
    <w:rsid w:val="3DB441DE"/>
    <w:rsid w:val="3DCA4AF6"/>
    <w:rsid w:val="3DF24001"/>
    <w:rsid w:val="3E035D73"/>
    <w:rsid w:val="3E611829"/>
    <w:rsid w:val="3E9450B8"/>
    <w:rsid w:val="3E9E1A93"/>
    <w:rsid w:val="3EA91721"/>
    <w:rsid w:val="3EB91CF7"/>
    <w:rsid w:val="3EEB0A50"/>
    <w:rsid w:val="3EF15569"/>
    <w:rsid w:val="3EFE0783"/>
    <w:rsid w:val="3F0C10F2"/>
    <w:rsid w:val="3F0F0E10"/>
    <w:rsid w:val="3F1461F9"/>
    <w:rsid w:val="3F181D9F"/>
    <w:rsid w:val="3F4A39C9"/>
    <w:rsid w:val="3F524745"/>
    <w:rsid w:val="3F8B3C20"/>
    <w:rsid w:val="3F8F587F"/>
    <w:rsid w:val="3FBE7F13"/>
    <w:rsid w:val="3FC45529"/>
    <w:rsid w:val="3FCE7421"/>
    <w:rsid w:val="3FDB17B1"/>
    <w:rsid w:val="3FEC4A80"/>
    <w:rsid w:val="3FFB6EC0"/>
    <w:rsid w:val="4013200C"/>
    <w:rsid w:val="401E1143"/>
    <w:rsid w:val="4039582A"/>
    <w:rsid w:val="404F3F0D"/>
    <w:rsid w:val="40640ABA"/>
    <w:rsid w:val="406D5519"/>
    <w:rsid w:val="40905D53"/>
    <w:rsid w:val="409D5D7A"/>
    <w:rsid w:val="40AD06B3"/>
    <w:rsid w:val="40B560A3"/>
    <w:rsid w:val="40CF7425"/>
    <w:rsid w:val="40F5192C"/>
    <w:rsid w:val="40FC0CF2"/>
    <w:rsid w:val="41285F8B"/>
    <w:rsid w:val="412C51C3"/>
    <w:rsid w:val="414F3518"/>
    <w:rsid w:val="41986C6D"/>
    <w:rsid w:val="41987217"/>
    <w:rsid w:val="419D0727"/>
    <w:rsid w:val="41AD44DA"/>
    <w:rsid w:val="41C37DD5"/>
    <w:rsid w:val="41F66AB4"/>
    <w:rsid w:val="42220C2D"/>
    <w:rsid w:val="4226071D"/>
    <w:rsid w:val="42336996"/>
    <w:rsid w:val="425D1C65"/>
    <w:rsid w:val="42701998"/>
    <w:rsid w:val="4278084D"/>
    <w:rsid w:val="42782A2D"/>
    <w:rsid w:val="429F402B"/>
    <w:rsid w:val="42CE4911"/>
    <w:rsid w:val="42D261AF"/>
    <w:rsid w:val="42FE51F6"/>
    <w:rsid w:val="42FF2D1C"/>
    <w:rsid w:val="43077EB0"/>
    <w:rsid w:val="433B1FA6"/>
    <w:rsid w:val="43424558"/>
    <w:rsid w:val="434A6B98"/>
    <w:rsid w:val="43A713E9"/>
    <w:rsid w:val="43CC0E50"/>
    <w:rsid w:val="43DC34E1"/>
    <w:rsid w:val="43E97C54"/>
    <w:rsid w:val="44052576"/>
    <w:rsid w:val="44413DD0"/>
    <w:rsid w:val="44437E31"/>
    <w:rsid w:val="44550B05"/>
    <w:rsid w:val="44706E4E"/>
    <w:rsid w:val="44763C49"/>
    <w:rsid w:val="44AC60BD"/>
    <w:rsid w:val="44B71B00"/>
    <w:rsid w:val="44BD51A3"/>
    <w:rsid w:val="44D46E0A"/>
    <w:rsid w:val="44DC3C65"/>
    <w:rsid w:val="45103EB4"/>
    <w:rsid w:val="45302BD4"/>
    <w:rsid w:val="45513DF0"/>
    <w:rsid w:val="45574CCE"/>
    <w:rsid w:val="45734934"/>
    <w:rsid w:val="45837C34"/>
    <w:rsid w:val="45A1630C"/>
    <w:rsid w:val="45AA1B8E"/>
    <w:rsid w:val="45D109A0"/>
    <w:rsid w:val="45E66A2A"/>
    <w:rsid w:val="45FB5A1D"/>
    <w:rsid w:val="460E39A2"/>
    <w:rsid w:val="461E0209"/>
    <w:rsid w:val="464320EC"/>
    <w:rsid w:val="46470C62"/>
    <w:rsid w:val="464A335A"/>
    <w:rsid w:val="464F1A25"/>
    <w:rsid w:val="46560EA5"/>
    <w:rsid w:val="466039A5"/>
    <w:rsid w:val="46636908"/>
    <w:rsid w:val="466E4440"/>
    <w:rsid w:val="467278F2"/>
    <w:rsid w:val="468E055B"/>
    <w:rsid w:val="46B75DE7"/>
    <w:rsid w:val="46BC1650"/>
    <w:rsid w:val="46C763BD"/>
    <w:rsid w:val="46D1677D"/>
    <w:rsid w:val="46DF0E9A"/>
    <w:rsid w:val="46E62229"/>
    <w:rsid w:val="46FD57C4"/>
    <w:rsid w:val="470E352E"/>
    <w:rsid w:val="471C3DB1"/>
    <w:rsid w:val="47257C78"/>
    <w:rsid w:val="474E0A73"/>
    <w:rsid w:val="47A54DB1"/>
    <w:rsid w:val="47B916EB"/>
    <w:rsid w:val="47CD4951"/>
    <w:rsid w:val="47D651A4"/>
    <w:rsid w:val="47D77DC3"/>
    <w:rsid w:val="482079BC"/>
    <w:rsid w:val="48313978"/>
    <w:rsid w:val="485E3DEF"/>
    <w:rsid w:val="485F3D16"/>
    <w:rsid w:val="48715780"/>
    <w:rsid w:val="48755A36"/>
    <w:rsid w:val="48877A3B"/>
    <w:rsid w:val="48AF2F08"/>
    <w:rsid w:val="48C21E3D"/>
    <w:rsid w:val="48CC544E"/>
    <w:rsid w:val="48CC7BFD"/>
    <w:rsid w:val="491F197D"/>
    <w:rsid w:val="49211C3E"/>
    <w:rsid w:val="495C67D2"/>
    <w:rsid w:val="49663FA8"/>
    <w:rsid w:val="4972249A"/>
    <w:rsid w:val="49746B94"/>
    <w:rsid w:val="49D767A1"/>
    <w:rsid w:val="49DF11B1"/>
    <w:rsid w:val="49EA64D4"/>
    <w:rsid w:val="4A162F4E"/>
    <w:rsid w:val="4A2A2D74"/>
    <w:rsid w:val="4A37545D"/>
    <w:rsid w:val="4A3D2997"/>
    <w:rsid w:val="4A6202EB"/>
    <w:rsid w:val="4A74684C"/>
    <w:rsid w:val="4A946440"/>
    <w:rsid w:val="4A9B77CE"/>
    <w:rsid w:val="4A9D2073"/>
    <w:rsid w:val="4AC05487"/>
    <w:rsid w:val="4AF07B1A"/>
    <w:rsid w:val="4B4B4D50"/>
    <w:rsid w:val="4B4D3AF9"/>
    <w:rsid w:val="4B647BC0"/>
    <w:rsid w:val="4B674B1E"/>
    <w:rsid w:val="4B7D0C82"/>
    <w:rsid w:val="4B86222C"/>
    <w:rsid w:val="4B893C0F"/>
    <w:rsid w:val="4B8E4629"/>
    <w:rsid w:val="4B9A5CD8"/>
    <w:rsid w:val="4B9E11B1"/>
    <w:rsid w:val="4BC13445"/>
    <w:rsid w:val="4BE16B44"/>
    <w:rsid w:val="4BF058F8"/>
    <w:rsid w:val="4BF929FE"/>
    <w:rsid w:val="4C050105"/>
    <w:rsid w:val="4C150E22"/>
    <w:rsid w:val="4C325F10"/>
    <w:rsid w:val="4C76404F"/>
    <w:rsid w:val="4C833AC8"/>
    <w:rsid w:val="4CA8697D"/>
    <w:rsid w:val="4CC21042"/>
    <w:rsid w:val="4CC27294"/>
    <w:rsid w:val="4CD273E2"/>
    <w:rsid w:val="4CF66F3E"/>
    <w:rsid w:val="4CF83DA3"/>
    <w:rsid w:val="4CFD651E"/>
    <w:rsid w:val="4D272911"/>
    <w:rsid w:val="4D322DE7"/>
    <w:rsid w:val="4D355CB8"/>
    <w:rsid w:val="4D36114F"/>
    <w:rsid w:val="4D597AF4"/>
    <w:rsid w:val="4D5C4B82"/>
    <w:rsid w:val="4D783DF7"/>
    <w:rsid w:val="4D7C38E7"/>
    <w:rsid w:val="4D8B26C5"/>
    <w:rsid w:val="4DAF6AA4"/>
    <w:rsid w:val="4DB73951"/>
    <w:rsid w:val="4DCB03CA"/>
    <w:rsid w:val="4DFA480C"/>
    <w:rsid w:val="4E076A2D"/>
    <w:rsid w:val="4E474D8F"/>
    <w:rsid w:val="4E7E3ED0"/>
    <w:rsid w:val="4E830CA5"/>
    <w:rsid w:val="4EA330F5"/>
    <w:rsid w:val="4ED4505D"/>
    <w:rsid w:val="4EDB63EB"/>
    <w:rsid w:val="4F063D1A"/>
    <w:rsid w:val="4F147B4F"/>
    <w:rsid w:val="4F2307EC"/>
    <w:rsid w:val="4F3030B6"/>
    <w:rsid w:val="4F4F523C"/>
    <w:rsid w:val="4F5148FF"/>
    <w:rsid w:val="4F5D5052"/>
    <w:rsid w:val="4F6700F2"/>
    <w:rsid w:val="4F885EC4"/>
    <w:rsid w:val="4F9F651E"/>
    <w:rsid w:val="4FEF11D4"/>
    <w:rsid w:val="4FF8459D"/>
    <w:rsid w:val="500F221F"/>
    <w:rsid w:val="50302767"/>
    <w:rsid w:val="504F27E3"/>
    <w:rsid w:val="5066262C"/>
    <w:rsid w:val="50761340"/>
    <w:rsid w:val="5081278B"/>
    <w:rsid w:val="50A43246"/>
    <w:rsid w:val="51157EF3"/>
    <w:rsid w:val="511B6F73"/>
    <w:rsid w:val="512027DB"/>
    <w:rsid w:val="51453FF0"/>
    <w:rsid w:val="51787700"/>
    <w:rsid w:val="519D2D48"/>
    <w:rsid w:val="51DF61F2"/>
    <w:rsid w:val="51F078E9"/>
    <w:rsid w:val="52036F6C"/>
    <w:rsid w:val="521F2A93"/>
    <w:rsid w:val="52253DC5"/>
    <w:rsid w:val="52416EAD"/>
    <w:rsid w:val="525210BA"/>
    <w:rsid w:val="52642D3E"/>
    <w:rsid w:val="52815D19"/>
    <w:rsid w:val="528D14FE"/>
    <w:rsid w:val="52B551A5"/>
    <w:rsid w:val="52BF3DE2"/>
    <w:rsid w:val="52CF030B"/>
    <w:rsid w:val="52F45CCD"/>
    <w:rsid w:val="52F514DD"/>
    <w:rsid w:val="53073C53"/>
    <w:rsid w:val="533267F6"/>
    <w:rsid w:val="534F1156"/>
    <w:rsid w:val="53557FAA"/>
    <w:rsid w:val="539D3DA7"/>
    <w:rsid w:val="53B51901"/>
    <w:rsid w:val="53DA3E6A"/>
    <w:rsid w:val="540139C1"/>
    <w:rsid w:val="542B6A7C"/>
    <w:rsid w:val="54436556"/>
    <w:rsid w:val="544526F1"/>
    <w:rsid w:val="544A4DF5"/>
    <w:rsid w:val="549C38E3"/>
    <w:rsid w:val="54C824D5"/>
    <w:rsid w:val="54D558E9"/>
    <w:rsid w:val="54F46ED2"/>
    <w:rsid w:val="5533716A"/>
    <w:rsid w:val="553928F3"/>
    <w:rsid w:val="55626420"/>
    <w:rsid w:val="557934FC"/>
    <w:rsid w:val="55815FF0"/>
    <w:rsid w:val="55901039"/>
    <w:rsid w:val="559C06EC"/>
    <w:rsid w:val="55A672AF"/>
    <w:rsid w:val="55B43AC1"/>
    <w:rsid w:val="55BB3A6D"/>
    <w:rsid w:val="55BD2CEE"/>
    <w:rsid w:val="55C3109E"/>
    <w:rsid w:val="55C93441"/>
    <w:rsid w:val="55D3606E"/>
    <w:rsid w:val="55DF53AB"/>
    <w:rsid w:val="564725B8"/>
    <w:rsid w:val="56521689"/>
    <w:rsid w:val="569357FD"/>
    <w:rsid w:val="56AD68BF"/>
    <w:rsid w:val="56B37C4E"/>
    <w:rsid w:val="56FF5D54"/>
    <w:rsid w:val="57156B6D"/>
    <w:rsid w:val="574F7976"/>
    <w:rsid w:val="57723665"/>
    <w:rsid w:val="57A4578D"/>
    <w:rsid w:val="57C30F66"/>
    <w:rsid w:val="57CA34A1"/>
    <w:rsid w:val="57CE5374"/>
    <w:rsid w:val="57D80DB6"/>
    <w:rsid w:val="57F53688"/>
    <w:rsid w:val="5818245E"/>
    <w:rsid w:val="582E1C82"/>
    <w:rsid w:val="58373ECD"/>
    <w:rsid w:val="584D65AC"/>
    <w:rsid w:val="58B02697"/>
    <w:rsid w:val="58C057DA"/>
    <w:rsid w:val="58C77F40"/>
    <w:rsid w:val="58DC16DE"/>
    <w:rsid w:val="58F3100F"/>
    <w:rsid w:val="59061BCE"/>
    <w:rsid w:val="595E442A"/>
    <w:rsid w:val="5979517E"/>
    <w:rsid w:val="59853B23"/>
    <w:rsid w:val="59C12681"/>
    <w:rsid w:val="59D755DE"/>
    <w:rsid w:val="5A0878E9"/>
    <w:rsid w:val="5A1D5DC3"/>
    <w:rsid w:val="5A2275C4"/>
    <w:rsid w:val="5A4B385C"/>
    <w:rsid w:val="5A4B4357"/>
    <w:rsid w:val="5A65028D"/>
    <w:rsid w:val="5A695805"/>
    <w:rsid w:val="5A7122F9"/>
    <w:rsid w:val="5A902780"/>
    <w:rsid w:val="5AA27C37"/>
    <w:rsid w:val="5ABC6DAF"/>
    <w:rsid w:val="5ABE7E1B"/>
    <w:rsid w:val="5AE52C20"/>
    <w:rsid w:val="5AEB18AD"/>
    <w:rsid w:val="5AEB4E62"/>
    <w:rsid w:val="5B111A63"/>
    <w:rsid w:val="5B293F48"/>
    <w:rsid w:val="5B4F2445"/>
    <w:rsid w:val="5B51267D"/>
    <w:rsid w:val="5B5F7DE8"/>
    <w:rsid w:val="5B6B1DB1"/>
    <w:rsid w:val="5B700045"/>
    <w:rsid w:val="5BA4507A"/>
    <w:rsid w:val="5BA52F09"/>
    <w:rsid w:val="5BA56A20"/>
    <w:rsid w:val="5BB04329"/>
    <w:rsid w:val="5BBB382C"/>
    <w:rsid w:val="5BFE5E0F"/>
    <w:rsid w:val="5C052CF9"/>
    <w:rsid w:val="5C0C22DA"/>
    <w:rsid w:val="5C190553"/>
    <w:rsid w:val="5C2A6C04"/>
    <w:rsid w:val="5CB93143"/>
    <w:rsid w:val="5CB95DA7"/>
    <w:rsid w:val="5CBC77F8"/>
    <w:rsid w:val="5CC051B2"/>
    <w:rsid w:val="5CC53370"/>
    <w:rsid w:val="5CC73353"/>
    <w:rsid w:val="5CD32DF8"/>
    <w:rsid w:val="5CD53FEB"/>
    <w:rsid w:val="5CFF599B"/>
    <w:rsid w:val="5D023E89"/>
    <w:rsid w:val="5D120CE2"/>
    <w:rsid w:val="5D371CFE"/>
    <w:rsid w:val="5D445AA3"/>
    <w:rsid w:val="5D4B5084"/>
    <w:rsid w:val="5D886BDC"/>
    <w:rsid w:val="5DC83D9E"/>
    <w:rsid w:val="5DE3706A"/>
    <w:rsid w:val="5E1831B8"/>
    <w:rsid w:val="5E2F405E"/>
    <w:rsid w:val="5E314B17"/>
    <w:rsid w:val="5E5230B5"/>
    <w:rsid w:val="5E884949"/>
    <w:rsid w:val="5E9D577B"/>
    <w:rsid w:val="5EAA7B88"/>
    <w:rsid w:val="5ED115B9"/>
    <w:rsid w:val="5ED86624"/>
    <w:rsid w:val="5EF3152F"/>
    <w:rsid w:val="5F2045FF"/>
    <w:rsid w:val="5F5009DC"/>
    <w:rsid w:val="5F6661A5"/>
    <w:rsid w:val="5F6A486B"/>
    <w:rsid w:val="5F797C86"/>
    <w:rsid w:val="5F7E34EF"/>
    <w:rsid w:val="5F8A5A55"/>
    <w:rsid w:val="5F9F1931"/>
    <w:rsid w:val="5FE315A4"/>
    <w:rsid w:val="600D2854"/>
    <w:rsid w:val="60534AAB"/>
    <w:rsid w:val="605E50CE"/>
    <w:rsid w:val="606049A2"/>
    <w:rsid w:val="6072623A"/>
    <w:rsid w:val="60734AE3"/>
    <w:rsid w:val="60870181"/>
    <w:rsid w:val="609D79A4"/>
    <w:rsid w:val="609F196E"/>
    <w:rsid w:val="60A94041"/>
    <w:rsid w:val="60D426E9"/>
    <w:rsid w:val="61072365"/>
    <w:rsid w:val="611B5E31"/>
    <w:rsid w:val="61257664"/>
    <w:rsid w:val="612E0677"/>
    <w:rsid w:val="614A048B"/>
    <w:rsid w:val="614B6E67"/>
    <w:rsid w:val="61502624"/>
    <w:rsid w:val="61842E74"/>
    <w:rsid w:val="61C86CA3"/>
    <w:rsid w:val="61CA1054"/>
    <w:rsid w:val="61CB7520"/>
    <w:rsid w:val="61E84C4F"/>
    <w:rsid w:val="61ED0E02"/>
    <w:rsid w:val="61F01D56"/>
    <w:rsid w:val="620F376F"/>
    <w:rsid w:val="62145A44"/>
    <w:rsid w:val="624665B0"/>
    <w:rsid w:val="62540A5E"/>
    <w:rsid w:val="628A3147"/>
    <w:rsid w:val="629728D0"/>
    <w:rsid w:val="62A25746"/>
    <w:rsid w:val="62A50D92"/>
    <w:rsid w:val="62B42838"/>
    <w:rsid w:val="62E01DCA"/>
    <w:rsid w:val="632E6FDA"/>
    <w:rsid w:val="633D546F"/>
    <w:rsid w:val="63636B3B"/>
    <w:rsid w:val="63682FEE"/>
    <w:rsid w:val="6372715B"/>
    <w:rsid w:val="63733966"/>
    <w:rsid w:val="63BE65AF"/>
    <w:rsid w:val="63C35974"/>
    <w:rsid w:val="63CB2A7A"/>
    <w:rsid w:val="63D538F9"/>
    <w:rsid w:val="63D62198"/>
    <w:rsid w:val="63FF0098"/>
    <w:rsid w:val="63FF2724"/>
    <w:rsid w:val="6448234A"/>
    <w:rsid w:val="644904C4"/>
    <w:rsid w:val="644C4126"/>
    <w:rsid w:val="64760C38"/>
    <w:rsid w:val="64841E8A"/>
    <w:rsid w:val="64A2188E"/>
    <w:rsid w:val="64A23ECC"/>
    <w:rsid w:val="64AB1ED8"/>
    <w:rsid w:val="64BD63E6"/>
    <w:rsid w:val="64CE13FE"/>
    <w:rsid w:val="64D836A1"/>
    <w:rsid w:val="64F93617"/>
    <w:rsid w:val="65140F6A"/>
    <w:rsid w:val="652B6846"/>
    <w:rsid w:val="652F1BCA"/>
    <w:rsid w:val="65605444"/>
    <w:rsid w:val="65842EE1"/>
    <w:rsid w:val="65A303D8"/>
    <w:rsid w:val="65BD3F77"/>
    <w:rsid w:val="65D106AB"/>
    <w:rsid w:val="66197C7E"/>
    <w:rsid w:val="66233125"/>
    <w:rsid w:val="66652D12"/>
    <w:rsid w:val="667B683E"/>
    <w:rsid w:val="66805D9E"/>
    <w:rsid w:val="6688431D"/>
    <w:rsid w:val="66903B07"/>
    <w:rsid w:val="66A870A3"/>
    <w:rsid w:val="66E337B3"/>
    <w:rsid w:val="670267B3"/>
    <w:rsid w:val="67125837"/>
    <w:rsid w:val="674365C0"/>
    <w:rsid w:val="674B1FAB"/>
    <w:rsid w:val="676520B9"/>
    <w:rsid w:val="67666190"/>
    <w:rsid w:val="676E3E49"/>
    <w:rsid w:val="67B35CFF"/>
    <w:rsid w:val="67E84BCC"/>
    <w:rsid w:val="67F325A0"/>
    <w:rsid w:val="67F87BB6"/>
    <w:rsid w:val="684A2231"/>
    <w:rsid w:val="686C002A"/>
    <w:rsid w:val="686D28C3"/>
    <w:rsid w:val="68D35CA3"/>
    <w:rsid w:val="68FF2C52"/>
    <w:rsid w:val="69004F74"/>
    <w:rsid w:val="6954706E"/>
    <w:rsid w:val="695B25F1"/>
    <w:rsid w:val="697531CB"/>
    <w:rsid w:val="697D65C5"/>
    <w:rsid w:val="69863787"/>
    <w:rsid w:val="69A80C2B"/>
    <w:rsid w:val="69AA3132"/>
    <w:rsid w:val="69AE49D0"/>
    <w:rsid w:val="69C2198B"/>
    <w:rsid w:val="69D60BF7"/>
    <w:rsid w:val="6A020884"/>
    <w:rsid w:val="6A1567FD"/>
    <w:rsid w:val="6A2E5B11"/>
    <w:rsid w:val="6A3550F2"/>
    <w:rsid w:val="6A3E19A0"/>
    <w:rsid w:val="6A3F7D1E"/>
    <w:rsid w:val="6A633A0D"/>
    <w:rsid w:val="6A995680"/>
    <w:rsid w:val="6AD95A7D"/>
    <w:rsid w:val="6AE10721"/>
    <w:rsid w:val="6AF6662F"/>
    <w:rsid w:val="6B005B27"/>
    <w:rsid w:val="6B2464A4"/>
    <w:rsid w:val="6B250CC2"/>
    <w:rsid w:val="6B543355"/>
    <w:rsid w:val="6B695DC3"/>
    <w:rsid w:val="6B785296"/>
    <w:rsid w:val="6BB66E93"/>
    <w:rsid w:val="6BB67B6C"/>
    <w:rsid w:val="6BDA7CFF"/>
    <w:rsid w:val="6BEB618E"/>
    <w:rsid w:val="6C0C1E82"/>
    <w:rsid w:val="6C117498"/>
    <w:rsid w:val="6C204008"/>
    <w:rsid w:val="6C2E5849"/>
    <w:rsid w:val="6C3867D3"/>
    <w:rsid w:val="6C3C4515"/>
    <w:rsid w:val="6C705F6D"/>
    <w:rsid w:val="6C7E36C6"/>
    <w:rsid w:val="6C8B0FF9"/>
    <w:rsid w:val="6C9D7B2A"/>
    <w:rsid w:val="6CA43E69"/>
    <w:rsid w:val="6CB73B9C"/>
    <w:rsid w:val="6CCD1611"/>
    <w:rsid w:val="6CDC3602"/>
    <w:rsid w:val="6CF37BCE"/>
    <w:rsid w:val="6CFF0F79"/>
    <w:rsid w:val="6D2D17FE"/>
    <w:rsid w:val="6D4B0CC3"/>
    <w:rsid w:val="6D4D62AE"/>
    <w:rsid w:val="6D726375"/>
    <w:rsid w:val="6D761677"/>
    <w:rsid w:val="6D7E7E54"/>
    <w:rsid w:val="6DD05AFB"/>
    <w:rsid w:val="6DDE15FC"/>
    <w:rsid w:val="6DE65C35"/>
    <w:rsid w:val="6DF27931"/>
    <w:rsid w:val="6DF64B98"/>
    <w:rsid w:val="6E2711F5"/>
    <w:rsid w:val="6E272FA3"/>
    <w:rsid w:val="6E290AC9"/>
    <w:rsid w:val="6E3631E6"/>
    <w:rsid w:val="6E4745FE"/>
    <w:rsid w:val="6E4C0396"/>
    <w:rsid w:val="6E71421E"/>
    <w:rsid w:val="6E775CD9"/>
    <w:rsid w:val="6E781A51"/>
    <w:rsid w:val="6E797BAC"/>
    <w:rsid w:val="6E7C5B41"/>
    <w:rsid w:val="6EA75B51"/>
    <w:rsid w:val="6EBD1212"/>
    <w:rsid w:val="6EBE354B"/>
    <w:rsid w:val="6EC46CF0"/>
    <w:rsid w:val="6EE64C0C"/>
    <w:rsid w:val="6EF70BC7"/>
    <w:rsid w:val="6F017513"/>
    <w:rsid w:val="6F216896"/>
    <w:rsid w:val="6F2E3EBD"/>
    <w:rsid w:val="6F3E7C8E"/>
    <w:rsid w:val="6F414601"/>
    <w:rsid w:val="6F593630"/>
    <w:rsid w:val="6F5D2896"/>
    <w:rsid w:val="6F6F69B0"/>
    <w:rsid w:val="6F863CF9"/>
    <w:rsid w:val="6F942830"/>
    <w:rsid w:val="6FA73E9E"/>
    <w:rsid w:val="6FBB2A7D"/>
    <w:rsid w:val="6FBC50CB"/>
    <w:rsid w:val="6FBC5841"/>
    <w:rsid w:val="6FCD7568"/>
    <w:rsid w:val="6FDA5069"/>
    <w:rsid w:val="6FDD600F"/>
    <w:rsid w:val="6FE95DE3"/>
    <w:rsid w:val="6FFE7669"/>
    <w:rsid w:val="70025C63"/>
    <w:rsid w:val="700F2B59"/>
    <w:rsid w:val="70112609"/>
    <w:rsid w:val="70207CAA"/>
    <w:rsid w:val="70386C15"/>
    <w:rsid w:val="7068068C"/>
    <w:rsid w:val="707F31B6"/>
    <w:rsid w:val="70812E3F"/>
    <w:rsid w:val="70866B1F"/>
    <w:rsid w:val="70CD3947"/>
    <w:rsid w:val="7114210E"/>
    <w:rsid w:val="71193077"/>
    <w:rsid w:val="71520337"/>
    <w:rsid w:val="716D6F1F"/>
    <w:rsid w:val="716F4822"/>
    <w:rsid w:val="719B2AD6"/>
    <w:rsid w:val="71A07146"/>
    <w:rsid w:val="71AF7537"/>
    <w:rsid w:val="71D30A5A"/>
    <w:rsid w:val="71DB20DB"/>
    <w:rsid w:val="71EC7C3D"/>
    <w:rsid w:val="72031372"/>
    <w:rsid w:val="72186E52"/>
    <w:rsid w:val="721B2E1F"/>
    <w:rsid w:val="722704B1"/>
    <w:rsid w:val="7230291A"/>
    <w:rsid w:val="723637B5"/>
    <w:rsid w:val="724E4B1F"/>
    <w:rsid w:val="725A0EDD"/>
    <w:rsid w:val="72642B16"/>
    <w:rsid w:val="729D55E2"/>
    <w:rsid w:val="72B11288"/>
    <w:rsid w:val="72DB7CD1"/>
    <w:rsid w:val="72E83B3F"/>
    <w:rsid w:val="730E028E"/>
    <w:rsid w:val="73125FD0"/>
    <w:rsid w:val="73214465"/>
    <w:rsid w:val="73520AC2"/>
    <w:rsid w:val="735E0012"/>
    <w:rsid w:val="738452ED"/>
    <w:rsid w:val="7384714B"/>
    <w:rsid w:val="73B01AFC"/>
    <w:rsid w:val="73B057E9"/>
    <w:rsid w:val="73BF3BE6"/>
    <w:rsid w:val="73CB244A"/>
    <w:rsid w:val="74185868"/>
    <w:rsid w:val="74250E3F"/>
    <w:rsid w:val="74325AED"/>
    <w:rsid w:val="74406B6D"/>
    <w:rsid w:val="74485D77"/>
    <w:rsid w:val="74583EB6"/>
    <w:rsid w:val="746F2FAE"/>
    <w:rsid w:val="74844CAB"/>
    <w:rsid w:val="74850A24"/>
    <w:rsid w:val="749649DF"/>
    <w:rsid w:val="74A350EC"/>
    <w:rsid w:val="74A76BEC"/>
    <w:rsid w:val="74AA048A"/>
    <w:rsid w:val="74AD4CF5"/>
    <w:rsid w:val="74B11819"/>
    <w:rsid w:val="74B15375"/>
    <w:rsid w:val="74D379E1"/>
    <w:rsid w:val="74D84FF7"/>
    <w:rsid w:val="74F24D7D"/>
    <w:rsid w:val="74F2528E"/>
    <w:rsid w:val="75175B20"/>
    <w:rsid w:val="7521699E"/>
    <w:rsid w:val="75273889"/>
    <w:rsid w:val="75316B26"/>
    <w:rsid w:val="754532C6"/>
    <w:rsid w:val="754E0E15"/>
    <w:rsid w:val="756F25AA"/>
    <w:rsid w:val="75A458F3"/>
    <w:rsid w:val="75A96938"/>
    <w:rsid w:val="75B710B1"/>
    <w:rsid w:val="75BC5722"/>
    <w:rsid w:val="75C13CDD"/>
    <w:rsid w:val="75C36A9D"/>
    <w:rsid w:val="75D44E39"/>
    <w:rsid w:val="75F54172"/>
    <w:rsid w:val="7613091A"/>
    <w:rsid w:val="76155969"/>
    <w:rsid w:val="76300180"/>
    <w:rsid w:val="76632F24"/>
    <w:rsid w:val="7678463F"/>
    <w:rsid w:val="767D7C04"/>
    <w:rsid w:val="76852F5D"/>
    <w:rsid w:val="76870A83"/>
    <w:rsid w:val="76940635"/>
    <w:rsid w:val="76B64EC4"/>
    <w:rsid w:val="76C021E7"/>
    <w:rsid w:val="7726029C"/>
    <w:rsid w:val="77266D5B"/>
    <w:rsid w:val="77440722"/>
    <w:rsid w:val="775E029C"/>
    <w:rsid w:val="77EF0E30"/>
    <w:rsid w:val="77FA7283"/>
    <w:rsid w:val="7820118F"/>
    <w:rsid w:val="782E0857"/>
    <w:rsid w:val="7836544C"/>
    <w:rsid w:val="78482494"/>
    <w:rsid w:val="78676A76"/>
    <w:rsid w:val="786B28E3"/>
    <w:rsid w:val="787B4617"/>
    <w:rsid w:val="7880489E"/>
    <w:rsid w:val="7880578A"/>
    <w:rsid w:val="78992CEF"/>
    <w:rsid w:val="78A376CA"/>
    <w:rsid w:val="78A7489E"/>
    <w:rsid w:val="78C733B9"/>
    <w:rsid w:val="790C1BCE"/>
    <w:rsid w:val="791C31CA"/>
    <w:rsid w:val="792C5912"/>
    <w:rsid w:val="793D785B"/>
    <w:rsid w:val="79467AE0"/>
    <w:rsid w:val="794C5FB4"/>
    <w:rsid w:val="79667075"/>
    <w:rsid w:val="79B37730"/>
    <w:rsid w:val="79DB2893"/>
    <w:rsid w:val="7A020420"/>
    <w:rsid w:val="7A021182"/>
    <w:rsid w:val="7A155367"/>
    <w:rsid w:val="7A373FED"/>
    <w:rsid w:val="7A602571"/>
    <w:rsid w:val="7AE24CA4"/>
    <w:rsid w:val="7B1B5C3E"/>
    <w:rsid w:val="7B2428E2"/>
    <w:rsid w:val="7B3F192C"/>
    <w:rsid w:val="7B71585E"/>
    <w:rsid w:val="7BE14055"/>
    <w:rsid w:val="7BEB5610"/>
    <w:rsid w:val="7BEC3FF7"/>
    <w:rsid w:val="7C3869D7"/>
    <w:rsid w:val="7C442F72"/>
    <w:rsid w:val="7C6B04FF"/>
    <w:rsid w:val="7C8B10F9"/>
    <w:rsid w:val="7C9B5288"/>
    <w:rsid w:val="7CA26617"/>
    <w:rsid w:val="7CA668AA"/>
    <w:rsid w:val="7CB023B6"/>
    <w:rsid w:val="7CB92CB8"/>
    <w:rsid w:val="7CCA7F60"/>
    <w:rsid w:val="7CD05E9A"/>
    <w:rsid w:val="7CF130FA"/>
    <w:rsid w:val="7D5D253D"/>
    <w:rsid w:val="7D677A2E"/>
    <w:rsid w:val="7D7B2830"/>
    <w:rsid w:val="7D8A0E59"/>
    <w:rsid w:val="7DC0487A"/>
    <w:rsid w:val="7DEC53A6"/>
    <w:rsid w:val="7E062BD5"/>
    <w:rsid w:val="7E3926E1"/>
    <w:rsid w:val="7E4B4A8C"/>
    <w:rsid w:val="7E617E0B"/>
    <w:rsid w:val="7E6F077A"/>
    <w:rsid w:val="7EB42440"/>
    <w:rsid w:val="7EB659C2"/>
    <w:rsid w:val="7EBE54E3"/>
    <w:rsid w:val="7EE051D4"/>
    <w:rsid w:val="7F0B3B5E"/>
    <w:rsid w:val="7F484B27"/>
    <w:rsid w:val="7F583467"/>
    <w:rsid w:val="7F736048"/>
    <w:rsid w:val="7F78540D"/>
    <w:rsid w:val="7F9C7041"/>
    <w:rsid w:val="7FB17668"/>
    <w:rsid w:val="7FE52A9C"/>
    <w:rsid w:val="7FE64A6C"/>
    <w:rsid w:val="7FEA5BDF"/>
    <w:rsid w:val="7FF069EF"/>
    <w:rsid w:val="7FF51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center"/>
      <w:outlineLvl w:val="0"/>
    </w:pPr>
    <w:rPr>
      <w:b/>
      <w:bCs/>
      <w:kern w:val="0"/>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widowControl/>
      <w:spacing w:line="360" w:lineRule="auto"/>
      <w:outlineLvl w:val="2"/>
    </w:pPr>
    <w:rPr>
      <w:b/>
      <w:bCs/>
      <w:sz w:val="24"/>
    </w:rPr>
  </w:style>
  <w:style w:type="paragraph" w:styleId="5">
    <w:name w:val="heading 4"/>
    <w:basedOn w:val="1"/>
    <w:next w:val="1"/>
    <w:unhideWhenUsed/>
    <w:qFormat/>
    <w:uiPriority w:val="0"/>
    <w:pPr>
      <w:keepNext/>
      <w:keepLines/>
      <w:numPr>
        <w:ilvl w:val="3"/>
        <w:numId w:val="1"/>
      </w:numPr>
      <w:spacing w:before="50" w:beforeLines="50" w:after="50" w:afterLines="50" w:line="360" w:lineRule="auto"/>
      <w:ind w:left="864" w:hanging="864" w:firstLineChars="0"/>
      <w:outlineLvl w:val="3"/>
    </w:pPr>
    <w:rPr>
      <w:rFonts w:ascii="Arial" w:hAnsi="Arial" w:eastAsia="宋体" w:cs="宋体"/>
      <w:b/>
      <w:sz w:val="30"/>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7">
    <w:name w:val="table of authorities"/>
    <w:basedOn w:val="1"/>
    <w:next w:val="1"/>
    <w:qFormat/>
    <w:uiPriority w:val="0"/>
    <w:pPr>
      <w:ind w:left="420" w:leftChars="200"/>
    </w:pPr>
  </w:style>
  <w:style w:type="paragraph" w:styleId="8">
    <w:name w:val="index 8"/>
    <w:basedOn w:val="1"/>
    <w:next w:val="1"/>
    <w:qFormat/>
    <w:uiPriority w:val="0"/>
    <w:pPr>
      <w:ind w:left="2940"/>
    </w:pPr>
  </w:style>
  <w:style w:type="paragraph" w:styleId="9">
    <w:name w:val="Normal Indent"/>
    <w:basedOn w:val="1"/>
    <w:qFormat/>
    <w:uiPriority w:val="0"/>
    <w:pPr>
      <w:widowControl/>
      <w:ind w:firstLine="420" w:firstLineChars="200"/>
      <w:jc w:val="left"/>
    </w:pPr>
    <w:rPr>
      <w:kern w:val="0"/>
      <w:sz w:val="20"/>
      <w:szCs w:val="20"/>
    </w:rPr>
  </w:style>
  <w:style w:type="paragraph" w:styleId="10">
    <w:name w:val="annotation text"/>
    <w:basedOn w:val="1"/>
    <w:semiHidden/>
    <w:qFormat/>
    <w:uiPriority w:val="0"/>
    <w:pPr>
      <w:jc w:val="left"/>
    </w:pPr>
  </w:style>
  <w:style w:type="paragraph" w:styleId="11">
    <w:name w:val="Body Text"/>
    <w:basedOn w:val="1"/>
    <w:qFormat/>
    <w:uiPriority w:val="0"/>
    <w:pPr>
      <w:spacing w:after="120"/>
    </w:pPr>
  </w:style>
  <w:style w:type="paragraph" w:styleId="12">
    <w:name w:val="Body Text Indent"/>
    <w:basedOn w:val="1"/>
    <w:next w:val="13"/>
    <w:qFormat/>
    <w:uiPriority w:val="0"/>
    <w:pPr>
      <w:spacing w:after="120"/>
      <w:ind w:left="420" w:leftChars="200"/>
    </w:pPr>
    <w:rPr>
      <w:kern w:val="0"/>
      <w:sz w:val="20"/>
    </w:rPr>
  </w:style>
  <w:style w:type="paragraph" w:styleId="13">
    <w:name w:val="Body Text Indent 2"/>
    <w:basedOn w:val="1"/>
    <w:qFormat/>
    <w:uiPriority w:val="0"/>
    <w:pPr>
      <w:autoSpaceDE w:val="0"/>
      <w:autoSpaceDN w:val="0"/>
      <w:adjustRightInd w:val="0"/>
      <w:spacing w:line="410" w:lineRule="atLeast"/>
      <w:ind w:left="480"/>
      <w:jc w:val="left"/>
    </w:pPr>
    <w:rPr>
      <w:rFonts w:ascii="宋体" w:hAnsi="Calibri"/>
      <w:color w:val="000000"/>
    </w:rPr>
  </w:style>
  <w:style w:type="paragraph" w:styleId="14">
    <w:name w:val="toc 3"/>
    <w:basedOn w:val="1"/>
    <w:next w:val="1"/>
    <w:qFormat/>
    <w:uiPriority w:val="0"/>
    <w:pPr>
      <w:ind w:left="840" w:leftChars="400"/>
    </w:pPr>
  </w:style>
  <w:style w:type="paragraph" w:styleId="15">
    <w:name w:val="Plain Text"/>
    <w:basedOn w:val="1"/>
    <w:qFormat/>
    <w:uiPriority w:val="99"/>
    <w:rPr>
      <w:rFonts w:ascii="宋体" w:hAnsi="Courier New" w:eastAsia="仿宋_GB2312"/>
      <w:sz w:val="32"/>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index 7"/>
    <w:basedOn w:val="1"/>
    <w:next w:val="1"/>
    <w:unhideWhenUsed/>
    <w:qFormat/>
    <w:uiPriority w:val="99"/>
    <w:pPr>
      <w:ind w:left="2520"/>
    </w:pPr>
    <w:rPr>
      <w:rFonts w:ascii="Calibri" w:hAnsi="Calibri"/>
      <w:szCs w:val="22"/>
    </w:rPr>
  </w:style>
  <w:style w:type="paragraph" w:styleId="20">
    <w:name w:val="toc 2"/>
    <w:basedOn w:val="1"/>
    <w:next w:val="1"/>
    <w:qFormat/>
    <w:uiPriority w:val="0"/>
    <w:pPr>
      <w:ind w:left="420" w:leftChars="200"/>
    </w:pPr>
  </w:style>
  <w:style w:type="paragraph" w:styleId="21">
    <w:name w:val="Normal (Web)"/>
    <w:basedOn w:val="1"/>
    <w:qFormat/>
    <w:uiPriority w:val="0"/>
    <w:pPr>
      <w:jc w:val="left"/>
    </w:pPr>
    <w:rPr>
      <w:kern w:val="0"/>
      <w:sz w:val="24"/>
    </w:rPr>
  </w:style>
  <w:style w:type="paragraph" w:styleId="22">
    <w:name w:val="annotation subject"/>
    <w:basedOn w:val="10"/>
    <w:next w:val="1"/>
    <w:qFormat/>
    <w:uiPriority w:val="0"/>
    <w:pPr>
      <w:ind w:firstLine="0" w:firstLineChars="0"/>
      <w:jc w:val="center"/>
    </w:pPr>
    <w:rPr>
      <w:rFonts w:ascii="Times New Roman" w:hAnsi="Times New Roman" w:eastAsia="宋体" w:cs="Times New Roman"/>
      <w:bCs/>
      <w:sz w:val="24"/>
      <w:szCs w:val="24"/>
    </w:rPr>
  </w:style>
  <w:style w:type="paragraph" w:styleId="23">
    <w:name w:val="Body Text First Indent"/>
    <w:basedOn w:val="1"/>
    <w:next w:val="24"/>
    <w:qFormat/>
    <w:uiPriority w:val="0"/>
    <w:pPr>
      <w:adjustRightInd w:val="0"/>
      <w:spacing w:after="120" w:line="240" w:lineRule="atLeast"/>
      <w:ind w:firstLine="420" w:firstLineChars="100"/>
      <w:jc w:val="left"/>
    </w:pPr>
    <w:rPr>
      <w:kern w:val="0"/>
      <w:sz w:val="24"/>
      <w:szCs w:val="24"/>
    </w:rPr>
  </w:style>
  <w:style w:type="paragraph" w:styleId="24">
    <w:name w:val="Body Text First Indent 2"/>
    <w:basedOn w:val="12"/>
    <w:next w:val="1"/>
    <w:qFormat/>
    <w:uiPriority w:val="0"/>
    <w:pPr>
      <w:autoSpaceDE w:val="0"/>
      <w:autoSpaceDN w:val="0"/>
      <w:adjustRightInd w:val="0"/>
      <w:ind w:firstLine="420"/>
      <w:jc w:val="left"/>
    </w:pPr>
    <w:rPr>
      <w:rFonts w:ascii="Calibri" w:hAnsi="Calibri"/>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style>
  <w:style w:type="character" w:styleId="29">
    <w:name w:val="FollowedHyperlink"/>
    <w:basedOn w:val="27"/>
    <w:qFormat/>
    <w:uiPriority w:val="0"/>
    <w:rPr>
      <w:color w:val="800080"/>
      <w:u w:val="none"/>
    </w:rPr>
  </w:style>
  <w:style w:type="character" w:styleId="30">
    <w:name w:val="Emphasis"/>
    <w:basedOn w:val="27"/>
    <w:qFormat/>
    <w:uiPriority w:val="0"/>
  </w:style>
  <w:style w:type="character" w:styleId="31">
    <w:name w:val="HTML Definition"/>
    <w:basedOn w:val="27"/>
    <w:qFormat/>
    <w:uiPriority w:val="0"/>
  </w:style>
  <w:style w:type="character" w:styleId="32">
    <w:name w:val="HTML Typewriter"/>
    <w:basedOn w:val="27"/>
    <w:qFormat/>
    <w:uiPriority w:val="0"/>
    <w:rPr>
      <w:rFonts w:hint="default" w:ascii="monospace" w:hAnsi="monospace" w:eastAsia="monospace" w:cs="monospace"/>
      <w:sz w:val="20"/>
    </w:rPr>
  </w:style>
  <w:style w:type="character" w:styleId="33">
    <w:name w:val="HTML Acronym"/>
    <w:basedOn w:val="27"/>
    <w:qFormat/>
    <w:uiPriority w:val="0"/>
  </w:style>
  <w:style w:type="character" w:styleId="34">
    <w:name w:val="HTML Variable"/>
    <w:basedOn w:val="27"/>
    <w:qFormat/>
    <w:uiPriority w:val="0"/>
  </w:style>
  <w:style w:type="character" w:styleId="35">
    <w:name w:val="Hyperlink"/>
    <w:basedOn w:val="27"/>
    <w:qFormat/>
    <w:uiPriority w:val="0"/>
    <w:rPr>
      <w:color w:val="0000FF"/>
      <w:u w:val="none"/>
    </w:rPr>
  </w:style>
  <w:style w:type="character" w:styleId="36">
    <w:name w:val="HTML Code"/>
    <w:basedOn w:val="27"/>
    <w:qFormat/>
    <w:uiPriority w:val="0"/>
    <w:rPr>
      <w:rFonts w:hint="default" w:ascii="monospace" w:hAnsi="monospace" w:eastAsia="monospace" w:cs="monospace"/>
      <w:sz w:val="20"/>
    </w:rPr>
  </w:style>
  <w:style w:type="character" w:styleId="37">
    <w:name w:val="HTML Cite"/>
    <w:basedOn w:val="27"/>
    <w:qFormat/>
    <w:uiPriority w:val="0"/>
  </w:style>
  <w:style w:type="character" w:styleId="38">
    <w:name w:val="HTML Keyboard"/>
    <w:basedOn w:val="27"/>
    <w:qFormat/>
    <w:uiPriority w:val="0"/>
    <w:rPr>
      <w:rFonts w:ascii="monospace" w:hAnsi="monospace" w:eastAsia="monospace" w:cs="monospace"/>
      <w:sz w:val="20"/>
    </w:rPr>
  </w:style>
  <w:style w:type="character" w:styleId="39">
    <w:name w:val="HTML Sample"/>
    <w:basedOn w:val="27"/>
    <w:qFormat/>
    <w:uiPriority w:val="0"/>
    <w:rPr>
      <w:rFonts w:hint="default" w:ascii="monospace" w:hAnsi="monospace" w:eastAsia="monospace" w:cs="monospace"/>
    </w:rPr>
  </w:style>
  <w:style w:type="paragraph" w:customStyle="1" w:styleId="40">
    <w:name w:val="列出段落1"/>
    <w:basedOn w:val="41"/>
    <w:next w:val="42"/>
    <w:qFormat/>
    <w:uiPriority w:val="34"/>
    <w:pPr>
      <w:ind w:firstLine="420" w:firstLineChars="200"/>
    </w:pPr>
  </w:style>
  <w:style w:type="paragraph" w:customStyle="1" w:styleId="41">
    <w:name w:val="正文_10_43"/>
    <w:qFormat/>
    <w:uiPriority w:val="0"/>
    <w:pPr>
      <w:widowControl w:val="0"/>
      <w:jc w:val="both"/>
    </w:pPr>
    <w:rPr>
      <w:rFonts w:ascii="Calibri" w:hAnsi="Calibri" w:eastAsia="宋体" w:cs="Times New Roman"/>
      <w:kern w:val="2"/>
      <w:sz w:val="24"/>
      <w:szCs w:val="22"/>
      <w:lang w:val="en-US" w:eastAsia="zh-CN" w:bidi="ar-SA"/>
    </w:rPr>
  </w:style>
  <w:style w:type="paragraph" w:styleId="42">
    <w:name w:val="List Paragraph"/>
    <w:basedOn w:val="1"/>
    <w:qFormat/>
    <w:uiPriority w:val="34"/>
    <w:pPr>
      <w:ind w:firstLine="420" w:firstLineChars="200"/>
    </w:pPr>
  </w:style>
  <w:style w:type="paragraph" w:customStyle="1" w:styleId="43">
    <w:name w:val="无间隔1"/>
    <w:qFormat/>
    <w:uiPriority w:val="1"/>
    <w:rPr>
      <w:rFonts w:ascii="Calibri" w:hAnsi="Calibri" w:eastAsia="宋体" w:cs="宋体"/>
      <w:kern w:val="2"/>
      <w:sz w:val="21"/>
      <w:szCs w:val="22"/>
      <w:lang w:val="en-US" w:eastAsia="zh-CN" w:bidi="ar-SA"/>
    </w:rPr>
  </w:style>
  <w:style w:type="paragraph" w:customStyle="1" w:styleId="44">
    <w:name w:val="Default"/>
    <w:next w:val="19"/>
    <w:qFormat/>
    <w:uiPriority w:val="0"/>
    <w:pPr>
      <w:widowControl w:val="0"/>
      <w:autoSpaceDE w:val="0"/>
      <w:autoSpaceDN w:val="0"/>
      <w:adjustRightInd w:val="0"/>
    </w:pPr>
    <w:rPr>
      <w:rFonts w:ascii="华文中宋" w:hAnsi="Calibri" w:eastAsia="华文中宋" w:cs="华文中宋"/>
      <w:color w:val="000000"/>
      <w:sz w:val="24"/>
      <w:szCs w:val="24"/>
      <w:lang w:val="en-US" w:eastAsia="zh-CN" w:bidi="ar-SA"/>
    </w:rPr>
  </w:style>
  <w:style w:type="paragraph" w:customStyle="1" w:styleId="45">
    <w:name w:val="正文1"/>
    <w:basedOn w:val="1"/>
    <w:qFormat/>
    <w:uiPriority w:val="0"/>
    <w:pPr>
      <w:widowControl/>
      <w:spacing w:before="120" w:after="120"/>
      <w:jc w:val="left"/>
    </w:pPr>
    <w:rPr>
      <w:rFonts w:ascii="Arial" w:hAnsi="Arial" w:cs="Arial"/>
      <w:kern w:val="0"/>
      <w:sz w:val="24"/>
    </w:rPr>
  </w:style>
  <w:style w:type="paragraph" w:customStyle="1" w:styleId="46">
    <w:name w:val="Heading #1|1"/>
    <w:basedOn w:val="1"/>
    <w:qFormat/>
    <w:uiPriority w:val="0"/>
    <w:pPr>
      <w:widowControl w:val="0"/>
      <w:shd w:val="clear" w:color="auto" w:fill="auto"/>
      <w:spacing w:after="530"/>
      <w:jc w:val="center"/>
      <w:outlineLvl w:val="0"/>
    </w:pPr>
    <w:rPr>
      <w:rFonts w:ascii="宋体" w:hAnsi="宋体" w:eastAsia="宋体" w:cs="宋体"/>
      <w:sz w:val="36"/>
      <w:szCs w:val="36"/>
      <w:u w:val="none"/>
      <w:shd w:val="clear" w:color="auto" w:fill="auto"/>
      <w:lang w:val="zh-TW" w:eastAsia="zh-TW" w:bidi="zh-TW"/>
    </w:rPr>
  </w:style>
  <w:style w:type="paragraph" w:customStyle="1" w:styleId="47">
    <w:name w:val="Body text|1"/>
    <w:qFormat/>
    <w:uiPriority w:val="0"/>
    <w:pPr>
      <w:widowControl w:val="0"/>
      <w:spacing w:after="140" w:line="427" w:lineRule="auto"/>
      <w:ind w:firstLine="400"/>
      <w:jc w:val="both"/>
    </w:pPr>
    <w:rPr>
      <w:rFonts w:ascii="宋体" w:hAnsi="宋体" w:eastAsia="宋体" w:cs="宋体"/>
      <w:kern w:val="2"/>
      <w:sz w:val="19"/>
      <w:szCs w:val="19"/>
      <w:lang w:val="zh-TW" w:eastAsia="zh-TW" w:bidi="zh-TW"/>
    </w:rPr>
  </w:style>
  <w:style w:type="paragraph" w:customStyle="1" w:styleId="48">
    <w:name w:val="Body text|2"/>
    <w:basedOn w:val="1"/>
    <w:qFormat/>
    <w:uiPriority w:val="0"/>
    <w:pPr>
      <w:spacing w:after="180" w:line="456" w:lineRule="exact"/>
      <w:ind w:firstLine="560"/>
    </w:pPr>
    <w:rPr>
      <w:rFonts w:ascii="宋体" w:hAnsi="宋体" w:cs="宋体"/>
      <w:sz w:val="20"/>
      <w:szCs w:val="20"/>
      <w:lang w:val="zh-TW" w:eastAsia="zh-TW" w:bidi="zh-TW"/>
    </w:rPr>
  </w:style>
  <w:style w:type="character" w:customStyle="1" w:styleId="49">
    <w:name w:val="NormalCharacter"/>
    <w:qFormat/>
    <w:uiPriority w:val="0"/>
  </w:style>
  <w:style w:type="paragraph" w:customStyle="1" w:styleId="50">
    <w:name w:val="font5"/>
    <w:basedOn w:val="1"/>
    <w:qFormat/>
    <w:uiPriority w:val="0"/>
    <w:pPr>
      <w:widowControl/>
      <w:spacing w:before="100" w:beforeAutospacing="1" w:after="100" w:afterAutospacing="1"/>
      <w:jc w:val="left"/>
    </w:pPr>
    <w:rPr>
      <w:rFonts w:ascii="等线" w:hAnsi="等线" w:eastAsia="等线"/>
      <w:kern w:val="0"/>
      <w:sz w:val="18"/>
      <w:szCs w:val="18"/>
    </w:rPr>
  </w:style>
  <w:style w:type="paragraph" w:customStyle="1" w:styleId="51">
    <w:name w:val="Table Paragraph"/>
    <w:basedOn w:val="1"/>
    <w:qFormat/>
    <w:uiPriority w:val="1"/>
    <w:rPr>
      <w:rFonts w:ascii="新宋体" w:hAnsi="新宋体" w:eastAsia="新宋体" w:cs="新宋体"/>
      <w:lang w:val="zh-CN" w:eastAsia="zh-CN" w:bidi="zh-CN"/>
    </w:rPr>
  </w:style>
  <w:style w:type="paragraph" w:customStyle="1" w:styleId="52">
    <w:name w:val="方案正文"/>
    <w:basedOn w:val="1"/>
    <w:qFormat/>
    <w:uiPriority w:val="0"/>
    <w:pPr>
      <w:widowControl/>
      <w:adjustRightInd w:val="0"/>
      <w:snapToGrid w:val="0"/>
      <w:spacing w:line="360" w:lineRule="auto"/>
      <w:ind w:firstLine="480" w:firstLineChars="200"/>
    </w:pPr>
    <w:rPr>
      <w:color w:val="000000"/>
      <w:sz w:val="24"/>
      <w:szCs w:val="24"/>
    </w:rPr>
  </w:style>
  <w:style w:type="paragraph" w:customStyle="1" w:styleId="53">
    <w:name w:val="Table Text"/>
    <w:basedOn w:val="1"/>
    <w:semiHidden/>
    <w:qFormat/>
    <w:uiPriority w:val="0"/>
    <w:rPr>
      <w:rFonts w:ascii="仿宋" w:hAnsi="仿宋" w:eastAsia="仿宋" w:cs="仿宋"/>
      <w:sz w:val="21"/>
      <w:szCs w:val="21"/>
      <w:lang w:val="en-US" w:eastAsia="en-US" w:bidi="ar-SA"/>
    </w:rPr>
  </w:style>
  <w:style w:type="table" w:customStyle="1" w:styleId="54">
    <w:name w:val="Table Normal"/>
    <w:semiHidden/>
    <w:unhideWhenUsed/>
    <w:qFormat/>
    <w:uiPriority w:val="0"/>
    <w:tblPr>
      <w:tblCellMar>
        <w:top w:w="0" w:type="dxa"/>
        <w:left w:w="0" w:type="dxa"/>
        <w:bottom w:w="0" w:type="dxa"/>
        <w:right w:w="0" w:type="dxa"/>
      </w:tblCellMar>
    </w:tblPr>
  </w:style>
  <w:style w:type="paragraph" w:customStyle="1" w:styleId="55">
    <w:name w:val="Normal_17"/>
    <w:qFormat/>
    <w:uiPriority w:val="0"/>
    <w:pPr>
      <w:widowControl w:val="0"/>
      <w:jc w:val="both"/>
    </w:pPr>
    <w:rPr>
      <w:rFonts w:ascii="Calibri" w:hAnsi="Calibri" w:eastAsia="宋体" w:cs="Times New Roman"/>
      <w:kern w:val="2"/>
      <w:sz w:val="21"/>
      <w:szCs w:val="22"/>
      <w:lang w:val="en-US" w:eastAsia="zh-CN" w:bidi="ar-SA"/>
    </w:rPr>
  </w:style>
  <w:style w:type="character" w:customStyle="1" w:styleId="56">
    <w:name w:val="font51"/>
    <w:basedOn w:val="27"/>
    <w:qFormat/>
    <w:uiPriority w:val="0"/>
    <w:rPr>
      <w:rFonts w:hint="eastAsia" w:ascii="仿宋" w:hAnsi="仿宋" w:eastAsia="仿宋" w:cs="仿宋"/>
      <w:color w:val="000000"/>
      <w:sz w:val="16"/>
      <w:szCs w:val="16"/>
      <w:u w:val="none"/>
    </w:rPr>
  </w:style>
  <w:style w:type="character" w:customStyle="1" w:styleId="57">
    <w:name w:val="font81"/>
    <w:basedOn w:val="27"/>
    <w:qFormat/>
    <w:uiPriority w:val="0"/>
    <w:rPr>
      <w:rFonts w:hint="eastAsia" w:ascii="仿宋" w:hAnsi="仿宋" w:eastAsia="仿宋" w:cs="仿宋"/>
      <w:color w:val="000000"/>
      <w:sz w:val="16"/>
      <w:szCs w:val="16"/>
      <w:u w:val="none"/>
      <w:vertAlign w:val="superscript"/>
    </w:rPr>
  </w:style>
  <w:style w:type="character" w:customStyle="1" w:styleId="58">
    <w:name w:val="font91"/>
    <w:basedOn w:val="27"/>
    <w:qFormat/>
    <w:uiPriority w:val="0"/>
    <w:rPr>
      <w:rFonts w:hint="default" w:ascii="Times New Roman" w:hAnsi="Times New Roman" w:cs="Times New Roman"/>
      <w:color w:val="000000"/>
      <w:sz w:val="16"/>
      <w:szCs w:val="16"/>
      <w:u w:val="none"/>
    </w:rPr>
  </w:style>
  <w:style w:type="paragraph" w:styleId="59">
    <w:name w:val="Quote"/>
    <w:basedOn w:val="1"/>
    <w:next w:val="1"/>
    <w:qFormat/>
    <w:uiPriority w:val="0"/>
    <w:pPr>
      <w:widowControl/>
      <w:spacing w:before="100" w:beforeAutospacing="1" w:after="100" w:afterAutospacing="1" w:line="360" w:lineRule="auto"/>
      <w:ind w:firstLine="200" w:firstLineChars="200"/>
    </w:pPr>
    <w:rPr>
      <w:rFonts w:ascii="Cambria" w:hAnsi="Cambria" w:eastAsia="Calibri" w:cs="Times New Roman"/>
      <w:i/>
      <w:iCs/>
      <w:kern w:val="0"/>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1041</Words>
  <Characters>1175</Characters>
  <Lines>0</Lines>
  <Paragraphs>0</Paragraphs>
  <TotalTime>24</TotalTime>
  <ScaleCrop>false</ScaleCrop>
  <LinksUpToDate>false</LinksUpToDate>
  <CharactersWithSpaces>1505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2023-05-10T05:57:00Z</dcterms:created>
  <dc:creator>批注者</dc:creator>
  <cp:lastModifiedBy>Aiming_7</cp:lastModifiedBy>
  <cp:lastPrinted>2025-06-10T07:24:00Z</cp:lastPrinted>
  <dcterms:modified xsi:type="dcterms:W3CDTF">2026-09-22T02:21:15Z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A3AF944D80C44E3D95C42C4930140EE0_13</vt:lpwstr>
  </property>
  <property fmtid="{D5CDD505-2E9C-101B-9397-08002B2CF9AE}" pid="4" name="KSOTemplateDocerSaveRecord">
    <vt:lpwstr>eyJoZGlkIjoiODZiMDk1NWVhYWYyY2M2NDZiNDUzMjk1N2QxZTNjODAiLCJ1c2VySWQiOiIxMDA1OTcwNTg2In0=</vt:lpwstr>
  </property>
</Properties>
</file>